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FCD3F" w14:textId="71040F76" w:rsidR="007C2989" w:rsidRPr="00A43743" w:rsidRDefault="007C2989" w:rsidP="007C2989">
      <w:pPr>
        <w:pStyle w:val="Default"/>
        <w:pBdr>
          <w:top w:val="double" w:sz="4" w:space="1" w:color="auto"/>
          <w:left w:val="double" w:sz="4" w:space="4" w:color="auto"/>
          <w:bottom w:val="double" w:sz="4" w:space="1" w:color="auto"/>
          <w:right w:val="double" w:sz="4" w:space="4" w:color="auto"/>
        </w:pBdr>
        <w:jc w:val="center"/>
        <w:rPr>
          <w:b/>
          <w:bCs/>
          <w:sz w:val="20"/>
          <w:szCs w:val="20"/>
          <w:lang w:val="en-ZA"/>
        </w:rPr>
      </w:pPr>
      <w:r w:rsidRPr="00A43743">
        <w:rPr>
          <w:b/>
          <w:bCs/>
          <w:sz w:val="20"/>
          <w:szCs w:val="20"/>
          <w:lang w:val="en-ZA"/>
        </w:rPr>
        <w:t>22-</w:t>
      </w:r>
      <w:r w:rsidR="00C53163" w:rsidRPr="00A43743">
        <w:rPr>
          <w:b/>
          <w:bCs/>
          <w:sz w:val="20"/>
          <w:szCs w:val="20"/>
          <w:lang w:val="en-ZA"/>
        </w:rPr>
        <w:t>06</w:t>
      </w:r>
      <w:r w:rsidRPr="00A43743">
        <w:rPr>
          <w:b/>
          <w:bCs/>
          <w:sz w:val="20"/>
          <w:szCs w:val="20"/>
          <w:lang w:val="en-ZA"/>
        </w:rPr>
        <w:tab/>
      </w:r>
      <w:r w:rsidRPr="00A43743">
        <w:rPr>
          <w:b/>
          <w:bCs/>
          <w:sz w:val="20"/>
          <w:szCs w:val="20"/>
          <w:lang w:val="en-ZA"/>
        </w:rPr>
        <w:tab/>
      </w:r>
      <w:r w:rsidRPr="00A43743">
        <w:rPr>
          <w:b/>
          <w:bCs/>
          <w:sz w:val="20"/>
          <w:szCs w:val="20"/>
          <w:lang w:val="en-ZA"/>
        </w:rPr>
        <w:tab/>
      </w:r>
      <w:r w:rsidRPr="00A43743">
        <w:rPr>
          <w:b/>
          <w:bCs/>
          <w:sz w:val="20"/>
          <w:szCs w:val="20"/>
          <w:lang w:val="en-ZA"/>
        </w:rPr>
        <w:tab/>
      </w:r>
      <w:r w:rsidRPr="00A43743">
        <w:rPr>
          <w:b/>
          <w:bCs/>
          <w:sz w:val="20"/>
          <w:szCs w:val="20"/>
          <w:lang w:val="en-ZA"/>
        </w:rPr>
        <w:tab/>
      </w:r>
      <w:r w:rsidRPr="00A43743">
        <w:rPr>
          <w:b/>
          <w:bCs/>
          <w:sz w:val="20"/>
          <w:szCs w:val="20"/>
          <w:lang w:val="en-ZA"/>
        </w:rPr>
        <w:tab/>
      </w:r>
      <w:r w:rsidRPr="00A43743">
        <w:rPr>
          <w:b/>
          <w:bCs/>
          <w:sz w:val="20"/>
          <w:szCs w:val="20"/>
          <w:lang w:val="en-ZA"/>
        </w:rPr>
        <w:tab/>
      </w:r>
      <w:r w:rsidRPr="00A43743">
        <w:rPr>
          <w:b/>
          <w:bCs/>
          <w:sz w:val="20"/>
          <w:szCs w:val="20"/>
          <w:lang w:val="en-ZA"/>
        </w:rPr>
        <w:tab/>
      </w:r>
      <w:r w:rsidRPr="00A43743">
        <w:rPr>
          <w:b/>
          <w:bCs/>
          <w:sz w:val="20"/>
          <w:szCs w:val="20"/>
          <w:lang w:val="en-ZA"/>
        </w:rPr>
        <w:tab/>
      </w:r>
      <w:r w:rsidRPr="00A43743">
        <w:rPr>
          <w:b/>
          <w:bCs/>
          <w:sz w:val="20"/>
          <w:szCs w:val="20"/>
          <w:lang w:val="en-ZA"/>
        </w:rPr>
        <w:tab/>
      </w:r>
      <w:r w:rsidRPr="00A43743">
        <w:rPr>
          <w:b/>
          <w:bCs/>
          <w:sz w:val="20"/>
          <w:szCs w:val="20"/>
          <w:lang w:val="en-ZA"/>
        </w:rPr>
        <w:tab/>
      </w:r>
      <w:r w:rsidRPr="00A43743">
        <w:rPr>
          <w:b/>
          <w:bCs/>
          <w:sz w:val="20"/>
          <w:szCs w:val="20"/>
          <w:lang w:val="en-ZA"/>
        </w:rPr>
        <w:tab/>
      </w:r>
      <w:r w:rsidR="00255714" w:rsidRPr="00A43743">
        <w:rPr>
          <w:b/>
          <w:bCs/>
          <w:sz w:val="20"/>
          <w:szCs w:val="20"/>
          <w:lang w:val="en-ZA"/>
        </w:rPr>
        <w:t>ALB</w:t>
      </w:r>
    </w:p>
    <w:p w14:paraId="078E7747" w14:textId="424D0517" w:rsidR="00825B27" w:rsidRPr="00A43743" w:rsidRDefault="00BC6ACF" w:rsidP="007C2989">
      <w:pPr>
        <w:pStyle w:val="Default"/>
        <w:pBdr>
          <w:top w:val="double" w:sz="4" w:space="1" w:color="auto"/>
          <w:left w:val="double" w:sz="4" w:space="4" w:color="auto"/>
          <w:bottom w:val="double" w:sz="4" w:space="1" w:color="auto"/>
          <w:right w:val="double" w:sz="4" w:space="4" w:color="auto"/>
        </w:pBdr>
        <w:jc w:val="center"/>
        <w:rPr>
          <w:b/>
          <w:bCs/>
          <w:sz w:val="20"/>
          <w:szCs w:val="20"/>
          <w:lang w:val="en-ZA"/>
        </w:rPr>
      </w:pPr>
      <w:r w:rsidRPr="00A43743">
        <w:rPr>
          <w:b/>
          <w:bCs/>
          <w:sz w:val="20"/>
          <w:szCs w:val="20"/>
          <w:lang w:val="en-ZA"/>
        </w:rPr>
        <w:t xml:space="preserve">RECOMMENDATION BY ICCAT ON THE SOUTHERN ATLANTIC </w:t>
      </w:r>
    </w:p>
    <w:p w14:paraId="34463153" w14:textId="550C72D8" w:rsidR="00BC6ACF" w:rsidRPr="00A43743" w:rsidRDefault="00BC6ACF" w:rsidP="007C2989">
      <w:pPr>
        <w:pStyle w:val="Default"/>
        <w:pBdr>
          <w:top w:val="double" w:sz="4" w:space="1" w:color="auto"/>
          <w:left w:val="double" w:sz="4" w:space="4" w:color="auto"/>
          <w:bottom w:val="double" w:sz="4" w:space="1" w:color="auto"/>
          <w:right w:val="double" w:sz="4" w:space="4" w:color="auto"/>
        </w:pBdr>
        <w:jc w:val="center"/>
        <w:rPr>
          <w:b/>
          <w:bCs/>
          <w:sz w:val="20"/>
          <w:szCs w:val="20"/>
          <w:lang w:val="en-ZA"/>
        </w:rPr>
      </w:pPr>
      <w:r w:rsidRPr="00A43743">
        <w:rPr>
          <w:b/>
          <w:bCs/>
          <w:sz w:val="20"/>
          <w:szCs w:val="20"/>
          <w:lang w:val="en-ZA"/>
        </w:rPr>
        <w:t>ALBACORE CATCH LIMITS FOR THE PERIOD 2023</w:t>
      </w:r>
      <w:r w:rsidR="00255714" w:rsidRPr="00A43743">
        <w:rPr>
          <w:b/>
          <w:bCs/>
          <w:sz w:val="20"/>
          <w:szCs w:val="20"/>
          <w:lang w:val="en-ZA"/>
        </w:rPr>
        <w:t>-</w:t>
      </w:r>
      <w:r w:rsidRPr="00A43743">
        <w:rPr>
          <w:b/>
          <w:bCs/>
          <w:sz w:val="20"/>
          <w:szCs w:val="20"/>
          <w:lang w:val="en-ZA"/>
        </w:rPr>
        <w:t>202</w:t>
      </w:r>
      <w:r w:rsidR="007A698A" w:rsidRPr="00A43743">
        <w:rPr>
          <w:b/>
          <w:bCs/>
          <w:sz w:val="20"/>
          <w:szCs w:val="20"/>
          <w:lang w:val="en-ZA"/>
        </w:rPr>
        <w:t>6</w:t>
      </w:r>
    </w:p>
    <w:p w14:paraId="6954002A" w14:textId="77777777" w:rsidR="00825B27" w:rsidRPr="00A43743" w:rsidRDefault="00825B27" w:rsidP="000934D9">
      <w:pPr>
        <w:pStyle w:val="Default"/>
        <w:jc w:val="center"/>
        <w:rPr>
          <w:b/>
          <w:bCs/>
          <w:sz w:val="20"/>
          <w:szCs w:val="20"/>
          <w:lang w:val="en-ZA"/>
        </w:rPr>
      </w:pPr>
    </w:p>
    <w:p w14:paraId="01CBF998" w14:textId="77777777" w:rsidR="00735BF8" w:rsidRPr="00A43743" w:rsidRDefault="00CD5F4C" w:rsidP="00F53FC2">
      <w:pPr>
        <w:tabs>
          <w:tab w:val="left" w:pos="426"/>
        </w:tabs>
        <w:autoSpaceDE w:val="0"/>
        <w:autoSpaceDN w:val="0"/>
        <w:adjustRightInd w:val="0"/>
        <w:jc w:val="both"/>
        <w:rPr>
          <w:rFonts w:eastAsia="Calibri"/>
          <w:i/>
          <w:iCs/>
          <w:sz w:val="20"/>
          <w:szCs w:val="20"/>
          <w:lang w:val="en-ZA"/>
        </w:rPr>
      </w:pPr>
      <w:r w:rsidRPr="00A43743">
        <w:rPr>
          <w:rFonts w:eastAsia="Calibri"/>
          <w:i/>
          <w:iCs/>
          <w:sz w:val="20"/>
          <w:szCs w:val="20"/>
          <w:lang w:val="en-ZA"/>
        </w:rPr>
        <w:tab/>
      </w:r>
    </w:p>
    <w:p w14:paraId="3741FE3F" w14:textId="4267D163" w:rsidR="00CD5F4C" w:rsidRPr="00A43743" w:rsidRDefault="00735BF8" w:rsidP="00F53FC2">
      <w:pPr>
        <w:tabs>
          <w:tab w:val="left" w:pos="426"/>
        </w:tabs>
        <w:autoSpaceDE w:val="0"/>
        <w:autoSpaceDN w:val="0"/>
        <w:adjustRightInd w:val="0"/>
        <w:jc w:val="both"/>
        <w:rPr>
          <w:rFonts w:ascii="Cambria" w:hAnsi="Cambria"/>
          <w:sz w:val="20"/>
          <w:lang w:val="en-ZA"/>
        </w:rPr>
      </w:pPr>
      <w:r w:rsidRPr="00A43743">
        <w:rPr>
          <w:rFonts w:eastAsia="Calibri"/>
          <w:i/>
          <w:iCs/>
          <w:sz w:val="20"/>
          <w:szCs w:val="20"/>
          <w:lang w:val="en-ZA"/>
        </w:rPr>
        <w:tab/>
      </w:r>
      <w:r w:rsidR="00CD5F4C" w:rsidRPr="00A43743">
        <w:rPr>
          <w:rFonts w:ascii="Cambria" w:hAnsi="Cambria"/>
          <w:i/>
          <w:sz w:val="20"/>
          <w:lang w:val="en-ZA"/>
        </w:rPr>
        <w:t xml:space="preserve">NOTING </w:t>
      </w:r>
      <w:r w:rsidR="00CD5F4C" w:rsidRPr="00A43743">
        <w:rPr>
          <w:rFonts w:ascii="Cambria" w:hAnsi="Cambria"/>
          <w:sz w:val="20"/>
          <w:lang w:val="en-ZA"/>
        </w:rPr>
        <w:t>the conclusions of the 20</w:t>
      </w:r>
      <w:r w:rsidR="00BB2BF5" w:rsidRPr="00A43743">
        <w:rPr>
          <w:rFonts w:ascii="Cambria" w:hAnsi="Cambria"/>
          <w:sz w:val="20"/>
          <w:lang w:val="en-ZA"/>
        </w:rPr>
        <w:t>20</w:t>
      </w:r>
      <w:r w:rsidR="00CD5F4C" w:rsidRPr="00A43743">
        <w:rPr>
          <w:rFonts w:ascii="Cambria" w:hAnsi="Cambria"/>
          <w:sz w:val="20"/>
          <w:lang w:val="en-ZA"/>
        </w:rPr>
        <w:t xml:space="preserve"> SCRS Report, that the southern </w:t>
      </w:r>
      <w:r w:rsidR="008633BF" w:rsidRPr="00A43743">
        <w:rPr>
          <w:rFonts w:ascii="Cambria" w:hAnsi="Cambria"/>
          <w:sz w:val="20"/>
          <w:lang w:val="en-ZA"/>
        </w:rPr>
        <w:t xml:space="preserve">Atlantic </w:t>
      </w:r>
      <w:r w:rsidR="00CD5F4C" w:rsidRPr="00A43743">
        <w:rPr>
          <w:rFonts w:ascii="Cambria" w:hAnsi="Cambria"/>
          <w:sz w:val="20"/>
          <w:lang w:val="en-ZA"/>
        </w:rPr>
        <w:t xml:space="preserve">albacore stock is, most probably, not overfished and overfishing is not </w:t>
      </w:r>
      <w:proofErr w:type="gramStart"/>
      <w:r w:rsidR="00CD5F4C" w:rsidRPr="00A43743">
        <w:rPr>
          <w:rFonts w:ascii="Cambria" w:hAnsi="Cambria"/>
          <w:sz w:val="20"/>
          <w:lang w:val="en-ZA"/>
        </w:rPr>
        <w:t>occurring;</w:t>
      </w:r>
      <w:proofErr w:type="gramEnd"/>
    </w:p>
    <w:p w14:paraId="23D89384" w14:textId="77777777" w:rsidR="007D72BE" w:rsidRPr="00A43743" w:rsidRDefault="007D72BE" w:rsidP="00F53FC2">
      <w:pPr>
        <w:tabs>
          <w:tab w:val="left" w:pos="426"/>
        </w:tabs>
        <w:autoSpaceDE w:val="0"/>
        <w:autoSpaceDN w:val="0"/>
        <w:adjustRightInd w:val="0"/>
        <w:jc w:val="both"/>
        <w:rPr>
          <w:rFonts w:ascii="Cambria" w:hAnsi="Cambria"/>
          <w:sz w:val="20"/>
          <w:lang w:val="en-ZA"/>
        </w:rPr>
      </w:pPr>
    </w:p>
    <w:p w14:paraId="5DED48BE" w14:textId="4C76AB41" w:rsidR="00CD5F4C" w:rsidRPr="00A43743" w:rsidRDefault="00CD5F4C" w:rsidP="00F53FC2">
      <w:pPr>
        <w:tabs>
          <w:tab w:val="left" w:pos="426"/>
        </w:tabs>
        <w:autoSpaceDE w:val="0"/>
        <w:autoSpaceDN w:val="0"/>
        <w:adjustRightInd w:val="0"/>
        <w:jc w:val="both"/>
        <w:rPr>
          <w:rFonts w:ascii="Cambria" w:hAnsi="Cambria"/>
          <w:sz w:val="20"/>
          <w:lang w:val="en-ZA"/>
        </w:rPr>
      </w:pPr>
      <w:r w:rsidRPr="00A43743">
        <w:rPr>
          <w:rFonts w:ascii="Cambria" w:hAnsi="Cambria"/>
          <w:i/>
          <w:sz w:val="20"/>
          <w:lang w:val="en-ZA"/>
        </w:rPr>
        <w:tab/>
      </w:r>
      <w:r w:rsidR="00CB5F95" w:rsidRPr="00A43743">
        <w:rPr>
          <w:rFonts w:ascii="Cambria" w:hAnsi="Cambria"/>
          <w:i/>
          <w:sz w:val="20"/>
          <w:lang w:val="en-ZA"/>
        </w:rPr>
        <w:t xml:space="preserve">FURTHER </w:t>
      </w:r>
      <w:r w:rsidRPr="00A43743">
        <w:rPr>
          <w:rFonts w:ascii="Cambria" w:hAnsi="Cambria"/>
          <w:i/>
          <w:sz w:val="20"/>
          <w:lang w:val="en-ZA"/>
        </w:rPr>
        <w:t xml:space="preserve">NOTING </w:t>
      </w:r>
      <w:r w:rsidRPr="00A43743">
        <w:rPr>
          <w:rFonts w:ascii="Cambria" w:hAnsi="Cambria"/>
          <w:sz w:val="20"/>
          <w:lang w:val="en-ZA"/>
        </w:rPr>
        <w:t xml:space="preserve">that the SCRS concluded that </w:t>
      </w:r>
      <w:r w:rsidR="006A3447" w:rsidRPr="00A43743">
        <w:rPr>
          <w:rFonts w:ascii="Cambria" w:hAnsi="Cambria"/>
          <w:sz w:val="20"/>
          <w:lang w:val="en-ZA"/>
        </w:rPr>
        <w:t xml:space="preserve">southern Atlantic albacore stock </w:t>
      </w:r>
      <w:r w:rsidRPr="00A43743">
        <w:rPr>
          <w:rFonts w:ascii="Cambria" w:hAnsi="Cambria"/>
          <w:sz w:val="20"/>
          <w:lang w:val="en-ZA"/>
        </w:rPr>
        <w:t xml:space="preserve">projections at a </w:t>
      </w:r>
      <w:r w:rsidR="006A3447" w:rsidRPr="00A43743">
        <w:rPr>
          <w:rFonts w:ascii="Cambria" w:hAnsi="Cambria"/>
          <w:sz w:val="20"/>
          <w:lang w:val="en-ZA"/>
        </w:rPr>
        <w:t xml:space="preserve">constant catch level of </w:t>
      </w:r>
      <w:r w:rsidRPr="00A43743">
        <w:rPr>
          <w:rFonts w:ascii="Cambria" w:hAnsi="Cambria"/>
          <w:sz w:val="20"/>
          <w:lang w:val="en-ZA"/>
        </w:rPr>
        <w:t>2</w:t>
      </w:r>
      <w:r w:rsidR="00BB2BF5" w:rsidRPr="00A43743">
        <w:rPr>
          <w:rFonts w:ascii="Cambria" w:hAnsi="Cambria"/>
          <w:sz w:val="20"/>
          <w:lang w:val="en-ZA"/>
        </w:rPr>
        <w:t>8</w:t>
      </w:r>
      <w:r w:rsidRPr="00A43743">
        <w:rPr>
          <w:rFonts w:ascii="Cambria" w:hAnsi="Cambria"/>
          <w:sz w:val="20"/>
          <w:lang w:val="en-ZA"/>
        </w:rPr>
        <w:t xml:space="preserve">,000 t </w:t>
      </w:r>
      <w:r w:rsidR="006A3447" w:rsidRPr="00A43743">
        <w:rPr>
          <w:rFonts w:ascii="Cambria" w:hAnsi="Cambria"/>
          <w:sz w:val="20"/>
          <w:lang w:val="en-ZA"/>
        </w:rPr>
        <w:t xml:space="preserve">would result in an 83% </w:t>
      </w:r>
      <w:r w:rsidRPr="00A43743">
        <w:rPr>
          <w:rFonts w:ascii="Cambria" w:hAnsi="Cambria"/>
          <w:sz w:val="20"/>
          <w:lang w:val="en-ZA"/>
        </w:rPr>
        <w:t>probabilit</w:t>
      </w:r>
      <w:r w:rsidR="006A3447" w:rsidRPr="00A43743">
        <w:rPr>
          <w:rFonts w:ascii="Cambria" w:hAnsi="Cambria"/>
          <w:sz w:val="20"/>
          <w:lang w:val="en-ZA"/>
        </w:rPr>
        <w:t>y</w:t>
      </w:r>
      <w:r w:rsidRPr="00A43743">
        <w:rPr>
          <w:rFonts w:ascii="Cambria" w:hAnsi="Cambria"/>
          <w:sz w:val="20"/>
          <w:lang w:val="en-ZA"/>
        </w:rPr>
        <w:t xml:space="preserve"> of being in the green quadrant of the Kobe plot by </w:t>
      </w:r>
      <w:proofErr w:type="gramStart"/>
      <w:r w:rsidRPr="00A43743">
        <w:rPr>
          <w:rFonts w:ascii="Cambria" w:hAnsi="Cambria"/>
          <w:sz w:val="20"/>
          <w:lang w:val="en-ZA"/>
        </w:rPr>
        <w:t>20</w:t>
      </w:r>
      <w:r w:rsidR="00CB5F95" w:rsidRPr="00A43743">
        <w:rPr>
          <w:rFonts w:ascii="Cambria" w:hAnsi="Cambria"/>
          <w:sz w:val="20"/>
          <w:lang w:val="en-ZA"/>
        </w:rPr>
        <w:t>33</w:t>
      </w:r>
      <w:r w:rsidRPr="00A43743">
        <w:rPr>
          <w:rFonts w:ascii="Cambria" w:hAnsi="Cambria"/>
          <w:sz w:val="20"/>
          <w:lang w:val="en-ZA"/>
        </w:rPr>
        <w:t>;</w:t>
      </w:r>
      <w:proofErr w:type="gramEnd"/>
    </w:p>
    <w:p w14:paraId="6CB28003" w14:textId="473BA904" w:rsidR="00083098" w:rsidRPr="00A43743" w:rsidRDefault="00083098" w:rsidP="00F53FC2">
      <w:pPr>
        <w:tabs>
          <w:tab w:val="left" w:pos="426"/>
        </w:tabs>
        <w:autoSpaceDE w:val="0"/>
        <w:autoSpaceDN w:val="0"/>
        <w:adjustRightInd w:val="0"/>
        <w:jc w:val="both"/>
        <w:rPr>
          <w:rFonts w:ascii="Cambria" w:hAnsi="Cambria"/>
          <w:sz w:val="20"/>
          <w:lang w:val="en-ZA"/>
        </w:rPr>
      </w:pPr>
    </w:p>
    <w:p w14:paraId="56CFDC1D" w14:textId="619E278B" w:rsidR="00083098" w:rsidRPr="00A43743" w:rsidRDefault="00083098" w:rsidP="00F53FC2">
      <w:pPr>
        <w:tabs>
          <w:tab w:val="left" w:pos="426"/>
        </w:tabs>
        <w:autoSpaceDE w:val="0"/>
        <w:autoSpaceDN w:val="0"/>
        <w:adjustRightInd w:val="0"/>
        <w:jc w:val="both"/>
        <w:rPr>
          <w:rFonts w:ascii="Cambria" w:hAnsi="Cambria"/>
          <w:sz w:val="20"/>
          <w:lang w:val="en-ZA"/>
        </w:rPr>
      </w:pPr>
      <w:r w:rsidRPr="00A43743">
        <w:rPr>
          <w:rFonts w:ascii="Cambria" w:hAnsi="Cambria"/>
          <w:i/>
          <w:iCs/>
          <w:sz w:val="20"/>
          <w:lang w:val="en-ZA"/>
        </w:rPr>
        <w:tab/>
        <w:t>ACKNOWLEDGING</w:t>
      </w:r>
      <w:r w:rsidRPr="00A43743">
        <w:rPr>
          <w:rFonts w:ascii="Cambria" w:hAnsi="Cambria"/>
          <w:sz w:val="20"/>
          <w:lang w:val="en-ZA"/>
        </w:rPr>
        <w:t xml:space="preserve"> </w:t>
      </w:r>
      <w:r w:rsidR="00AB58C0" w:rsidRPr="00A43743">
        <w:rPr>
          <w:rFonts w:ascii="Cambria" w:hAnsi="Cambria"/>
          <w:sz w:val="20"/>
          <w:lang w:val="en-ZA"/>
        </w:rPr>
        <w:t>that the southern Atlantic albacore catches have been well below the current T</w:t>
      </w:r>
      <w:r w:rsidR="00B973E9" w:rsidRPr="00A43743">
        <w:rPr>
          <w:rFonts w:ascii="Cambria" w:hAnsi="Cambria"/>
          <w:sz w:val="20"/>
          <w:lang w:val="en-ZA"/>
        </w:rPr>
        <w:t xml:space="preserve">otal </w:t>
      </w:r>
      <w:r w:rsidR="00AB58C0" w:rsidRPr="00A43743">
        <w:rPr>
          <w:rFonts w:ascii="Cambria" w:hAnsi="Cambria"/>
          <w:sz w:val="20"/>
          <w:lang w:val="en-ZA"/>
        </w:rPr>
        <w:t>A</w:t>
      </w:r>
      <w:r w:rsidR="00B973E9" w:rsidRPr="00A43743">
        <w:rPr>
          <w:rFonts w:ascii="Cambria" w:hAnsi="Cambria"/>
          <w:sz w:val="20"/>
          <w:lang w:val="en-ZA"/>
        </w:rPr>
        <w:t xml:space="preserve">llowable </w:t>
      </w:r>
      <w:r w:rsidR="00AB58C0" w:rsidRPr="00A43743">
        <w:rPr>
          <w:rFonts w:ascii="Cambria" w:hAnsi="Cambria"/>
          <w:sz w:val="20"/>
          <w:lang w:val="en-ZA"/>
        </w:rPr>
        <w:t>C</w:t>
      </w:r>
      <w:r w:rsidR="00B973E9" w:rsidRPr="00A43743">
        <w:rPr>
          <w:rFonts w:ascii="Cambria" w:hAnsi="Cambria"/>
          <w:sz w:val="20"/>
          <w:lang w:val="en-ZA"/>
        </w:rPr>
        <w:t>atch (TAC)</w:t>
      </w:r>
      <w:r w:rsidR="00AB58C0" w:rsidRPr="00A43743">
        <w:rPr>
          <w:rFonts w:ascii="Cambria" w:hAnsi="Cambria"/>
          <w:sz w:val="20"/>
          <w:lang w:val="en-ZA"/>
        </w:rPr>
        <w:t xml:space="preserve"> of 24</w:t>
      </w:r>
      <w:r w:rsidR="00B973E9" w:rsidRPr="00A43743">
        <w:rPr>
          <w:rFonts w:ascii="Cambria" w:hAnsi="Cambria"/>
          <w:sz w:val="20"/>
          <w:lang w:val="en-ZA"/>
        </w:rPr>
        <w:t>,</w:t>
      </w:r>
      <w:r w:rsidR="00AB58C0" w:rsidRPr="00A43743">
        <w:rPr>
          <w:rFonts w:ascii="Cambria" w:hAnsi="Cambria"/>
          <w:sz w:val="20"/>
          <w:lang w:val="en-ZA"/>
        </w:rPr>
        <w:t>000</w:t>
      </w:r>
      <w:r w:rsidR="00EC14EF" w:rsidRPr="00A43743">
        <w:rPr>
          <w:rFonts w:ascii="Cambria" w:hAnsi="Cambria"/>
          <w:sz w:val="20"/>
          <w:lang w:val="en-ZA"/>
        </w:rPr>
        <w:t xml:space="preserve"> </w:t>
      </w:r>
      <w:r w:rsidR="00AB58C0" w:rsidRPr="00A43743">
        <w:rPr>
          <w:rFonts w:ascii="Cambria" w:hAnsi="Cambria"/>
          <w:sz w:val="20"/>
          <w:lang w:val="en-ZA"/>
        </w:rPr>
        <w:t>t</w:t>
      </w:r>
      <w:r w:rsidR="002B158B" w:rsidRPr="00A43743">
        <w:rPr>
          <w:rFonts w:ascii="Cambria" w:hAnsi="Cambria"/>
          <w:sz w:val="20"/>
          <w:lang w:val="en-ZA"/>
        </w:rPr>
        <w:t xml:space="preserve">, except for </w:t>
      </w:r>
      <w:proofErr w:type="gramStart"/>
      <w:r w:rsidR="002B158B" w:rsidRPr="00A43743">
        <w:rPr>
          <w:rFonts w:ascii="Cambria" w:hAnsi="Cambria"/>
          <w:sz w:val="20"/>
          <w:lang w:val="en-ZA"/>
        </w:rPr>
        <w:t>2021</w:t>
      </w:r>
      <w:r w:rsidR="00701005" w:rsidRPr="00A43743">
        <w:rPr>
          <w:rFonts w:ascii="Cambria" w:hAnsi="Cambria"/>
          <w:sz w:val="20"/>
          <w:lang w:val="en-ZA"/>
        </w:rPr>
        <w:t>;</w:t>
      </w:r>
      <w:proofErr w:type="gramEnd"/>
    </w:p>
    <w:p w14:paraId="730C8340" w14:textId="77777777" w:rsidR="00CD5F4C" w:rsidRPr="00A43743" w:rsidRDefault="00CD5F4C" w:rsidP="00F53FC2">
      <w:pPr>
        <w:tabs>
          <w:tab w:val="left" w:pos="426"/>
        </w:tabs>
        <w:autoSpaceDE w:val="0"/>
        <w:autoSpaceDN w:val="0"/>
        <w:adjustRightInd w:val="0"/>
        <w:jc w:val="both"/>
        <w:rPr>
          <w:rFonts w:ascii="Cambria" w:hAnsi="Cambria"/>
          <w:i/>
          <w:sz w:val="20"/>
          <w:lang w:val="en-ZA"/>
        </w:rPr>
      </w:pPr>
    </w:p>
    <w:p w14:paraId="27BDD8C4" w14:textId="68F52CBD" w:rsidR="004430CC" w:rsidRPr="00A43743" w:rsidRDefault="004430CC" w:rsidP="00F53FC2">
      <w:pPr>
        <w:tabs>
          <w:tab w:val="left" w:pos="426"/>
        </w:tabs>
        <w:autoSpaceDE w:val="0"/>
        <w:autoSpaceDN w:val="0"/>
        <w:adjustRightInd w:val="0"/>
        <w:jc w:val="both"/>
        <w:rPr>
          <w:rFonts w:ascii="Cambria" w:hAnsi="Cambria"/>
          <w:sz w:val="20"/>
          <w:lang w:val="en-ZA"/>
        </w:rPr>
      </w:pPr>
      <w:r w:rsidRPr="00A43743">
        <w:rPr>
          <w:rFonts w:ascii="Cambria" w:hAnsi="Cambria"/>
          <w:i/>
          <w:sz w:val="20"/>
          <w:lang w:val="en-ZA"/>
        </w:rPr>
        <w:tab/>
      </w:r>
      <w:r w:rsidR="00083098" w:rsidRPr="00A43743">
        <w:rPr>
          <w:rFonts w:ascii="Cambria" w:hAnsi="Cambria"/>
          <w:i/>
          <w:sz w:val="20"/>
          <w:lang w:val="en-ZA"/>
        </w:rPr>
        <w:t xml:space="preserve">FURTHER </w:t>
      </w:r>
      <w:r w:rsidRPr="00A43743">
        <w:rPr>
          <w:rFonts w:ascii="Cambria" w:hAnsi="Cambria"/>
          <w:i/>
          <w:sz w:val="20"/>
          <w:lang w:val="en-ZA"/>
        </w:rPr>
        <w:t xml:space="preserve">ACKNOWLEDGING </w:t>
      </w:r>
      <w:r w:rsidRPr="00A43743">
        <w:rPr>
          <w:rFonts w:ascii="Cambria" w:hAnsi="Cambria"/>
          <w:sz w:val="20"/>
          <w:lang w:val="en-ZA"/>
        </w:rPr>
        <w:t xml:space="preserve">that total annual declared catches have been considerably lower than </w:t>
      </w:r>
      <w:r w:rsidR="00255714" w:rsidRPr="00A43743">
        <w:rPr>
          <w:rFonts w:ascii="Cambria" w:hAnsi="Cambria"/>
          <w:sz w:val="20"/>
          <w:lang w:val="en-ZA"/>
        </w:rPr>
        <w:t>Maximum Sustainable Yield (</w:t>
      </w:r>
      <w:r w:rsidRPr="00A43743">
        <w:rPr>
          <w:rFonts w:ascii="Cambria" w:hAnsi="Cambria"/>
          <w:sz w:val="20"/>
          <w:lang w:val="en-ZA"/>
        </w:rPr>
        <w:t>MSY</w:t>
      </w:r>
      <w:proofErr w:type="gramStart"/>
      <w:r w:rsidR="00255714" w:rsidRPr="00A43743">
        <w:rPr>
          <w:rFonts w:ascii="Cambria" w:hAnsi="Cambria"/>
          <w:sz w:val="20"/>
          <w:lang w:val="en-ZA"/>
        </w:rPr>
        <w:t>)</w:t>
      </w:r>
      <w:r w:rsidR="00701005" w:rsidRPr="00A43743">
        <w:rPr>
          <w:rFonts w:ascii="Cambria" w:hAnsi="Cambria"/>
          <w:sz w:val="20"/>
          <w:lang w:val="en-ZA"/>
        </w:rPr>
        <w:t>;</w:t>
      </w:r>
      <w:proofErr w:type="gramEnd"/>
    </w:p>
    <w:p w14:paraId="3931ADF9" w14:textId="77777777" w:rsidR="004430CC" w:rsidRPr="00A43743" w:rsidRDefault="004430CC" w:rsidP="00F53FC2">
      <w:pPr>
        <w:tabs>
          <w:tab w:val="left" w:pos="426"/>
        </w:tabs>
        <w:autoSpaceDE w:val="0"/>
        <w:autoSpaceDN w:val="0"/>
        <w:adjustRightInd w:val="0"/>
        <w:jc w:val="both"/>
        <w:rPr>
          <w:rFonts w:ascii="Cambria" w:hAnsi="Cambria"/>
          <w:i/>
          <w:sz w:val="20"/>
          <w:lang w:val="en-ZA"/>
        </w:rPr>
      </w:pPr>
    </w:p>
    <w:p w14:paraId="42143379" w14:textId="34293256" w:rsidR="00CD5F4C" w:rsidRPr="00A43743" w:rsidRDefault="00CD5F4C" w:rsidP="00F53FC2">
      <w:pPr>
        <w:tabs>
          <w:tab w:val="left" w:pos="426"/>
        </w:tabs>
        <w:autoSpaceDE w:val="0"/>
        <w:autoSpaceDN w:val="0"/>
        <w:adjustRightInd w:val="0"/>
        <w:jc w:val="both"/>
        <w:rPr>
          <w:rFonts w:ascii="Cambria" w:hAnsi="Cambria"/>
          <w:sz w:val="20"/>
          <w:lang w:val="en-ZA"/>
        </w:rPr>
      </w:pPr>
      <w:r w:rsidRPr="00A43743">
        <w:rPr>
          <w:rFonts w:ascii="Cambria" w:hAnsi="Cambria"/>
          <w:i/>
          <w:sz w:val="20"/>
          <w:lang w:val="en-ZA"/>
        </w:rPr>
        <w:tab/>
        <w:t>RECOGNISING</w:t>
      </w:r>
      <w:r w:rsidRPr="00A43743">
        <w:rPr>
          <w:rFonts w:ascii="Cambria" w:hAnsi="Cambria"/>
          <w:sz w:val="20"/>
          <w:lang w:val="en-ZA"/>
        </w:rPr>
        <w:t xml:space="preserve"> the objective of the Convention is to maintain populations at levels that will support maximum sustainable catch (usually referred to MSY</w:t>
      </w:r>
      <w:proofErr w:type="gramStart"/>
      <w:r w:rsidRPr="00A43743">
        <w:rPr>
          <w:rFonts w:ascii="Cambria" w:hAnsi="Cambria"/>
          <w:sz w:val="20"/>
          <w:lang w:val="en-ZA"/>
        </w:rPr>
        <w:t>);</w:t>
      </w:r>
      <w:proofErr w:type="gramEnd"/>
    </w:p>
    <w:p w14:paraId="2B7CD600" w14:textId="1580D649" w:rsidR="00AB58C0" w:rsidRPr="00A43743" w:rsidRDefault="00AB58C0" w:rsidP="00F53FC2">
      <w:pPr>
        <w:tabs>
          <w:tab w:val="left" w:pos="426"/>
        </w:tabs>
        <w:autoSpaceDE w:val="0"/>
        <w:autoSpaceDN w:val="0"/>
        <w:adjustRightInd w:val="0"/>
        <w:jc w:val="both"/>
        <w:rPr>
          <w:rFonts w:ascii="Cambria" w:hAnsi="Cambria"/>
          <w:sz w:val="20"/>
          <w:lang w:val="en-ZA"/>
        </w:rPr>
      </w:pPr>
    </w:p>
    <w:p w14:paraId="0AA97209" w14:textId="6B0A70F5" w:rsidR="00AB58C0" w:rsidRPr="00A43743" w:rsidRDefault="00AB58C0" w:rsidP="00F53FC2">
      <w:pPr>
        <w:tabs>
          <w:tab w:val="left" w:pos="426"/>
        </w:tabs>
        <w:autoSpaceDE w:val="0"/>
        <w:autoSpaceDN w:val="0"/>
        <w:adjustRightInd w:val="0"/>
        <w:jc w:val="both"/>
        <w:rPr>
          <w:rFonts w:ascii="Cambria" w:hAnsi="Cambria"/>
          <w:sz w:val="20"/>
          <w:lang w:val="en-ZA"/>
        </w:rPr>
      </w:pPr>
      <w:r w:rsidRPr="00A43743">
        <w:rPr>
          <w:rFonts w:ascii="Cambria" w:hAnsi="Cambria"/>
          <w:sz w:val="20"/>
          <w:lang w:val="en-ZA"/>
        </w:rPr>
        <w:tab/>
      </w:r>
      <w:r w:rsidRPr="00A43743">
        <w:rPr>
          <w:rFonts w:ascii="Cambria" w:hAnsi="Cambria"/>
          <w:i/>
          <w:sz w:val="20"/>
          <w:lang w:val="en-ZA"/>
        </w:rPr>
        <w:t xml:space="preserve">FURTHER </w:t>
      </w:r>
      <w:r w:rsidRPr="00A43743">
        <w:rPr>
          <w:rFonts w:ascii="Cambria" w:hAnsi="Cambria"/>
          <w:i/>
          <w:sz w:val="20"/>
        </w:rPr>
        <w:t>RECOGNISING</w:t>
      </w:r>
      <w:r w:rsidRPr="00A43743">
        <w:rPr>
          <w:rFonts w:ascii="Cambria" w:hAnsi="Cambria"/>
          <w:sz w:val="20"/>
        </w:rPr>
        <w:t xml:space="preserve"> the interests of developing coastal States to develop their fishing </w:t>
      </w:r>
      <w:proofErr w:type="gramStart"/>
      <w:r w:rsidRPr="00A43743">
        <w:rPr>
          <w:rFonts w:ascii="Cambria" w:hAnsi="Cambria"/>
          <w:sz w:val="20"/>
        </w:rPr>
        <w:t>opportunities</w:t>
      </w:r>
      <w:r w:rsidR="00701005" w:rsidRPr="00A43743">
        <w:rPr>
          <w:rFonts w:ascii="Cambria" w:eastAsia="Calibri" w:hAnsi="Cambria"/>
          <w:sz w:val="20"/>
          <w:szCs w:val="20"/>
        </w:rPr>
        <w:t>;</w:t>
      </w:r>
      <w:proofErr w:type="gramEnd"/>
    </w:p>
    <w:p w14:paraId="1C07814D" w14:textId="77777777" w:rsidR="00CD5F4C" w:rsidRPr="00A43743" w:rsidRDefault="00CD5F4C" w:rsidP="00CD5F4C">
      <w:pPr>
        <w:tabs>
          <w:tab w:val="left" w:pos="426"/>
        </w:tabs>
        <w:autoSpaceDE w:val="0"/>
        <w:autoSpaceDN w:val="0"/>
        <w:adjustRightInd w:val="0"/>
        <w:jc w:val="both"/>
        <w:rPr>
          <w:rFonts w:ascii="Cambria" w:hAnsi="Cambria"/>
          <w:sz w:val="20"/>
          <w:lang w:val="en-ZA"/>
        </w:rPr>
      </w:pPr>
    </w:p>
    <w:p w14:paraId="5CAFE587" w14:textId="12B5BEF7" w:rsidR="00CD5F4C" w:rsidRPr="00A43743" w:rsidRDefault="00CD5F4C" w:rsidP="00E43C3A">
      <w:pPr>
        <w:tabs>
          <w:tab w:val="left" w:pos="426"/>
        </w:tabs>
        <w:autoSpaceDE w:val="0"/>
        <w:autoSpaceDN w:val="0"/>
        <w:adjustRightInd w:val="0"/>
        <w:jc w:val="center"/>
        <w:rPr>
          <w:rFonts w:ascii="Cambria" w:hAnsi="Cambria"/>
          <w:sz w:val="20"/>
          <w:lang w:val="en-ZA"/>
        </w:rPr>
      </w:pPr>
      <w:r w:rsidRPr="00A43743">
        <w:rPr>
          <w:rFonts w:ascii="Cambria" w:hAnsi="Cambria"/>
          <w:sz w:val="20"/>
          <w:lang w:val="en-ZA"/>
        </w:rPr>
        <w:t>THE INTERNATIONAL COMMISSION FOR THE CONSERVATION</w:t>
      </w:r>
    </w:p>
    <w:p w14:paraId="630557DD" w14:textId="77777777" w:rsidR="00CD5F4C" w:rsidRPr="00A43743" w:rsidRDefault="00CD5F4C" w:rsidP="00CD5F4C">
      <w:pPr>
        <w:autoSpaceDE w:val="0"/>
        <w:autoSpaceDN w:val="0"/>
        <w:adjustRightInd w:val="0"/>
        <w:jc w:val="center"/>
        <w:rPr>
          <w:rFonts w:ascii="Cambria" w:hAnsi="Cambria"/>
          <w:sz w:val="20"/>
          <w:lang w:val="en-ZA"/>
        </w:rPr>
      </w:pPr>
      <w:r w:rsidRPr="00A43743">
        <w:rPr>
          <w:rFonts w:ascii="Cambria" w:hAnsi="Cambria"/>
          <w:sz w:val="20"/>
          <w:lang w:val="en-ZA"/>
        </w:rPr>
        <w:t>OF ATLANTIC TUNAS (ICCAT) RECOMMENDS THAT:</w:t>
      </w:r>
    </w:p>
    <w:p w14:paraId="5F08A1BC" w14:textId="77777777" w:rsidR="00CD5F4C" w:rsidRPr="00A43743" w:rsidRDefault="00CD5F4C" w:rsidP="00F53FC2">
      <w:pPr>
        <w:tabs>
          <w:tab w:val="left" w:pos="284"/>
        </w:tabs>
        <w:autoSpaceDE w:val="0"/>
        <w:autoSpaceDN w:val="0"/>
        <w:adjustRightInd w:val="0"/>
        <w:jc w:val="both"/>
        <w:rPr>
          <w:rFonts w:ascii="Cambria" w:hAnsi="Cambria"/>
          <w:sz w:val="20"/>
          <w:lang w:val="en-ZA"/>
        </w:rPr>
      </w:pPr>
    </w:p>
    <w:p w14:paraId="69318B13" w14:textId="750FE98A" w:rsidR="00CD5F4C" w:rsidRPr="00A43743" w:rsidRDefault="00CD5F4C" w:rsidP="00F53FC2">
      <w:pPr>
        <w:tabs>
          <w:tab w:val="left" w:pos="284"/>
        </w:tabs>
        <w:autoSpaceDE w:val="0"/>
        <w:autoSpaceDN w:val="0"/>
        <w:adjustRightInd w:val="0"/>
        <w:ind w:left="284" w:hanging="284"/>
        <w:jc w:val="both"/>
        <w:rPr>
          <w:rFonts w:ascii="Cambria" w:hAnsi="Cambria"/>
          <w:sz w:val="20"/>
          <w:lang w:val="en-ZA"/>
        </w:rPr>
      </w:pPr>
      <w:r w:rsidRPr="00A43743">
        <w:rPr>
          <w:rFonts w:ascii="Cambria" w:hAnsi="Cambria"/>
          <w:sz w:val="20"/>
          <w:lang w:val="en-ZA"/>
        </w:rPr>
        <w:t>1.</w:t>
      </w:r>
      <w:r w:rsidRPr="00A43743">
        <w:rPr>
          <w:rFonts w:ascii="Cambria" w:hAnsi="Cambria"/>
          <w:sz w:val="20"/>
          <w:lang w:val="en-ZA"/>
        </w:rPr>
        <w:tab/>
        <w:t xml:space="preserve">The annual Total Allowable Catch (TAC) for albacore caught in the Atlantic Ocean </w:t>
      </w:r>
      <w:r w:rsidR="00624A4C" w:rsidRPr="00A43743">
        <w:rPr>
          <w:rFonts w:ascii="Cambria" w:hAnsi="Cambria"/>
          <w:sz w:val="20"/>
          <w:lang w:val="en-ZA"/>
        </w:rPr>
        <w:t>s</w:t>
      </w:r>
      <w:r w:rsidRPr="00A43743">
        <w:rPr>
          <w:rFonts w:ascii="Cambria" w:hAnsi="Cambria"/>
          <w:sz w:val="20"/>
          <w:lang w:val="en-ZA"/>
        </w:rPr>
        <w:t xml:space="preserve">outh of 5ºN shall be </w:t>
      </w:r>
      <w:r w:rsidR="00CB5F95" w:rsidRPr="00A43743">
        <w:rPr>
          <w:rFonts w:ascii="Cambria" w:hAnsi="Cambria"/>
          <w:sz w:val="20"/>
          <w:lang w:val="en-ZA"/>
        </w:rPr>
        <w:t>2</w:t>
      </w:r>
      <w:r w:rsidR="00BB2BF5" w:rsidRPr="00A43743">
        <w:rPr>
          <w:rFonts w:ascii="Cambria" w:hAnsi="Cambria"/>
          <w:sz w:val="20"/>
          <w:lang w:val="en-ZA"/>
        </w:rPr>
        <w:t>8</w:t>
      </w:r>
      <w:r w:rsidRPr="00A43743">
        <w:rPr>
          <w:rFonts w:ascii="Cambria" w:hAnsi="Cambria"/>
          <w:sz w:val="20"/>
          <w:lang w:val="en-ZA"/>
        </w:rPr>
        <w:t>,000 t for the period 20</w:t>
      </w:r>
      <w:r w:rsidR="00D90B4F" w:rsidRPr="00A43743">
        <w:rPr>
          <w:rFonts w:ascii="Cambria" w:hAnsi="Cambria"/>
          <w:sz w:val="20"/>
          <w:lang w:val="en-ZA"/>
        </w:rPr>
        <w:t>23</w:t>
      </w:r>
      <w:r w:rsidR="00B973E9" w:rsidRPr="00A43743">
        <w:rPr>
          <w:rFonts w:ascii="Cambria" w:hAnsi="Cambria"/>
          <w:sz w:val="20"/>
          <w:lang w:val="en-ZA"/>
        </w:rPr>
        <w:t>-</w:t>
      </w:r>
      <w:r w:rsidRPr="00A43743">
        <w:rPr>
          <w:rFonts w:ascii="Cambria" w:hAnsi="Cambria"/>
          <w:sz w:val="20"/>
          <w:lang w:val="en-ZA"/>
        </w:rPr>
        <w:t>202</w:t>
      </w:r>
      <w:r w:rsidR="00171448" w:rsidRPr="00A43743">
        <w:rPr>
          <w:rFonts w:ascii="Cambria" w:hAnsi="Cambria"/>
          <w:sz w:val="20"/>
          <w:lang w:val="en-ZA"/>
        </w:rPr>
        <w:t>6</w:t>
      </w:r>
      <w:r w:rsidRPr="00A43743">
        <w:rPr>
          <w:rFonts w:ascii="Cambria" w:hAnsi="Cambria"/>
          <w:sz w:val="20"/>
          <w:lang w:val="en-ZA"/>
        </w:rPr>
        <w:t>.</w:t>
      </w:r>
    </w:p>
    <w:p w14:paraId="2CB159AE" w14:textId="77777777" w:rsidR="00CD5F4C" w:rsidRPr="00A43743" w:rsidRDefault="00CD5F4C" w:rsidP="00F53FC2">
      <w:pPr>
        <w:tabs>
          <w:tab w:val="left" w:pos="284"/>
        </w:tabs>
        <w:autoSpaceDE w:val="0"/>
        <w:autoSpaceDN w:val="0"/>
        <w:adjustRightInd w:val="0"/>
        <w:jc w:val="both"/>
        <w:rPr>
          <w:rFonts w:ascii="Cambria" w:hAnsi="Cambria"/>
          <w:sz w:val="20"/>
          <w:lang w:val="en-ZA"/>
        </w:rPr>
      </w:pPr>
    </w:p>
    <w:p w14:paraId="2ACA32C4" w14:textId="739AD972" w:rsidR="00CD5F4C" w:rsidRPr="00A43743" w:rsidRDefault="00CD5F4C" w:rsidP="00F53FC2">
      <w:pPr>
        <w:tabs>
          <w:tab w:val="left" w:pos="284"/>
        </w:tabs>
        <w:autoSpaceDE w:val="0"/>
        <w:autoSpaceDN w:val="0"/>
        <w:adjustRightInd w:val="0"/>
        <w:ind w:left="284" w:hanging="284"/>
        <w:jc w:val="both"/>
        <w:rPr>
          <w:rFonts w:ascii="Cambria" w:hAnsi="Cambria"/>
          <w:sz w:val="20"/>
          <w:lang w:val="en-ZA"/>
        </w:rPr>
      </w:pPr>
      <w:r w:rsidRPr="00A43743">
        <w:rPr>
          <w:rFonts w:ascii="Cambria" w:hAnsi="Cambria"/>
          <w:sz w:val="20"/>
          <w:lang w:val="en-ZA"/>
        </w:rPr>
        <w:t>2.</w:t>
      </w:r>
      <w:r w:rsidRPr="00A43743">
        <w:rPr>
          <w:rFonts w:ascii="Cambria" w:hAnsi="Cambria"/>
          <w:sz w:val="20"/>
          <w:lang w:val="en-ZA"/>
        </w:rPr>
        <w:tab/>
        <w:t xml:space="preserve">Notwithstanding the provisions of paragraph 1, should the total reported </w:t>
      </w:r>
      <w:r w:rsidR="008633BF" w:rsidRPr="00A43743">
        <w:rPr>
          <w:rFonts w:ascii="Cambria" w:hAnsi="Cambria"/>
          <w:sz w:val="20"/>
          <w:lang w:val="en-ZA"/>
        </w:rPr>
        <w:t xml:space="preserve">southern Atlantic </w:t>
      </w:r>
      <w:r w:rsidRPr="00A43743">
        <w:rPr>
          <w:rFonts w:ascii="Cambria" w:hAnsi="Cambria"/>
          <w:sz w:val="20"/>
          <w:lang w:val="en-ZA"/>
        </w:rPr>
        <w:t xml:space="preserve">albacore </w:t>
      </w:r>
      <w:proofErr w:type="gramStart"/>
      <w:r w:rsidRPr="00A43743">
        <w:rPr>
          <w:rFonts w:ascii="Cambria" w:hAnsi="Cambria"/>
          <w:sz w:val="20"/>
          <w:lang w:val="en-ZA"/>
        </w:rPr>
        <w:t>catches</w:t>
      </w:r>
      <w:proofErr w:type="gramEnd"/>
      <w:r w:rsidRPr="00A43743">
        <w:rPr>
          <w:rFonts w:ascii="Cambria" w:hAnsi="Cambria"/>
          <w:sz w:val="20"/>
          <w:lang w:val="en-ZA"/>
        </w:rPr>
        <w:t xml:space="preserve"> in 20</w:t>
      </w:r>
      <w:r w:rsidR="00224E36" w:rsidRPr="00A43743">
        <w:rPr>
          <w:rFonts w:ascii="Cambria" w:hAnsi="Cambria"/>
          <w:sz w:val="20"/>
          <w:lang w:val="en-ZA"/>
        </w:rPr>
        <w:t>2</w:t>
      </w:r>
      <w:r w:rsidR="006A3447" w:rsidRPr="00A43743">
        <w:rPr>
          <w:rFonts w:ascii="Cambria" w:hAnsi="Cambria"/>
          <w:sz w:val="20"/>
          <w:lang w:val="en-ZA"/>
        </w:rPr>
        <w:t>2</w:t>
      </w:r>
      <w:r w:rsidRPr="00A43743">
        <w:rPr>
          <w:rFonts w:ascii="Cambria" w:hAnsi="Cambria"/>
          <w:sz w:val="20"/>
          <w:lang w:val="en-ZA"/>
        </w:rPr>
        <w:t>, as reported to the 20</w:t>
      </w:r>
      <w:r w:rsidR="00224E36" w:rsidRPr="00A43743">
        <w:rPr>
          <w:rFonts w:ascii="Cambria" w:hAnsi="Cambria"/>
          <w:sz w:val="20"/>
          <w:lang w:val="en-ZA"/>
        </w:rPr>
        <w:t>2</w:t>
      </w:r>
      <w:r w:rsidR="006A3447" w:rsidRPr="00A43743">
        <w:rPr>
          <w:rFonts w:ascii="Cambria" w:hAnsi="Cambria"/>
          <w:sz w:val="20"/>
          <w:lang w:val="en-ZA"/>
        </w:rPr>
        <w:t>3</w:t>
      </w:r>
      <w:r w:rsidRPr="00A43743">
        <w:rPr>
          <w:rFonts w:ascii="Cambria" w:hAnsi="Cambria"/>
          <w:sz w:val="20"/>
          <w:lang w:val="en-ZA"/>
        </w:rPr>
        <w:t xml:space="preserve"> ICCAT meeting, exceed 2</w:t>
      </w:r>
      <w:r w:rsidR="006A3447" w:rsidRPr="00A43743">
        <w:rPr>
          <w:rFonts w:ascii="Cambria" w:hAnsi="Cambria"/>
          <w:sz w:val="20"/>
          <w:lang w:val="en-ZA"/>
        </w:rPr>
        <w:t>8</w:t>
      </w:r>
      <w:r w:rsidRPr="00A43743">
        <w:rPr>
          <w:rFonts w:ascii="Cambria" w:hAnsi="Cambria"/>
          <w:sz w:val="20"/>
          <w:lang w:val="en-ZA"/>
        </w:rPr>
        <w:t xml:space="preserve">,000 t, the TAC for </w:t>
      </w:r>
      <w:r w:rsidRPr="00A43743">
        <w:rPr>
          <w:rFonts w:ascii="Cambria" w:eastAsia="Calibri" w:hAnsi="Cambria"/>
          <w:sz w:val="20"/>
          <w:szCs w:val="20"/>
          <w:lang w:val="en-ZA"/>
        </w:rPr>
        <w:t>20</w:t>
      </w:r>
      <w:r w:rsidR="00224E36" w:rsidRPr="00A43743">
        <w:rPr>
          <w:rFonts w:ascii="Cambria" w:eastAsia="Calibri" w:hAnsi="Cambria"/>
          <w:sz w:val="20"/>
          <w:szCs w:val="20"/>
          <w:lang w:val="en-ZA"/>
        </w:rPr>
        <w:t>2</w:t>
      </w:r>
      <w:r w:rsidR="00E255E1" w:rsidRPr="00A43743">
        <w:rPr>
          <w:rFonts w:ascii="Cambria" w:eastAsia="Calibri" w:hAnsi="Cambria"/>
          <w:sz w:val="20"/>
          <w:szCs w:val="20"/>
          <w:lang w:val="en-ZA"/>
        </w:rPr>
        <w:t>4</w:t>
      </w:r>
      <w:r w:rsidRPr="00A43743">
        <w:rPr>
          <w:rFonts w:ascii="Cambria" w:hAnsi="Cambria"/>
          <w:sz w:val="20"/>
          <w:lang w:val="en-ZA"/>
        </w:rPr>
        <w:t xml:space="preserve"> shall be reduced by the full amount of the 20</w:t>
      </w:r>
      <w:r w:rsidR="00224E36" w:rsidRPr="00A43743">
        <w:rPr>
          <w:rFonts w:ascii="Cambria" w:hAnsi="Cambria"/>
          <w:sz w:val="20"/>
          <w:lang w:val="en-ZA"/>
        </w:rPr>
        <w:t>2</w:t>
      </w:r>
      <w:r w:rsidR="006A3447" w:rsidRPr="00A43743">
        <w:rPr>
          <w:rFonts w:ascii="Cambria" w:hAnsi="Cambria"/>
          <w:sz w:val="20"/>
          <w:lang w:val="en-ZA"/>
        </w:rPr>
        <w:t>2</w:t>
      </w:r>
      <w:r w:rsidRPr="00A43743">
        <w:rPr>
          <w:rFonts w:ascii="Cambria" w:hAnsi="Cambria"/>
          <w:sz w:val="20"/>
          <w:lang w:val="en-ZA"/>
        </w:rPr>
        <w:t xml:space="preserve"> catch in excess of 2</w:t>
      </w:r>
      <w:r w:rsidR="006A3447" w:rsidRPr="00A43743">
        <w:rPr>
          <w:rFonts w:ascii="Cambria" w:hAnsi="Cambria"/>
          <w:sz w:val="20"/>
          <w:lang w:val="en-ZA"/>
        </w:rPr>
        <w:t>8</w:t>
      </w:r>
      <w:r w:rsidRPr="00A43743">
        <w:rPr>
          <w:rFonts w:ascii="Cambria" w:hAnsi="Cambria"/>
          <w:sz w:val="20"/>
          <w:lang w:val="en-ZA"/>
        </w:rPr>
        <w:t>,000 t.</w:t>
      </w:r>
    </w:p>
    <w:p w14:paraId="2A0A58C7" w14:textId="04627752" w:rsidR="00825B27" w:rsidRPr="00A43743" w:rsidRDefault="00825B27">
      <w:pPr>
        <w:rPr>
          <w:rFonts w:ascii="Cambria" w:hAnsi="Cambria"/>
          <w:sz w:val="20"/>
          <w:lang w:val="en-ZA"/>
        </w:rPr>
      </w:pPr>
    </w:p>
    <w:p w14:paraId="334079BB" w14:textId="689AECEF" w:rsidR="00825B27" w:rsidRPr="00A43743" w:rsidRDefault="00CD5F4C" w:rsidP="00F53FC2">
      <w:pPr>
        <w:tabs>
          <w:tab w:val="left" w:pos="284"/>
        </w:tabs>
        <w:autoSpaceDE w:val="0"/>
        <w:autoSpaceDN w:val="0"/>
        <w:adjustRightInd w:val="0"/>
        <w:jc w:val="both"/>
        <w:rPr>
          <w:rFonts w:ascii="Cambria" w:hAnsi="Cambria"/>
          <w:sz w:val="20"/>
          <w:lang w:val="en-ZA"/>
        </w:rPr>
      </w:pPr>
      <w:r w:rsidRPr="00A43743">
        <w:rPr>
          <w:rFonts w:ascii="Cambria" w:hAnsi="Cambria"/>
          <w:sz w:val="20"/>
          <w:lang w:val="en-ZA"/>
        </w:rPr>
        <w:t>3.</w:t>
      </w:r>
      <w:r w:rsidRPr="00A43743">
        <w:rPr>
          <w:rFonts w:ascii="Cambria" w:hAnsi="Cambria"/>
          <w:sz w:val="20"/>
          <w:lang w:val="en-ZA"/>
        </w:rPr>
        <w:tab/>
        <w:t>The annual catch limits for southern Atlantic albacore shall be as follows:</w:t>
      </w:r>
    </w:p>
    <w:p w14:paraId="17EF5AD8" w14:textId="1C9C0745" w:rsidR="003B5C09" w:rsidRPr="00A43743" w:rsidRDefault="003B5C09" w:rsidP="00F53FC2">
      <w:pPr>
        <w:tabs>
          <w:tab w:val="left" w:pos="284"/>
        </w:tabs>
        <w:autoSpaceDE w:val="0"/>
        <w:autoSpaceDN w:val="0"/>
        <w:adjustRightInd w:val="0"/>
        <w:jc w:val="both"/>
        <w:rPr>
          <w:rFonts w:ascii="Cambria" w:hAnsi="Cambria"/>
          <w:sz w:val="20"/>
          <w:lang w:val="en-ZA"/>
        </w:rPr>
      </w:pPr>
      <w:r w:rsidRPr="00A43743">
        <w:rPr>
          <w:rFonts w:ascii="Cambria" w:hAnsi="Cambria"/>
          <w:sz w:val="20"/>
          <w:lang w:val="en-ZA"/>
        </w:rPr>
        <w:tab/>
        <w:t>a)</w:t>
      </w:r>
    </w:p>
    <w:tbl>
      <w:tblPr>
        <w:tblStyle w:val="LightShading1"/>
        <w:tblW w:w="4400" w:type="dxa"/>
        <w:tblInd w:w="2654" w:type="dxa"/>
        <w:tblLook w:val="04A0" w:firstRow="1" w:lastRow="0" w:firstColumn="1" w:lastColumn="0" w:noHBand="0" w:noVBand="1"/>
      </w:tblPr>
      <w:tblGrid>
        <w:gridCol w:w="3266"/>
        <w:gridCol w:w="1134"/>
      </w:tblGrid>
      <w:tr w:rsidR="00CD5F4C" w:rsidRPr="00A43743" w14:paraId="03755621" w14:textId="77777777" w:rsidTr="00B1769E">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400" w:type="dxa"/>
            <w:gridSpan w:val="2"/>
          </w:tcPr>
          <w:p w14:paraId="27FBD70A" w14:textId="5DFF5498" w:rsidR="00CD5F4C" w:rsidRPr="00A43743" w:rsidRDefault="00CD5F4C" w:rsidP="00F53FC2">
            <w:pPr>
              <w:autoSpaceDE w:val="0"/>
              <w:autoSpaceDN w:val="0"/>
              <w:adjustRightInd w:val="0"/>
              <w:jc w:val="right"/>
              <w:rPr>
                <w:rFonts w:ascii="Cambria" w:hAnsi="Cambria"/>
                <w:b w:val="0"/>
                <w:i/>
                <w:sz w:val="20"/>
              </w:rPr>
            </w:pPr>
            <w:r w:rsidRPr="00A43743">
              <w:rPr>
                <w:rFonts w:ascii="Cambria" w:hAnsi="Cambria"/>
                <w:i/>
                <w:sz w:val="20"/>
              </w:rPr>
              <w:t>Catch limits (t)</w:t>
            </w:r>
            <w:r w:rsidR="0071582C" w:rsidRPr="00A43743">
              <w:rPr>
                <w:rFonts w:ascii="Cambria" w:hAnsi="Cambria"/>
                <w:i/>
                <w:sz w:val="20"/>
              </w:rPr>
              <w:t>*</w:t>
            </w:r>
          </w:p>
        </w:tc>
      </w:tr>
      <w:tr w:rsidR="00CD5F4C" w:rsidRPr="00A43743" w14:paraId="1E7727D8" w14:textId="77777777" w:rsidTr="00B1769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266" w:type="dxa"/>
          </w:tcPr>
          <w:p w14:paraId="4775EC01" w14:textId="77777777" w:rsidR="00CD5F4C" w:rsidRPr="00A43743" w:rsidRDefault="00CD5F4C" w:rsidP="00F53FC2">
            <w:pPr>
              <w:autoSpaceDE w:val="0"/>
              <w:autoSpaceDN w:val="0"/>
              <w:adjustRightInd w:val="0"/>
              <w:jc w:val="both"/>
              <w:rPr>
                <w:rFonts w:ascii="Cambria" w:hAnsi="Cambria"/>
                <w:b w:val="0"/>
                <w:sz w:val="20"/>
              </w:rPr>
            </w:pPr>
            <w:r w:rsidRPr="00A43743">
              <w:rPr>
                <w:rFonts w:ascii="Cambria" w:hAnsi="Cambria"/>
                <w:b w:val="0"/>
                <w:sz w:val="20"/>
              </w:rPr>
              <w:t>Angola</w:t>
            </w:r>
          </w:p>
        </w:tc>
        <w:tc>
          <w:tcPr>
            <w:tcW w:w="1134" w:type="dxa"/>
          </w:tcPr>
          <w:p w14:paraId="11EBCF2A" w14:textId="67E0F175" w:rsidR="00CD5F4C" w:rsidRPr="00A43743" w:rsidRDefault="00153C35" w:rsidP="00F53FC2">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Cambria" w:hAnsi="Cambria"/>
                <w:sz w:val="20"/>
              </w:rPr>
            </w:pPr>
            <w:r w:rsidRPr="00A43743">
              <w:rPr>
                <w:rFonts w:ascii="Cambria" w:hAnsi="Cambria"/>
                <w:sz w:val="20"/>
                <w:lang w:val="en-US"/>
              </w:rPr>
              <w:t>60</w:t>
            </w:r>
          </w:p>
        </w:tc>
      </w:tr>
      <w:tr w:rsidR="00CD5F4C" w:rsidRPr="00A43743" w14:paraId="27F6B982" w14:textId="77777777" w:rsidTr="00B1769E">
        <w:trPr>
          <w:trHeight w:val="170"/>
        </w:trPr>
        <w:tc>
          <w:tcPr>
            <w:cnfStyle w:val="001000000000" w:firstRow="0" w:lastRow="0" w:firstColumn="1" w:lastColumn="0" w:oddVBand="0" w:evenVBand="0" w:oddHBand="0" w:evenHBand="0" w:firstRowFirstColumn="0" w:firstRowLastColumn="0" w:lastRowFirstColumn="0" w:lastRowLastColumn="0"/>
            <w:tcW w:w="3266" w:type="dxa"/>
          </w:tcPr>
          <w:p w14:paraId="5C405C0A" w14:textId="77777777" w:rsidR="00CD5F4C" w:rsidRPr="00A43743" w:rsidRDefault="00CD5F4C" w:rsidP="00F53FC2">
            <w:pPr>
              <w:autoSpaceDE w:val="0"/>
              <w:autoSpaceDN w:val="0"/>
              <w:adjustRightInd w:val="0"/>
              <w:jc w:val="both"/>
              <w:rPr>
                <w:rFonts w:ascii="Cambria" w:hAnsi="Cambria"/>
                <w:b w:val="0"/>
                <w:sz w:val="20"/>
              </w:rPr>
            </w:pPr>
            <w:r w:rsidRPr="00A43743">
              <w:rPr>
                <w:rFonts w:ascii="Cambria" w:hAnsi="Cambria"/>
                <w:b w:val="0"/>
                <w:sz w:val="20"/>
              </w:rPr>
              <w:t>Belize</w:t>
            </w:r>
          </w:p>
        </w:tc>
        <w:tc>
          <w:tcPr>
            <w:tcW w:w="1134" w:type="dxa"/>
          </w:tcPr>
          <w:p w14:paraId="2C17CBEB" w14:textId="7897A2FB" w:rsidR="00CD5F4C" w:rsidRPr="00A43743" w:rsidRDefault="00153C35" w:rsidP="00F53FC2">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Cambria" w:hAnsi="Cambria"/>
                <w:sz w:val="20"/>
              </w:rPr>
            </w:pPr>
            <w:r w:rsidRPr="00A43743">
              <w:rPr>
                <w:rFonts w:ascii="Cambria" w:hAnsi="Cambria"/>
                <w:sz w:val="20"/>
                <w:lang w:val="en-US"/>
              </w:rPr>
              <w:t>300</w:t>
            </w:r>
          </w:p>
        </w:tc>
      </w:tr>
      <w:tr w:rsidR="00CD5F4C" w:rsidRPr="00A43743" w14:paraId="2DD88F38" w14:textId="77777777" w:rsidTr="00B1769E">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266" w:type="dxa"/>
          </w:tcPr>
          <w:p w14:paraId="3F37807A" w14:textId="77777777" w:rsidR="00CD5F4C" w:rsidRPr="00A43743" w:rsidRDefault="00CD5F4C" w:rsidP="00F53FC2">
            <w:pPr>
              <w:autoSpaceDE w:val="0"/>
              <w:autoSpaceDN w:val="0"/>
              <w:adjustRightInd w:val="0"/>
              <w:jc w:val="both"/>
              <w:rPr>
                <w:rFonts w:ascii="Cambria" w:hAnsi="Cambria"/>
                <w:b w:val="0"/>
                <w:sz w:val="20"/>
              </w:rPr>
            </w:pPr>
            <w:r w:rsidRPr="00A43743">
              <w:rPr>
                <w:rFonts w:ascii="Cambria" w:hAnsi="Cambria"/>
                <w:b w:val="0"/>
                <w:sz w:val="20"/>
              </w:rPr>
              <w:t>Brazil</w:t>
            </w:r>
          </w:p>
        </w:tc>
        <w:tc>
          <w:tcPr>
            <w:tcW w:w="1134" w:type="dxa"/>
          </w:tcPr>
          <w:p w14:paraId="4F489067" w14:textId="09467F69" w:rsidR="00CD5F4C" w:rsidRPr="00A43743" w:rsidRDefault="00153C35" w:rsidP="00F53FC2">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Cambria" w:hAnsi="Cambria"/>
                <w:sz w:val="20"/>
              </w:rPr>
            </w:pPr>
            <w:r w:rsidRPr="00A43743">
              <w:rPr>
                <w:rFonts w:ascii="Cambria" w:hAnsi="Cambria"/>
                <w:sz w:val="20"/>
                <w:lang w:val="en-US"/>
              </w:rPr>
              <w:t>2</w:t>
            </w:r>
            <w:r w:rsidR="007C2989" w:rsidRPr="00A43743">
              <w:rPr>
                <w:rFonts w:ascii="Cambria" w:hAnsi="Cambria"/>
                <w:sz w:val="20"/>
                <w:lang w:val="en-US"/>
              </w:rPr>
              <w:t>,</w:t>
            </w:r>
            <w:r w:rsidRPr="00A43743">
              <w:rPr>
                <w:rFonts w:ascii="Cambria" w:hAnsi="Cambria"/>
                <w:sz w:val="20"/>
                <w:lang w:val="en-US"/>
              </w:rPr>
              <w:t>600</w:t>
            </w:r>
          </w:p>
        </w:tc>
      </w:tr>
      <w:tr w:rsidR="00CD5F4C" w:rsidRPr="00A43743" w14:paraId="2297CEB8" w14:textId="77777777" w:rsidTr="00B1769E">
        <w:trPr>
          <w:trHeight w:val="170"/>
        </w:trPr>
        <w:tc>
          <w:tcPr>
            <w:cnfStyle w:val="001000000000" w:firstRow="0" w:lastRow="0" w:firstColumn="1" w:lastColumn="0" w:oddVBand="0" w:evenVBand="0" w:oddHBand="0" w:evenHBand="0" w:firstRowFirstColumn="0" w:firstRowLastColumn="0" w:lastRowFirstColumn="0" w:lastRowLastColumn="0"/>
            <w:tcW w:w="3266" w:type="dxa"/>
          </w:tcPr>
          <w:p w14:paraId="67FB1BFA" w14:textId="77777777" w:rsidR="00CD5F4C" w:rsidRPr="00A43743" w:rsidRDefault="00CD5F4C" w:rsidP="00F53FC2">
            <w:pPr>
              <w:autoSpaceDE w:val="0"/>
              <w:autoSpaceDN w:val="0"/>
              <w:adjustRightInd w:val="0"/>
              <w:jc w:val="both"/>
              <w:rPr>
                <w:rFonts w:ascii="Cambria" w:hAnsi="Cambria"/>
                <w:b w:val="0"/>
                <w:sz w:val="20"/>
              </w:rPr>
            </w:pPr>
            <w:r w:rsidRPr="00A43743">
              <w:rPr>
                <w:rFonts w:ascii="Cambria" w:hAnsi="Cambria"/>
                <w:b w:val="0"/>
                <w:sz w:val="20"/>
              </w:rPr>
              <w:t>China</w:t>
            </w:r>
          </w:p>
        </w:tc>
        <w:tc>
          <w:tcPr>
            <w:tcW w:w="1134" w:type="dxa"/>
          </w:tcPr>
          <w:p w14:paraId="276D2E59" w14:textId="4ACAFA80" w:rsidR="00CD5F4C" w:rsidRPr="00A43743" w:rsidRDefault="00153C35" w:rsidP="00F53FC2">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Cambria" w:hAnsi="Cambria"/>
                <w:sz w:val="20"/>
              </w:rPr>
            </w:pPr>
            <w:r w:rsidRPr="00A43743">
              <w:rPr>
                <w:rFonts w:ascii="Cambria" w:hAnsi="Cambria"/>
                <w:sz w:val="20"/>
                <w:lang w:val="en-US"/>
              </w:rPr>
              <w:t>240</w:t>
            </w:r>
          </w:p>
        </w:tc>
      </w:tr>
      <w:tr w:rsidR="00CD5F4C" w:rsidRPr="00A43743" w14:paraId="6CED0AFE" w14:textId="77777777" w:rsidTr="00B1769E">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266" w:type="dxa"/>
          </w:tcPr>
          <w:p w14:paraId="34E24023" w14:textId="77777777" w:rsidR="00CD5F4C" w:rsidRPr="00A43743" w:rsidDel="007A5972" w:rsidRDefault="00CD5F4C" w:rsidP="00F53FC2">
            <w:pPr>
              <w:autoSpaceDE w:val="0"/>
              <w:autoSpaceDN w:val="0"/>
              <w:adjustRightInd w:val="0"/>
              <w:jc w:val="both"/>
              <w:rPr>
                <w:rFonts w:ascii="Cambria" w:hAnsi="Cambria"/>
                <w:b w:val="0"/>
                <w:sz w:val="20"/>
              </w:rPr>
            </w:pPr>
            <w:r w:rsidRPr="00A43743">
              <w:rPr>
                <w:rFonts w:ascii="Cambria" w:hAnsi="Cambria"/>
                <w:b w:val="0"/>
                <w:sz w:val="20"/>
              </w:rPr>
              <w:t>Chinese Taipei</w:t>
            </w:r>
          </w:p>
        </w:tc>
        <w:tc>
          <w:tcPr>
            <w:tcW w:w="1134" w:type="dxa"/>
          </w:tcPr>
          <w:p w14:paraId="66C349A4" w14:textId="4288165C" w:rsidR="00CD5F4C" w:rsidRPr="00A43743" w:rsidDel="007A5972" w:rsidRDefault="00153C35" w:rsidP="00F53FC2">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Cambria" w:hAnsi="Cambria"/>
                <w:sz w:val="20"/>
              </w:rPr>
            </w:pPr>
            <w:r w:rsidRPr="00A43743">
              <w:rPr>
                <w:rFonts w:ascii="Cambria" w:hAnsi="Cambria"/>
                <w:sz w:val="20"/>
                <w:lang w:val="en-US"/>
              </w:rPr>
              <w:t>10</w:t>
            </w:r>
            <w:r w:rsidR="007C2989" w:rsidRPr="00A43743">
              <w:rPr>
                <w:rFonts w:ascii="Cambria" w:hAnsi="Cambria"/>
                <w:sz w:val="20"/>
                <w:lang w:val="en-US"/>
              </w:rPr>
              <w:t>,</w:t>
            </w:r>
            <w:r w:rsidRPr="00A43743">
              <w:rPr>
                <w:rFonts w:ascii="Cambria" w:hAnsi="Cambria"/>
                <w:sz w:val="20"/>
                <w:lang w:val="en-US"/>
              </w:rPr>
              <w:t>340</w:t>
            </w:r>
          </w:p>
        </w:tc>
      </w:tr>
      <w:tr w:rsidR="00CD5F4C" w:rsidRPr="00A43743" w14:paraId="202F11F1" w14:textId="77777777" w:rsidTr="00B1769E">
        <w:trPr>
          <w:trHeight w:val="170"/>
        </w:trPr>
        <w:tc>
          <w:tcPr>
            <w:cnfStyle w:val="001000000000" w:firstRow="0" w:lastRow="0" w:firstColumn="1" w:lastColumn="0" w:oddVBand="0" w:evenVBand="0" w:oddHBand="0" w:evenHBand="0" w:firstRowFirstColumn="0" w:firstRowLastColumn="0" w:lastRowFirstColumn="0" w:lastRowLastColumn="0"/>
            <w:tcW w:w="3266" w:type="dxa"/>
          </w:tcPr>
          <w:p w14:paraId="5CCB9A1F" w14:textId="27DDE280" w:rsidR="00CD5F4C" w:rsidRPr="00A43743" w:rsidDel="007A5972" w:rsidRDefault="00CD5F4C" w:rsidP="00F53FC2">
            <w:pPr>
              <w:autoSpaceDE w:val="0"/>
              <w:autoSpaceDN w:val="0"/>
              <w:adjustRightInd w:val="0"/>
              <w:jc w:val="both"/>
              <w:rPr>
                <w:rFonts w:ascii="Cambria" w:hAnsi="Cambria"/>
                <w:b w:val="0"/>
                <w:sz w:val="20"/>
              </w:rPr>
            </w:pPr>
            <w:r w:rsidRPr="00A43743">
              <w:rPr>
                <w:rFonts w:ascii="Cambria" w:eastAsia="Times New Roman" w:hAnsi="Cambria"/>
                <w:b w:val="0"/>
                <w:sz w:val="20"/>
                <w:szCs w:val="20"/>
                <w:lang w:eastAsia="en-ZA"/>
              </w:rPr>
              <w:t>C</w:t>
            </w:r>
            <w:r w:rsidR="003B5C09" w:rsidRPr="00A43743">
              <w:rPr>
                <w:rFonts w:ascii="Cambria" w:eastAsia="Times New Roman" w:hAnsi="Cambria"/>
                <w:b w:val="0"/>
                <w:sz w:val="20"/>
                <w:szCs w:val="20"/>
                <w:lang w:eastAsia="en-ZA"/>
              </w:rPr>
              <w:t>ô</w:t>
            </w:r>
            <w:r w:rsidRPr="00A43743">
              <w:rPr>
                <w:rFonts w:ascii="Cambria" w:eastAsia="Times New Roman" w:hAnsi="Cambria"/>
                <w:b w:val="0"/>
                <w:sz w:val="20"/>
                <w:szCs w:val="20"/>
                <w:lang w:eastAsia="en-ZA"/>
              </w:rPr>
              <w:t>te</w:t>
            </w:r>
            <w:r w:rsidRPr="00A43743">
              <w:rPr>
                <w:rFonts w:ascii="Cambria" w:hAnsi="Cambria"/>
                <w:b w:val="0"/>
                <w:sz w:val="20"/>
              </w:rPr>
              <w:t xml:space="preserve"> d’Ivoire</w:t>
            </w:r>
          </w:p>
        </w:tc>
        <w:tc>
          <w:tcPr>
            <w:tcW w:w="1134" w:type="dxa"/>
          </w:tcPr>
          <w:p w14:paraId="09E48E2D" w14:textId="6D4BAB55" w:rsidR="00CD5F4C" w:rsidRPr="00A43743" w:rsidDel="007A5972" w:rsidRDefault="00153C35" w:rsidP="00F53FC2">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Cambria" w:hAnsi="Cambria"/>
                <w:sz w:val="20"/>
              </w:rPr>
            </w:pPr>
            <w:r w:rsidRPr="00A43743">
              <w:rPr>
                <w:rFonts w:ascii="Cambria" w:hAnsi="Cambria"/>
                <w:sz w:val="20"/>
                <w:lang w:val="en-US"/>
              </w:rPr>
              <w:t>120</w:t>
            </w:r>
          </w:p>
        </w:tc>
      </w:tr>
      <w:tr w:rsidR="00CD5F4C" w:rsidRPr="00A43743" w14:paraId="495C8618" w14:textId="77777777" w:rsidTr="00B1769E">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266" w:type="dxa"/>
          </w:tcPr>
          <w:p w14:paraId="48D009DD" w14:textId="72B61BA4" w:rsidR="00CD5F4C" w:rsidRPr="00A43743" w:rsidDel="007A5972" w:rsidRDefault="00CD5F4C" w:rsidP="00F53FC2">
            <w:pPr>
              <w:autoSpaceDE w:val="0"/>
              <w:autoSpaceDN w:val="0"/>
              <w:adjustRightInd w:val="0"/>
              <w:jc w:val="both"/>
              <w:rPr>
                <w:rFonts w:ascii="Cambria" w:hAnsi="Cambria"/>
                <w:b w:val="0"/>
                <w:sz w:val="20"/>
              </w:rPr>
            </w:pPr>
            <w:r w:rsidRPr="00A43743">
              <w:rPr>
                <w:rFonts w:ascii="Cambria" w:eastAsia="Times New Roman" w:hAnsi="Cambria"/>
                <w:b w:val="0"/>
                <w:sz w:val="20"/>
                <w:szCs w:val="20"/>
                <w:lang w:eastAsia="en-ZA"/>
              </w:rPr>
              <w:t>Cura</w:t>
            </w:r>
            <w:r w:rsidR="003B5C09" w:rsidRPr="00A43743">
              <w:rPr>
                <w:rFonts w:ascii="Cambria" w:eastAsia="Times New Roman" w:hAnsi="Cambria"/>
                <w:b w:val="0"/>
                <w:sz w:val="20"/>
                <w:szCs w:val="20"/>
                <w:lang w:eastAsia="en-ZA"/>
              </w:rPr>
              <w:t>ç</w:t>
            </w:r>
            <w:r w:rsidRPr="00A43743">
              <w:rPr>
                <w:rFonts w:ascii="Cambria" w:eastAsia="Times New Roman" w:hAnsi="Cambria"/>
                <w:b w:val="0"/>
                <w:sz w:val="20"/>
                <w:szCs w:val="20"/>
                <w:lang w:eastAsia="en-ZA"/>
              </w:rPr>
              <w:t>ao</w:t>
            </w:r>
          </w:p>
        </w:tc>
        <w:tc>
          <w:tcPr>
            <w:tcW w:w="1134" w:type="dxa"/>
          </w:tcPr>
          <w:p w14:paraId="70174FC7" w14:textId="4F4F481B" w:rsidR="00CD5F4C" w:rsidRPr="00A43743" w:rsidDel="007A5972" w:rsidRDefault="00153C35" w:rsidP="00F53FC2">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Cambria" w:hAnsi="Cambria"/>
                <w:sz w:val="20"/>
              </w:rPr>
            </w:pPr>
            <w:r w:rsidRPr="00A43743">
              <w:rPr>
                <w:rFonts w:ascii="Cambria" w:hAnsi="Cambria"/>
                <w:sz w:val="20"/>
                <w:lang w:val="en-US"/>
              </w:rPr>
              <w:t>6</w:t>
            </w:r>
            <w:r w:rsidR="00457983" w:rsidRPr="00A43743">
              <w:rPr>
                <w:rFonts w:ascii="Cambria" w:hAnsi="Cambria"/>
                <w:sz w:val="20"/>
                <w:lang w:val="en-US"/>
              </w:rPr>
              <w:t>0</w:t>
            </w:r>
          </w:p>
        </w:tc>
      </w:tr>
      <w:tr w:rsidR="00CD5F4C" w:rsidRPr="00A43743" w14:paraId="119CFABF" w14:textId="77777777" w:rsidTr="00B1769E">
        <w:trPr>
          <w:trHeight w:val="170"/>
        </w:trPr>
        <w:tc>
          <w:tcPr>
            <w:cnfStyle w:val="001000000000" w:firstRow="0" w:lastRow="0" w:firstColumn="1" w:lastColumn="0" w:oddVBand="0" w:evenVBand="0" w:oddHBand="0" w:evenHBand="0" w:firstRowFirstColumn="0" w:firstRowLastColumn="0" w:lastRowFirstColumn="0" w:lastRowLastColumn="0"/>
            <w:tcW w:w="3266" w:type="dxa"/>
          </w:tcPr>
          <w:p w14:paraId="7D9129D8" w14:textId="77777777" w:rsidR="00CD5F4C" w:rsidRPr="00A43743" w:rsidDel="007A5972" w:rsidRDefault="00CD5F4C" w:rsidP="00F53FC2">
            <w:pPr>
              <w:autoSpaceDE w:val="0"/>
              <w:autoSpaceDN w:val="0"/>
              <w:adjustRightInd w:val="0"/>
              <w:jc w:val="both"/>
              <w:rPr>
                <w:rFonts w:ascii="Cambria" w:hAnsi="Cambria"/>
                <w:b w:val="0"/>
                <w:sz w:val="20"/>
              </w:rPr>
            </w:pPr>
            <w:r w:rsidRPr="00A43743">
              <w:rPr>
                <w:rFonts w:ascii="Cambria" w:hAnsi="Cambria"/>
                <w:b w:val="0"/>
                <w:sz w:val="20"/>
              </w:rPr>
              <w:t>European Union</w:t>
            </w:r>
          </w:p>
        </w:tc>
        <w:tc>
          <w:tcPr>
            <w:tcW w:w="1134" w:type="dxa"/>
          </w:tcPr>
          <w:p w14:paraId="44FF4F96" w14:textId="5F785BA5" w:rsidR="00CD5F4C" w:rsidRPr="00A43743" w:rsidDel="007A5972" w:rsidRDefault="00153C35" w:rsidP="00F53FC2">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Cambria" w:hAnsi="Cambria"/>
                <w:sz w:val="20"/>
              </w:rPr>
            </w:pPr>
            <w:r w:rsidRPr="00A43743">
              <w:rPr>
                <w:rFonts w:ascii="Cambria" w:hAnsi="Cambria"/>
                <w:sz w:val="20"/>
                <w:lang w:val="en-US"/>
              </w:rPr>
              <w:t>1</w:t>
            </w:r>
            <w:r w:rsidR="007C2989" w:rsidRPr="00A43743">
              <w:rPr>
                <w:rFonts w:ascii="Cambria" w:hAnsi="Cambria"/>
                <w:sz w:val="20"/>
                <w:lang w:val="en-US"/>
              </w:rPr>
              <w:t>,</w:t>
            </w:r>
            <w:r w:rsidRPr="00A43743">
              <w:rPr>
                <w:rFonts w:ascii="Cambria" w:hAnsi="Cambria"/>
                <w:sz w:val="20"/>
                <w:lang w:val="en-US"/>
              </w:rPr>
              <w:t>765</w:t>
            </w:r>
          </w:p>
        </w:tc>
      </w:tr>
      <w:tr w:rsidR="00CD5F4C" w:rsidRPr="00A43743" w14:paraId="38F32632" w14:textId="77777777" w:rsidTr="00B1769E">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266" w:type="dxa"/>
          </w:tcPr>
          <w:p w14:paraId="4E4C2F47" w14:textId="77777777" w:rsidR="00CD5F4C" w:rsidRPr="00A43743" w:rsidDel="007A5972" w:rsidRDefault="00CD5F4C" w:rsidP="00F53FC2">
            <w:pPr>
              <w:autoSpaceDE w:val="0"/>
              <w:autoSpaceDN w:val="0"/>
              <w:adjustRightInd w:val="0"/>
              <w:jc w:val="both"/>
              <w:rPr>
                <w:rFonts w:ascii="Cambria" w:hAnsi="Cambria"/>
                <w:b w:val="0"/>
                <w:sz w:val="20"/>
              </w:rPr>
            </w:pPr>
            <w:r w:rsidRPr="00A43743">
              <w:rPr>
                <w:rFonts w:ascii="Cambria" w:hAnsi="Cambria"/>
                <w:b w:val="0"/>
                <w:sz w:val="20"/>
              </w:rPr>
              <w:t>Japan</w:t>
            </w:r>
          </w:p>
        </w:tc>
        <w:tc>
          <w:tcPr>
            <w:tcW w:w="1134" w:type="dxa"/>
          </w:tcPr>
          <w:p w14:paraId="5BBE91FB" w14:textId="4071C20F" w:rsidR="00CD5F4C" w:rsidRPr="00A43743" w:rsidDel="007A5972" w:rsidRDefault="00B66512" w:rsidP="00F53FC2">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Cambria" w:hAnsi="Cambria"/>
                <w:sz w:val="20"/>
              </w:rPr>
            </w:pPr>
            <w:r w:rsidRPr="00A43743">
              <w:rPr>
                <w:rFonts w:ascii="Cambria" w:hAnsi="Cambria"/>
                <w:sz w:val="20"/>
                <w:lang w:val="en-US"/>
              </w:rPr>
              <w:t>1</w:t>
            </w:r>
            <w:r w:rsidR="007C2989" w:rsidRPr="00A43743">
              <w:rPr>
                <w:rFonts w:ascii="Cambria" w:hAnsi="Cambria"/>
                <w:sz w:val="20"/>
                <w:lang w:val="en-US"/>
              </w:rPr>
              <w:t>,</w:t>
            </w:r>
            <w:r w:rsidRPr="00A43743">
              <w:rPr>
                <w:rFonts w:ascii="Cambria" w:hAnsi="Cambria"/>
                <w:sz w:val="20"/>
                <w:lang w:val="en-US"/>
              </w:rPr>
              <w:t>630</w:t>
            </w:r>
          </w:p>
        </w:tc>
      </w:tr>
      <w:tr w:rsidR="00CD5F4C" w:rsidRPr="00A43743" w14:paraId="3FA8B599" w14:textId="77777777" w:rsidTr="00B1769E">
        <w:trPr>
          <w:trHeight w:val="170"/>
        </w:trPr>
        <w:tc>
          <w:tcPr>
            <w:cnfStyle w:val="001000000000" w:firstRow="0" w:lastRow="0" w:firstColumn="1" w:lastColumn="0" w:oddVBand="0" w:evenVBand="0" w:oddHBand="0" w:evenHBand="0" w:firstRowFirstColumn="0" w:firstRowLastColumn="0" w:lastRowFirstColumn="0" w:lastRowLastColumn="0"/>
            <w:tcW w:w="3266" w:type="dxa"/>
          </w:tcPr>
          <w:p w14:paraId="630D2819" w14:textId="77777777" w:rsidR="00CD5F4C" w:rsidRPr="00A43743" w:rsidDel="007A5972" w:rsidRDefault="00CD5F4C" w:rsidP="00F53FC2">
            <w:pPr>
              <w:autoSpaceDE w:val="0"/>
              <w:autoSpaceDN w:val="0"/>
              <w:adjustRightInd w:val="0"/>
              <w:jc w:val="both"/>
              <w:rPr>
                <w:rFonts w:ascii="Cambria" w:hAnsi="Cambria"/>
                <w:b w:val="0"/>
                <w:sz w:val="20"/>
              </w:rPr>
            </w:pPr>
            <w:r w:rsidRPr="00A43743">
              <w:rPr>
                <w:rFonts w:ascii="Cambria" w:hAnsi="Cambria"/>
                <w:b w:val="0"/>
                <w:sz w:val="20"/>
              </w:rPr>
              <w:t>Korea</w:t>
            </w:r>
          </w:p>
        </w:tc>
        <w:tc>
          <w:tcPr>
            <w:tcW w:w="1134" w:type="dxa"/>
          </w:tcPr>
          <w:p w14:paraId="0AC8426B" w14:textId="72B15F88" w:rsidR="00CD5F4C" w:rsidRPr="00A43743" w:rsidDel="007A5972" w:rsidRDefault="00B66512" w:rsidP="00F53FC2">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Cambria" w:hAnsi="Cambria"/>
                <w:sz w:val="20"/>
              </w:rPr>
            </w:pPr>
            <w:r w:rsidRPr="00A43743">
              <w:rPr>
                <w:rFonts w:ascii="Cambria" w:hAnsi="Cambria"/>
                <w:sz w:val="20"/>
                <w:lang w:val="en-US"/>
              </w:rPr>
              <w:t>170</w:t>
            </w:r>
          </w:p>
        </w:tc>
      </w:tr>
      <w:tr w:rsidR="00CD5F4C" w:rsidRPr="00A43743" w14:paraId="394E3150" w14:textId="77777777" w:rsidTr="00B1769E">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266" w:type="dxa"/>
          </w:tcPr>
          <w:p w14:paraId="464B874C" w14:textId="77777777" w:rsidR="00CD5F4C" w:rsidRPr="00A43743" w:rsidDel="007A5972" w:rsidRDefault="00CD5F4C" w:rsidP="00F53FC2">
            <w:pPr>
              <w:autoSpaceDE w:val="0"/>
              <w:autoSpaceDN w:val="0"/>
              <w:adjustRightInd w:val="0"/>
              <w:jc w:val="both"/>
              <w:rPr>
                <w:rFonts w:ascii="Cambria" w:hAnsi="Cambria"/>
                <w:b w:val="0"/>
                <w:sz w:val="20"/>
              </w:rPr>
            </w:pPr>
            <w:r w:rsidRPr="00A43743">
              <w:rPr>
                <w:rFonts w:ascii="Cambria" w:hAnsi="Cambria"/>
                <w:b w:val="0"/>
                <w:sz w:val="20"/>
              </w:rPr>
              <w:t>Namibia</w:t>
            </w:r>
          </w:p>
        </w:tc>
        <w:tc>
          <w:tcPr>
            <w:tcW w:w="1134" w:type="dxa"/>
          </w:tcPr>
          <w:p w14:paraId="5A924AD8" w14:textId="7DBBF33F" w:rsidR="00CD5F4C" w:rsidRPr="00A43743" w:rsidDel="007A5972" w:rsidRDefault="00B66512" w:rsidP="00F53FC2">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Cambria" w:hAnsi="Cambria"/>
                <w:sz w:val="20"/>
              </w:rPr>
            </w:pPr>
            <w:r w:rsidRPr="00A43743">
              <w:rPr>
                <w:rFonts w:ascii="Cambria" w:hAnsi="Cambria"/>
                <w:sz w:val="20"/>
                <w:lang w:val="en-US"/>
              </w:rPr>
              <w:t>4</w:t>
            </w:r>
            <w:r w:rsidR="007C2989" w:rsidRPr="00A43743">
              <w:rPr>
                <w:rFonts w:ascii="Cambria" w:hAnsi="Cambria"/>
                <w:sz w:val="20"/>
                <w:lang w:val="en-US"/>
              </w:rPr>
              <w:t>,</w:t>
            </w:r>
            <w:r w:rsidRPr="00A43743">
              <w:rPr>
                <w:rFonts w:ascii="Cambria" w:hAnsi="Cambria"/>
                <w:sz w:val="20"/>
                <w:lang w:val="en-US"/>
              </w:rPr>
              <w:t>320</w:t>
            </w:r>
          </w:p>
        </w:tc>
      </w:tr>
      <w:tr w:rsidR="00CD5F4C" w:rsidRPr="00A43743" w14:paraId="72C13960" w14:textId="77777777" w:rsidTr="00B1769E">
        <w:trPr>
          <w:trHeight w:val="170"/>
        </w:trPr>
        <w:tc>
          <w:tcPr>
            <w:cnfStyle w:val="001000000000" w:firstRow="0" w:lastRow="0" w:firstColumn="1" w:lastColumn="0" w:oddVBand="0" w:evenVBand="0" w:oddHBand="0" w:evenHBand="0" w:firstRowFirstColumn="0" w:firstRowLastColumn="0" w:lastRowFirstColumn="0" w:lastRowLastColumn="0"/>
            <w:tcW w:w="3266" w:type="dxa"/>
          </w:tcPr>
          <w:p w14:paraId="21EFD87A" w14:textId="77777777" w:rsidR="00CD5F4C" w:rsidRPr="00A43743" w:rsidDel="007A5972" w:rsidRDefault="00CD5F4C" w:rsidP="00F53FC2">
            <w:pPr>
              <w:autoSpaceDE w:val="0"/>
              <w:autoSpaceDN w:val="0"/>
              <w:adjustRightInd w:val="0"/>
              <w:jc w:val="both"/>
              <w:rPr>
                <w:rFonts w:ascii="Cambria" w:hAnsi="Cambria"/>
                <w:b w:val="0"/>
                <w:sz w:val="20"/>
              </w:rPr>
            </w:pPr>
            <w:r w:rsidRPr="00A43743">
              <w:rPr>
                <w:rFonts w:ascii="Cambria" w:hAnsi="Cambria"/>
                <w:b w:val="0"/>
                <w:sz w:val="20"/>
              </w:rPr>
              <w:t>South Africa</w:t>
            </w:r>
          </w:p>
        </w:tc>
        <w:tc>
          <w:tcPr>
            <w:tcW w:w="1134" w:type="dxa"/>
          </w:tcPr>
          <w:p w14:paraId="0950906C" w14:textId="0CDF7429" w:rsidR="00CD5F4C" w:rsidRPr="00A43743" w:rsidDel="007A5972" w:rsidRDefault="00B66512" w:rsidP="00B1769E">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Cambria" w:hAnsi="Cambria"/>
                <w:sz w:val="20"/>
              </w:rPr>
            </w:pPr>
            <w:r w:rsidRPr="00A43743">
              <w:rPr>
                <w:rFonts w:ascii="Cambria" w:hAnsi="Cambria"/>
                <w:sz w:val="20"/>
              </w:rPr>
              <w:t>5</w:t>
            </w:r>
            <w:r w:rsidR="007C2989" w:rsidRPr="00A43743">
              <w:rPr>
                <w:rFonts w:ascii="Cambria" w:hAnsi="Cambria"/>
                <w:sz w:val="20"/>
              </w:rPr>
              <w:t>,</w:t>
            </w:r>
            <w:r w:rsidRPr="00A43743">
              <w:rPr>
                <w:rFonts w:ascii="Cambria" w:hAnsi="Cambria"/>
                <w:sz w:val="20"/>
              </w:rPr>
              <w:t>280</w:t>
            </w:r>
          </w:p>
        </w:tc>
      </w:tr>
      <w:tr w:rsidR="00CD5F4C" w:rsidRPr="00A43743" w14:paraId="7D1E2B25" w14:textId="77777777" w:rsidTr="00B1769E">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266" w:type="dxa"/>
          </w:tcPr>
          <w:p w14:paraId="79C31647" w14:textId="077EEA9F" w:rsidR="00CD5F4C" w:rsidRPr="00A43743" w:rsidDel="007A5972" w:rsidRDefault="00CD5F4C" w:rsidP="00F53FC2">
            <w:pPr>
              <w:autoSpaceDE w:val="0"/>
              <w:autoSpaceDN w:val="0"/>
              <w:adjustRightInd w:val="0"/>
              <w:jc w:val="both"/>
              <w:rPr>
                <w:rFonts w:ascii="Cambria" w:hAnsi="Cambria"/>
                <w:b w:val="0"/>
                <w:sz w:val="20"/>
              </w:rPr>
            </w:pPr>
            <w:r w:rsidRPr="00A43743">
              <w:rPr>
                <w:rFonts w:ascii="Cambria" w:hAnsi="Cambria"/>
                <w:b w:val="0"/>
                <w:sz w:val="20"/>
              </w:rPr>
              <w:t>St Vincent and</w:t>
            </w:r>
            <w:r w:rsidR="00194A0F" w:rsidRPr="00A43743">
              <w:rPr>
                <w:rFonts w:ascii="Cambria" w:hAnsi="Cambria"/>
                <w:b w:val="0"/>
                <w:sz w:val="20"/>
              </w:rPr>
              <w:t xml:space="preserve"> </w:t>
            </w:r>
            <w:r w:rsidRPr="00A43743">
              <w:rPr>
                <w:rFonts w:ascii="Cambria" w:hAnsi="Cambria"/>
                <w:b w:val="0"/>
                <w:sz w:val="20"/>
              </w:rPr>
              <w:t>Grenadines</w:t>
            </w:r>
          </w:p>
        </w:tc>
        <w:tc>
          <w:tcPr>
            <w:tcW w:w="1134" w:type="dxa"/>
          </w:tcPr>
          <w:p w14:paraId="4C3A8C1E" w14:textId="2AFB905B" w:rsidR="00CD5F4C" w:rsidRPr="00A43743" w:rsidDel="007A5972" w:rsidRDefault="00B66512" w:rsidP="00F53FC2">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Cambria" w:hAnsi="Cambria"/>
                <w:sz w:val="20"/>
              </w:rPr>
            </w:pPr>
            <w:r w:rsidRPr="00A43743">
              <w:rPr>
                <w:rFonts w:ascii="Cambria" w:hAnsi="Cambria"/>
                <w:sz w:val="20"/>
                <w:lang w:val="en-US"/>
              </w:rPr>
              <w:t>170</w:t>
            </w:r>
          </w:p>
        </w:tc>
      </w:tr>
      <w:tr w:rsidR="00CD5F4C" w:rsidRPr="00A43743" w14:paraId="0E9C9115" w14:textId="77777777" w:rsidTr="00B1769E">
        <w:trPr>
          <w:trHeight w:val="170"/>
        </w:trPr>
        <w:tc>
          <w:tcPr>
            <w:cnfStyle w:val="001000000000" w:firstRow="0" w:lastRow="0" w:firstColumn="1" w:lastColumn="0" w:oddVBand="0" w:evenVBand="0" w:oddHBand="0" w:evenHBand="0" w:firstRowFirstColumn="0" w:firstRowLastColumn="0" w:lastRowFirstColumn="0" w:lastRowLastColumn="0"/>
            <w:tcW w:w="3266" w:type="dxa"/>
          </w:tcPr>
          <w:p w14:paraId="096A18E4" w14:textId="0D265E78" w:rsidR="00CD5F4C" w:rsidRPr="00A43743" w:rsidDel="007A5972" w:rsidRDefault="00CD5F4C" w:rsidP="00F53FC2">
            <w:pPr>
              <w:autoSpaceDE w:val="0"/>
              <w:autoSpaceDN w:val="0"/>
              <w:adjustRightInd w:val="0"/>
              <w:jc w:val="both"/>
              <w:rPr>
                <w:rFonts w:ascii="Cambria" w:hAnsi="Cambria"/>
                <w:b w:val="0"/>
                <w:sz w:val="20"/>
              </w:rPr>
            </w:pPr>
            <w:r w:rsidRPr="00A43743">
              <w:rPr>
                <w:rFonts w:ascii="Cambria" w:hAnsi="Cambria"/>
                <w:b w:val="0"/>
                <w:sz w:val="20"/>
              </w:rPr>
              <w:t>U</w:t>
            </w:r>
            <w:r w:rsidR="00B973E9" w:rsidRPr="00A43743">
              <w:rPr>
                <w:rFonts w:ascii="Cambria" w:hAnsi="Cambria"/>
                <w:b w:val="0"/>
                <w:sz w:val="20"/>
              </w:rPr>
              <w:t xml:space="preserve">nited </w:t>
            </w:r>
            <w:r w:rsidRPr="00A43743">
              <w:rPr>
                <w:rFonts w:ascii="Cambria" w:hAnsi="Cambria"/>
                <w:b w:val="0"/>
                <w:sz w:val="20"/>
              </w:rPr>
              <w:t>K</w:t>
            </w:r>
            <w:r w:rsidR="00B973E9" w:rsidRPr="00A43743">
              <w:rPr>
                <w:rFonts w:ascii="Cambria" w:hAnsi="Cambria"/>
                <w:b w:val="0"/>
                <w:sz w:val="20"/>
              </w:rPr>
              <w:t>ingdom</w:t>
            </w:r>
            <w:r w:rsidR="009036D3" w:rsidRPr="00A43743">
              <w:rPr>
                <w:rStyle w:val="FootnoteReference"/>
                <w:rFonts w:ascii="Cambria" w:hAnsi="Cambria"/>
                <w:b w:val="0"/>
                <w:sz w:val="20"/>
              </w:rPr>
              <w:footnoteReference w:id="2"/>
            </w:r>
            <w:r w:rsidRPr="00A43743">
              <w:rPr>
                <w:rFonts w:ascii="Cambria" w:hAnsi="Cambria"/>
                <w:b w:val="0"/>
                <w:sz w:val="20"/>
              </w:rPr>
              <w:t xml:space="preserve"> </w:t>
            </w:r>
          </w:p>
        </w:tc>
        <w:tc>
          <w:tcPr>
            <w:tcW w:w="1134" w:type="dxa"/>
          </w:tcPr>
          <w:p w14:paraId="46498C6A" w14:textId="1965F86F" w:rsidR="00CD5F4C" w:rsidRPr="00A43743" w:rsidDel="007A5972" w:rsidRDefault="00B66512" w:rsidP="00F53FC2">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Cambria" w:hAnsi="Cambria"/>
                <w:sz w:val="20"/>
              </w:rPr>
            </w:pPr>
            <w:r w:rsidRPr="00A43743">
              <w:rPr>
                <w:rFonts w:ascii="Cambria" w:hAnsi="Cambria"/>
                <w:sz w:val="20"/>
                <w:lang w:val="en-US"/>
              </w:rPr>
              <w:t>120</w:t>
            </w:r>
          </w:p>
        </w:tc>
      </w:tr>
      <w:tr w:rsidR="00CD5F4C" w:rsidRPr="00A43743" w14:paraId="73B259AB" w14:textId="77777777" w:rsidTr="00B1769E">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266" w:type="dxa"/>
          </w:tcPr>
          <w:p w14:paraId="27768C8D" w14:textId="77777777" w:rsidR="00CD5F4C" w:rsidRPr="00A43743" w:rsidDel="007A5972" w:rsidRDefault="00CD5F4C" w:rsidP="00F53FC2">
            <w:pPr>
              <w:autoSpaceDE w:val="0"/>
              <w:autoSpaceDN w:val="0"/>
              <w:adjustRightInd w:val="0"/>
              <w:jc w:val="both"/>
              <w:rPr>
                <w:rFonts w:ascii="Cambria" w:hAnsi="Cambria"/>
                <w:b w:val="0"/>
                <w:sz w:val="20"/>
              </w:rPr>
            </w:pPr>
            <w:r w:rsidRPr="00A43743">
              <w:rPr>
                <w:rFonts w:ascii="Cambria" w:hAnsi="Cambria"/>
                <w:b w:val="0"/>
                <w:sz w:val="20"/>
              </w:rPr>
              <w:t>Uruguay</w:t>
            </w:r>
          </w:p>
        </w:tc>
        <w:tc>
          <w:tcPr>
            <w:tcW w:w="1134" w:type="dxa"/>
          </w:tcPr>
          <w:p w14:paraId="09FAC05D" w14:textId="195586DC" w:rsidR="00CD5F4C" w:rsidRPr="00A43743" w:rsidDel="007A5972" w:rsidRDefault="00B66512" w:rsidP="00F53FC2">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Cambria" w:hAnsi="Cambria"/>
                <w:sz w:val="20"/>
              </w:rPr>
            </w:pPr>
            <w:r w:rsidRPr="00A43743">
              <w:rPr>
                <w:rFonts w:ascii="Cambria" w:hAnsi="Cambria"/>
                <w:sz w:val="20"/>
                <w:lang w:val="en-US"/>
              </w:rPr>
              <w:t>530</w:t>
            </w:r>
          </w:p>
        </w:tc>
      </w:tr>
      <w:tr w:rsidR="00CD5F4C" w:rsidRPr="00A43743" w14:paraId="444C29B2" w14:textId="77777777" w:rsidTr="00B1769E">
        <w:trPr>
          <w:trHeight w:val="170"/>
        </w:trPr>
        <w:tc>
          <w:tcPr>
            <w:cnfStyle w:val="001000000000" w:firstRow="0" w:lastRow="0" w:firstColumn="1" w:lastColumn="0" w:oddVBand="0" w:evenVBand="0" w:oddHBand="0" w:evenHBand="0" w:firstRowFirstColumn="0" w:firstRowLastColumn="0" w:lastRowFirstColumn="0" w:lastRowLastColumn="0"/>
            <w:tcW w:w="3266" w:type="dxa"/>
          </w:tcPr>
          <w:p w14:paraId="1C26E391" w14:textId="671FE172" w:rsidR="00CD5F4C" w:rsidRPr="00A43743" w:rsidDel="007A5972" w:rsidRDefault="008009BE" w:rsidP="00F53FC2">
            <w:pPr>
              <w:autoSpaceDE w:val="0"/>
              <w:autoSpaceDN w:val="0"/>
              <w:adjustRightInd w:val="0"/>
              <w:jc w:val="both"/>
              <w:rPr>
                <w:rFonts w:ascii="Cambria" w:hAnsi="Cambria"/>
                <w:b w:val="0"/>
                <w:bCs w:val="0"/>
                <w:strike/>
                <w:sz w:val="20"/>
              </w:rPr>
            </w:pPr>
            <w:r w:rsidRPr="00A43743">
              <w:rPr>
                <w:rFonts w:ascii="Cambria" w:hAnsi="Cambria"/>
                <w:b w:val="0"/>
                <w:bCs w:val="0"/>
                <w:sz w:val="20"/>
              </w:rPr>
              <w:t>Philippines</w:t>
            </w:r>
          </w:p>
        </w:tc>
        <w:tc>
          <w:tcPr>
            <w:tcW w:w="1134" w:type="dxa"/>
          </w:tcPr>
          <w:p w14:paraId="1AF501A0" w14:textId="40E20EAB" w:rsidR="00CD5F4C" w:rsidRPr="00A43743" w:rsidDel="007A5972" w:rsidRDefault="008009BE" w:rsidP="00F53FC2">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Cambria" w:hAnsi="Cambria"/>
                <w:strike/>
                <w:sz w:val="20"/>
              </w:rPr>
            </w:pPr>
            <w:r w:rsidRPr="00A43743">
              <w:rPr>
                <w:rFonts w:ascii="Cambria" w:hAnsi="Cambria"/>
                <w:sz w:val="20"/>
              </w:rPr>
              <w:t>30</w:t>
            </w:r>
          </w:p>
        </w:tc>
      </w:tr>
    </w:tbl>
    <w:p w14:paraId="2E676D7D" w14:textId="3317DD1F" w:rsidR="0071582C" w:rsidRPr="00A43743" w:rsidRDefault="0071582C" w:rsidP="00B973E9">
      <w:pPr>
        <w:autoSpaceDE w:val="0"/>
        <w:autoSpaceDN w:val="0"/>
        <w:adjustRightInd w:val="0"/>
        <w:ind w:left="2160" w:firstLineChars="245" w:firstLine="392"/>
        <w:jc w:val="both"/>
        <w:rPr>
          <w:rFonts w:ascii="Cambria" w:hAnsi="Cambria"/>
          <w:sz w:val="16"/>
          <w:szCs w:val="16"/>
          <w:lang w:val="en-ZA"/>
        </w:rPr>
      </w:pPr>
      <w:r w:rsidRPr="00A43743">
        <w:rPr>
          <w:rFonts w:ascii="Cambria" w:hAnsi="Cambria"/>
          <w:sz w:val="16"/>
          <w:szCs w:val="16"/>
          <w:lang w:val="en-ZA"/>
        </w:rPr>
        <w:t>* The following annual transfers of catch limits shall be authorized</w:t>
      </w:r>
      <w:r w:rsidR="00B24273" w:rsidRPr="00A43743">
        <w:rPr>
          <w:rFonts w:ascii="Cambria" w:hAnsi="Cambria"/>
          <w:sz w:val="16"/>
          <w:szCs w:val="16"/>
          <w:lang w:val="en-ZA"/>
        </w:rPr>
        <w:t>:</w:t>
      </w:r>
    </w:p>
    <w:p w14:paraId="50E026E8" w14:textId="1004A785" w:rsidR="0071582C" w:rsidRPr="00A43743" w:rsidRDefault="0071582C" w:rsidP="00B973E9">
      <w:pPr>
        <w:autoSpaceDE w:val="0"/>
        <w:autoSpaceDN w:val="0"/>
        <w:adjustRightInd w:val="0"/>
        <w:ind w:left="1965" w:firstLineChars="483" w:firstLine="773"/>
        <w:jc w:val="both"/>
        <w:rPr>
          <w:rFonts w:ascii="Cambria" w:hAnsi="Cambria"/>
          <w:sz w:val="16"/>
          <w:szCs w:val="16"/>
          <w:lang w:val="en-ZA"/>
        </w:rPr>
      </w:pPr>
      <w:r w:rsidRPr="00A43743">
        <w:rPr>
          <w:rFonts w:ascii="Cambria" w:hAnsi="Cambria"/>
          <w:sz w:val="16"/>
          <w:szCs w:val="16"/>
          <w:lang w:val="en-ZA"/>
        </w:rPr>
        <w:t>From Brazil to Japan: 100 t</w:t>
      </w:r>
      <w:r w:rsidR="00BF43F9" w:rsidRPr="00A43743">
        <w:rPr>
          <w:rFonts w:ascii="Cambria" w:hAnsi="Cambria"/>
          <w:sz w:val="16"/>
          <w:szCs w:val="16"/>
          <w:lang w:val="en-ZA"/>
        </w:rPr>
        <w:t xml:space="preserve"> in</w:t>
      </w:r>
      <w:r w:rsidR="00B24273" w:rsidRPr="00A43743">
        <w:rPr>
          <w:rFonts w:ascii="Cambria" w:hAnsi="Cambria"/>
          <w:sz w:val="16"/>
          <w:szCs w:val="16"/>
          <w:lang w:val="en-ZA"/>
        </w:rPr>
        <w:t xml:space="preserve"> 20</w:t>
      </w:r>
      <w:r w:rsidR="00AE6850" w:rsidRPr="00A43743">
        <w:rPr>
          <w:rFonts w:ascii="Cambria" w:hAnsi="Cambria"/>
          <w:sz w:val="16"/>
          <w:szCs w:val="16"/>
          <w:lang w:val="en-ZA"/>
        </w:rPr>
        <w:t>23</w:t>
      </w:r>
      <w:r w:rsidR="00B24273" w:rsidRPr="00A43743">
        <w:rPr>
          <w:rFonts w:ascii="Cambria" w:hAnsi="Cambria"/>
          <w:sz w:val="16"/>
          <w:szCs w:val="16"/>
          <w:lang w:val="en-ZA"/>
        </w:rPr>
        <w:t>-202</w:t>
      </w:r>
      <w:r w:rsidR="00AE6850" w:rsidRPr="00A43743">
        <w:rPr>
          <w:rFonts w:ascii="Cambria" w:hAnsi="Cambria"/>
          <w:sz w:val="16"/>
          <w:szCs w:val="16"/>
          <w:lang w:val="en-ZA"/>
        </w:rPr>
        <w:t>6</w:t>
      </w:r>
    </w:p>
    <w:p w14:paraId="275D2CB4" w14:textId="2B76BFC1" w:rsidR="0071582C" w:rsidRPr="00A43743" w:rsidRDefault="0071582C" w:rsidP="00B1769E">
      <w:pPr>
        <w:autoSpaceDE w:val="0"/>
        <w:autoSpaceDN w:val="0"/>
        <w:adjustRightInd w:val="0"/>
        <w:ind w:left="2160" w:firstLine="578"/>
        <w:jc w:val="both"/>
        <w:rPr>
          <w:rFonts w:ascii="Cambria" w:hAnsi="Cambria"/>
          <w:sz w:val="16"/>
          <w:szCs w:val="16"/>
          <w:lang w:val="en-ZA"/>
        </w:rPr>
      </w:pPr>
      <w:r w:rsidRPr="00A43743">
        <w:rPr>
          <w:rFonts w:ascii="Cambria" w:hAnsi="Cambria"/>
          <w:sz w:val="16"/>
          <w:szCs w:val="16"/>
          <w:lang w:val="en-ZA"/>
        </w:rPr>
        <w:t>From Uruguay to Japan: 100 t</w:t>
      </w:r>
      <w:r w:rsidR="00B24273" w:rsidRPr="00A43743">
        <w:rPr>
          <w:rFonts w:ascii="Cambria" w:hAnsi="Cambria"/>
          <w:sz w:val="16"/>
          <w:szCs w:val="16"/>
          <w:lang w:val="en-ZA"/>
        </w:rPr>
        <w:t xml:space="preserve"> </w:t>
      </w:r>
      <w:r w:rsidR="00BF43F9" w:rsidRPr="00A43743">
        <w:rPr>
          <w:rFonts w:ascii="Cambria" w:hAnsi="Cambria"/>
          <w:sz w:val="16"/>
          <w:szCs w:val="16"/>
          <w:lang w:val="en-ZA"/>
        </w:rPr>
        <w:t>in</w:t>
      </w:r>
      <w:r w:rsidR="00B24273" w:rsidRPr="00A43743">
        <w:rPr>
          <w:rFonts w:ascii="Cambria" w:hAnsi="Cambria"/>
          <w:sz w:val="16"/>
          <w:szCs w:val="16"/>
          <w:lang w:val="en-ZA"/>
        </w:rPr>
        <w:t xml:space="preserve"> 20</w:t>
      </w:r>
      <w:r w:rsidR="00AE6850" w:rsidRPr="00A43743">
        <w:rPr>
          <w:rFonts w:ascii="Cambria" w:hAnsi="Cambria"/>
          <w:sz w:val="16"/>
          <w:szCs w:val="16"/>
          <w:lang w:val="en-ZA"/>
        </w:rPr>
        <w:t>23</w:t>
      </w:r>
      <w:r w:rsidR="00B24273" w:rsidRPr="00A43743">
        <w:rPr>
          <w:rFonts w:ascii="Cambria" w:hAnsi="Cambria"/>
          <w:sz w:val="16"/>
          <w:szCs w:val="16"/>
          <w:lang w:val="en-ZA"/>
        </w:rPr>
        <w:t>-20</w:t>
      </w:r>
      <w:r w:rsidR="00AE6850" w:rsidRPr="00A43743">
        <w:rPr>
          <w:rFonts w:ascii="Cambria" w:hAnsi="Cambria"/>
          <w:sz w:val="16"/>
          <w:szCs w:val="16"/>
          <w:lang w:val="en-ZA"/>
        </w:rPr>
        <w:t>26</w:t>
      </w:r>
    </w:p>
    <w:p w14:paraId="67B45033" w14:textId="6626328F" w:rsidR="00B24273" w:rsidRPr="00A43743" w:rsidRDefault="00B24273" w:rsidP="00B1769E">
      <w:pPr>
        <w:autoSpaceDE w:val="0"/>
        <w:autoSpaceDN w:val="0"/>
        <w:adjustRightInd w:val="0"/>
        <w:ind w:left="2018" w:firstLine="720"/>
        <w:jc w:val="both"/>
        <w:rPr>
          <w:rFonts w:ascii="Cambria" w:hAnsi="Cambria"/>
          <w:sz w:val="16"/>
          <w:szCs w:val="16"/>
          <w:lang w:val="en-ZA"/>
        </w:rPr>
      </w:pPr>
      <w:r w:rsidRPr="00A43743">
        <w:rPr>
          <w:rFonts w:ascii="Cambria" w:hAnsi="Cambria"/>
          <w:sz w:val="16"/>
          <w:szCs w:val="16"/>
          <w:lang w:val="en-ZA"/>
        </w:rPr>
        <w:t xml:space="preserve">From South Africa to Japan: 100 t </w:t>
      </w:r>
      <w:r w:rsidR="00BF43F9" w:rsidRPr="00A43743">
        <w:rPr>
          <w:rFonts w:ascii="Cambria" w:hAnsi="Cambria"/>
          <w:sz w:val="16"/>
          <w:szCs w:val="16"/>
          <w:lang w:val="en-ZA"/>
        </w:rPr>
        <w:t>in</w:t>
      </w:r>
      <w:r w:rsidRPr="00A43743">
        <w:rPr>
          <w:rFonts w:ascii="Cambria" w:hAnsi="Cambria"/>
          <w:sz w:val="16"/>
          <w:szCs w:val="16"/>
          <w:lang w:val="en-ZA"/>
        </w:rPr>
        <w:t xml:space="preserve"> 20</w:t>
      </w:r>
      <w:r w:rsidR="00AE6850" w:rsidRPr="00A43743">
        <w:rPr>
          <w:rFonts w:ascii="Cambria" w:hAnsi="Cambria"/>
          <w:sz w:val="16"/>
          <w:szCs w:val="16"/>
          <w:lang w:val="en-ZA"/>
        </w:rPr>
        <w:t>23</w:t>
      </w:r>
      <w:r w:rsidRPr="00A43743">
        <w:rPr>
          <w:rFonts w:ascii="Cambria" w:hAnsi="Cambria"/>
          <w:sz w:val="16"/>
          <w:szCs w:val="16"/>
          <w:lang w:val="en-ZA"/>
        </w:rPr>
        <w:t>-202</w:t>
      </w:r>
      <w:r w:rsidR="00AE6850" w:rsidRPr="00A43743">
        <w:rPr>
          <w:rFonts w:ascii="Cambria" w:hAnsi="Cambria"/>
          <w:sz w:val="16"/>
          <w:szCs w:val="16"/>
          <w:lang w:val="en-ZA"/>
        </w:rPr>
        <w:t>6</w:t>
      </w:r>
      <w:r w:rsidRPr="00A43743">
        <w:rPr>
          <w:rFonts w:ascii="Cambria" w:hAnsi="Cambria"/>
          <w:sz w:val="16"/>
          <w:szCs w:val="16"/>
          <w:lang w:val="en-ZA"/>
        </w:rPr>
        <w:t xml:space="preserve"> </w:t>
      </w:r>
    </w:p>
    <w:p w14:paraId="3C88B4EE" w14:textId="77777777" w:rsidR="0071582C" w:rsidRPr="00A43743" w:rsidRDefault="0071582C" w:rsidP="00B1769E">
      <w:pPr>
        <w:autoSpaceDE w:val="0"/>
        <w:autoSpaceDN w:val="0"/>
        <w:adjustRightInd w:val="0"/>
        <w:ind w:left="720" w:hanging="720"/>
        <w:jc w:val="both"/>
        <w:rPr>
          <w:rFonts w:ascii="Cambria" w:hAnsi="Cambria"/>
          <w:sz w:val="16"/>
          <w:szCs w:val="16"/>
          <w:lang w:val="en-ZA"/>
        </w:rPr>
      </w:pPr>
    </w:p>
    <w:p w14:paraId="48683A6A" w14:textId="284A86BB" w:rsidR="00CD5F4C" w:rsidRPr="00A43743" w:rsidRDefault="003B5C09" w:rsidP="003B5C09">
      <w:pPr>
        <w:tabs>
          <w:tab w:val="left" w:pos="284"/>
        </w:tabs>
        <w:autoSpaceDE w:val="0"/>
        <w:autoSpaceDN w:val="0"/>
        <w:adjustRightInd w:val="0"/>
        <w:jc w:val="both"/>
        <w:rPr>
          <w:rFonts w:ascii="Cambria" w:hAnsi="Cambria"/>
          <w:sz w:val="20"/>
          <w:lang w:val="en-ZA"/>
        </w:rPr>
      </w:pPr>
      <w:r w:rsidRPr="00A43743">
        <w:rPr>
          <w:rFonts w:ascii="Cambria" w:hAnsi="Cambria"/>
          <w:sz w:val="20"/>
          <w:lang w:val="en-ZA"/>
        </w:rPr>
        <w:lastRenderedPageBreak/>
        <w:tab/>
        <w:t>b)</w:t>
      </w:r>
      <w:r w:rsidRPr="00A43743">
        <w:rPr>
          <w:rFonts w:ascii="Cambria" w:hAnsi="Cambria"/>
          <w:sz w:val="20"/>
          <w:lang w:val="en-ZA"/>
        </w:rPr>
        <w:tab/>
      </w:r>
      <w:r w:rsidR="00CD5F4C" w:rsidRPr="00A43743">
        <w:rPr>
          <w:rFonts w:ascii="Cambria" w:hAnsi="Cambria"/>
          <w:sz w:val="20"/>
          <w:lang w:val="en-ZA"/>
        </w:rPr>
        <w:t>All</w:t>
      </w:r>
      <w:r w:rsidR="00CD5F4C" w:rsidRPr="00A43743">
        <w:rPr>
          <w:rFonts w:ascii="Cambria" w:hAnsi="Cambria"/>
          <w:color w:val="000000"/>
          <w:sz w:val="20"/>
          <w:lang w:val="en-ZA"/>
        </w:rPr>
        <w:t xml:space="preserve"> other CPCs not listed above shall limit their catches to </w:t>
      </w:r>
      <w:r w:rsidR="007A1ACE" w:rsidRPr="00A43743">
        <w:rPr>
          <w:rFonts w:ascii="Cambria" w:hAnsi="Cambria"/>
          <w:color w:val="000000"/>
          <w:sz w:val="20"/>
          <w:lang w:val="en-ZA"/>
        </w:rPr>
        <w:t>30</w:t>
      </w:r>
      <w:r w:rsidR="00CD5F4C" w:rsidRPr="00A43743">
        <w:rPr>
          <w:rFonts w:ascii="Cambria" w:hAnsi="Cambria"/>
          <w:color w:val="000000"/>
          <w:sz w:val="20"/>
          <w:lang w:val="en-ZA"/>
        </w:rPr>
        <w:t xml:space="preserve"> t</w:t>
      </w:r>
      <w:r w:rsidR="001029FF" w:rsidRPr="00A43743">
        <w:rPr>
          <w:rFonts w:ascii="Cambria" w:hAnsi="Cambria"/>
          <w:color w:val="000000"/>
          <w:sz w:val="20"/>
          <w:lang w:val="en-ZA"/>
        </w:rPr>
        <w:t>.</w:t>
      </w:r>
    </w:p>
    <w:p w14:paraId="250D7D99" w14:textId="77777777" w:rsidR="00825B27" w:rsidRPr="00A43743" w:rsidRDefault="00825B27" w:rsidP="00B1769E">
      <w:pPr>
        <w:pStyle w:val="ListParagraph"/>
        <w:tabs>
          <w:tab w:val="left" w:pos="284"/>
        </w:tabs>
        <w:autoSpaceDE w:val="0"/>
        <w:autoSpaceDN w:val="0"/>
        <w:adjustRightInd w:val="0"/>
        <w:jc w:val="both"/>
        <w:rPr>
          <w:rFonts w:ascii="Cambria" w:hAnsi="Cambria"/>
          <w:sz w:val="20"/>
          <w:lang w:val="en-ZA"/>
        </w:rPr>
      </w:pPr>
    </w:p>
    <w:p w14:paraId="3F0F4A2C" w14:textId="4B49A262" w:rsidR="00491E96" w:rsidRPr="00A43743" w:rsidRDefault="003B5C09" w:rsidP="003B5C09">
      <w:pPr>
        <w:tabs>
          <w:tab w:val="left" w:pos="284"/>
        </w:tabs>
        <w:autoSpaceDE w:val="0"/>
        <w:autoSpaceDN w:val="0"/>
        <w:adjustRightInd w:val="0"/>
        <w:ind w:left="720" w:hanging="720"/>
        <w:jc w:val="both"/>
        <w:rPr>
          <w:rFonts w:ascii="Cambria" w:eastAsia="Calibri" w:hAnsi="Cambria"/>
          <w:sz w:val="20"/>
          <w:szCs w:val="20"/>
          <w:lang w:val="en-ZA"/>
        </w:rPr>
      </w:pPr>
      <w:r w:rsidRPr="00A43743">
        <w:rPr>
          <w:rFonts w:ascii="Cambria" w:eastAsia="Times New Roman" w:hAnsi="Cambria"/>
          <w:color w:val="000000"/>
          <w:sz w:val="20"/>
          <w:szCs w:val="20"/>
          <w:lang w:val="en-ZA" w:eastAsia="en-ZA"/>
        </w:rPr>
        <w:tab/>
        <w:t>c)</w:t>
      </w:r>
      <w:r w:rsidRPr="00A43743">
        <w:rPr>
          <w:rFonts w:ascii="Cambria" w:eastAsia="Times New Roman" w:hAnsi="Cambria"/>
          <w:color w:val="000000"/>
          <w:sz w:val="20"/>
          <w:szCs w:val="20"/>
          <w:lang w:val="en-ZA" w:eastAsia="en-ZA"/>
        </w:rPr>
        <w:tab/>
      </w:r>
      <w:r w:rsidR="00491E96" w:rsidRPr="00A43743">
        <w:rPr>
          <w:rFonts w:ascii="Cambria" w:eastAsia="Times New Roman" w:hAnsi="Cambria"/>
          <w:color w:val="000000"/>
          <w:sz w:val="20"/>
          <w:szCs w:val="20"/>
          <w:lang w:val="en-ZA" w:eastAsia="en-ZA"/>
        </w:rPr>
        <w:t>The catch limits described in this Recommendation do not constitute long term rights and are without prejudice to any future process of allocation.</w:t>
      </w:r>
    </w:p>
    <w:p w14:paraId="1B6F708D" w14:textId="77777777" w:rsidR="009036D3" w:rsidRPr="00A43743" w:rsidRDefault="009036D3" w:rsidP="00F53FC2">
      <w:pPr>
        <w:tabs>
          <w:tab w:val="left" w:pos="284"/>
          <w:tab w:val="left" w:pos="567"/>
          <w:tab w:val="left" w:pos="851"/>
        </w:tabs>
        <w:autoSpaceDE w:val="0"/>
        <w:autoSpaceDN w:val="0"/>
        <w:adjustRightInd w:val="0"/>
        <w:ind w:left="284" w:hanging="284"/>
        <w:jc w:val="both"/>
        <w:rPr>
          <w:rFonts w:ascii="Cambria" w:hAnsi="Cambria"/>
          <w:sz w:val="20"/>
          <w:lang w:val="en-ZA"/>
        </w:rPr>
      </w:pPr>
    </w:p>
    <w:p w14:paraId="49AA0E8F" w14:textId="77777777" w:rsidR="00CD5F4C" w:rsidRPr="00A43743" w:rsidRDefault="00CD5F4C" w:rsidP="00B1769E">
      <w:pPr>
        <w:tabs>
          <w:tab w:val="left" w:pos="426"/>
        </w:tabs>
        <w:autoSpaceDE w:val="0"/>
        <w:autoSpaceDN w:val="0"/>
        <w:adjustRightInd w:val="0"/>
        <w:ind w:left="426" w:hanging="426"/>
        <w:jc w:val="both"/>
        <w:rPr>
          <w:rFonts w:ascii="Cambria" w:hAnsi="Cambria"/>
          <w:sz w:val="20"/>
          <w:lang w:val="en-ZA"/>
        </w:rPr>
      </w:pPr>
      <w:r w:rsidRPr="00A43743">
        <w:rPr>
          <w:rFonts w:ascii="Cambria" w:hAnsi="Cambria"/>
          <w:sz w:val="20"/>
          <w:lang w:val="en-ZA"/>
        </w:rPr>
        <w:t xml:space="preserve">4. </w:t>
      </w:r>
      <w:r w:rsidRPr="00A43743">
        <w:rPr>
          <w:rFonts w:ascii="Cambria" w:hAnsi="Cambria"/>
          <w:sz w:val="20"/>
          <w:lang w:val="en-ZA"/>
        </w:rPr>
        <w:tab/>
        <w:t>Any unused portion or excess of the individual annual catch limits may be added to/shall be deducted from, according to the case, the respective catch limit during or before the adjustment year, in the following way for southern Atlantic albacore:</w:t>
      </w:r>
    </w:p>
    <w:p w14:paraId="1BFD53C0" w14:textId="77777777" w:rsidR="00CD5F4C" w:rsidRPr="00A43743" w:rsidRDefault="00CD5F4C" w:rsidP="00F53FC2">
      <w:pPr>
        <w:tabs>
          <w:tab w:val="left" w:pos="284"/>
          <w:tab w:val="left" w:pos="567"/>
          <w:tab w:val="left" w:pos="851"/>
        </w:tabs>
        <w:autoSpaceDE w:val="0"/>
        <w:autoSpaceDN w:val="0"/>
        <w:adjustRightInd w:val="0"/>
        <w:jc w:val="both"/>
        <w:rPr>
          <w:rFonts w:ascii="Cambria" w:hAnsi="Cambria"/>
          <w:sz w:val="20"/>
          <w:lang w:val="en-ZA"/>
        </w:rPr>
      </w:pPr>
    </w:p>
    <w:p w14:paraId="6082B162" w14:textId="77777777" w:rsidR="00CD5F4C" w:rsidRPr="00A43743" w:rsidRDefault="00CD5F4C" w:rsidP="006416ED">
      <w:pPr>
        <w:pStyle w:val="ListParagraph"/>
        <w:numPr>
          <w:ilvl w:val="0"/>
          <w:numId w:val="13"/>
        </w:numPr>
        <w:ind w:left="851" w:hanging="425"/>
        <w:jc w:val="both"/>
        <w:rPr>
          <w:rFonts w:ascii="Cambria" w:hAnsi="Cambria"/>
          <w:sz w:val="20"/>
        </w:rPr>
      </w:pPr>
      <w:proofErr w:type="spellStart"/>
      <w:r w:rsidRPr="00A43743">
        <w:rPr>
          <w:rFonts w:ascii="Cambria" w:hAnsi="Cambria"/>
          <w:sz w:val="20"/>
        </w:rPr>
        <w:t>Underages</w:t>
      </w:r>
      <w:proofErr w:type="spellEnd"/>
      <w:r w:rsidRPr="00A43743">
        <w:rPr>
          <w:rFonts w:ascii="Cambria" w:hAnsi="Cambria"/>
          <w:sz w:val="20"/>
        </w:rPr>
        <w:t xml:space="preserve"> of the annual quota may be added to the respective quota for each CPC, to the maximum limit of 25% of their original quota, in the following way: </w:t>
      </w:r>
    </w:p>
    <w:p w14:paraId="10DBE521" w14:textId="77777777" w:rsidR="00CD5F4C" w:rsidRPr="00A43743" w:rsidRDefault="00CD5F4C" w:rsidP="00CD5F4C">
      <w:pPr>
        <w:pStyle w:val="ListParagraph"/>
        <w:tabs>
          <w:tab w:val="left" w:pos="284"/>
          <w:tab w:val="left" w:pos="567"/>
          <w:tab w:val="left" w:pos="851"/>
        </w:tabs>
        <w:ind w:left="645"/>
        <w:rPr>
          <w:rFonts w:ascii="Cambria" w:hAnsi="Cambria"/>
          <w:sz w:val="20"/>
        </w:rPr>
      </w:pPr>
    </w:p>
    <w:tbl>
      <w:tblPr>
        <w:tblStyle w:val="LightShading1"/>
        <w:tblW w:w="0" w:type="auto"/>
        <w:tblInd w:w="2802" w:type="dxa"/>
        <w:tblBorders>
          <w:top w:val="single" w:sz="4" w:space="0" w:color="auto"/>
          <w:bottom w:val="single" w:sz="4" w:space="0" w:color="auto"/>
        </w:tblBorders>
        <w:tblLook w:val="04A0" w:firstRow="1" w:lastRow="0" w:firstColumn="1" w:lastColumn="0" w:noHBand="0" w:noVBand="1"/>
      </w:tblPr>
      <w:tblGrid>
        <w:gridCol w:w="1701"/>
        <w:gridCol w:w="1984"/>
      </w:tblGrid>
      <w:tr w:rsidR="00CD5F4C" w:rsidRPr="00A43743" w14:paraId="7B911B8C" w14:textId="77777777" w:rsidTr="00676C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left w:val="none" w:sz="0" w:space="0" w:color="auto"/>
              <w:bottom w:val="single" w:sz="4" w:space="0" w:color="auto"/>
              <w:right w:val="none" w:sz="0" w:space="0" w:color="auto"/>
            </w:tcBorders>
          </w:tcPr>
          <w:p w14:paraId="5EF1E560" w14:textId="77777777" w:rsidR="00CD5F4C" w:rsidRPr="00A43743" w:rsidRDefault="00CD5F4C" w:rsidP="008B3E7B">
            <w:pPr>
              <w:ind w:left="459" w:hanging="459"/>
              <w:jc w:val="center"/>
              <w:rPr>
                <w:rFonts w:ascii="Cambria" w:hAnsi="Cambria"/>
                <w:b w:val="0"/>
                <w:bCs w:val="0"/>
                <w:i/>
                <w:sz w:val="20"/>
              </w:rPr>
            </w:pPr>
            <w:r w:rsidRPr="00A43743">
              <w:rPr>
                <w:rFonts w:ascii="Cambria" w:hAnsi="Cambria"/>
                <w:b w:val="0"/>
                <w:bCs w:val="0"/>
                <w:i/>
                <w:sz w:val="20"/>
              </w:rPr>
              <w:t>Year of catch</w:t>
            </w:r>
          </w:p>
        </w:tc>
        <w:tc>
          <w:tcPr>
            <w:tcW w:w="1984" w:type="dxa"/>
            <w:tcBorders>
              <w:top w:val="single" w:sz="4" w:space="0" w:color="auto"/>
              <w:left w:val="none" w:sz="0" w:space="0" w:color="auto"/>
              <w:bottom w:val="single" w:sz="4" w:space="0" w:color="auto"/>
              <w:right w:val="none" w:sz="0" w:space="0" w:color="auto"/>
            </w:tcBorders>
          </w:tcPr>
          <w:p w14:paraId="00F96B2C" w14:textId="77777777" w:rsidR="00CD5F4C" w:rsidRPr="00A43743" w:rsidRDefault="00CD5F4C" w:rsidP="008B3E7B">
            <w:pPr>
              <w:ind w:right="151"/>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i/>
                <w:sz w:val="20"/>
              </w:rPr>
            </w:pPr>
            <w:r w:rsidRPr="00A43743">
              <w:rPr>
                <w:rFonts w:ascii="Cambria" w:hAnsi="Cambria"/>
                <w:b w:val="0"/>
                <w:bCs w:val="0"/>
                <w:i/>
                <w:sz w:val="20"/>
              </w:rPr>
              <w:t>Adjustment year</w:t>
            </w:r>
          </w:p>
        </w:tc>
      </w:tr>
      <w:tr w:rsidR="00CD5F4C" w:rsidRPr="00A43743" w14:paraId="21DC7383" w14:textId="77777777" w:rsidTr="00676C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left w:val="none" w:sz="0" w:space="0" w:color="auto"/>
              <w:right w:val="none" w:sz="0" w:space="0" w:color="auto"/>
            </w:tcBorders>
          </w:tcPr>
          <w:p w14:paraId="08DABC48" w14:textId="0B441E0E" w:rsidR="00CD5F4C" w:rsidRPr="00A43743" w:rsidRDefault="00CD5F4C" w:rsidP="008B3E7B">
            <w:pPr>
              <w:jc w:val="center"/>
              <w:rPr>
                <w:rFonts w:ascii="Cambria" w:hAnsi="Cambria"/>
                <w:b w:val="0"/>
                <w:bCs w:val="0"/>
                <w:sz w:val="20"/>
              </w:rPr>
            </w:pPr>
            <w:r w:rsidRPr="00A43743">
              <w:rPr>
                <w:rFonts w:ascii="Cambria" w:hAnsi="Cambria"/>
                <w:b w:val="0"/>
                <w:bCs w:val="0"/>
                <w:sz w:val="20"/>
              </w:rPr>
              <w:t>20</w:t>
            </w:r>
            <w:r w:rsidR="00C85F13" w:rsidRPr="00A43743">
              <w:rPr>
                <w:rFonts w:ascii="Cambria" w:hAnsi="Cambria"/>
                <w:b w:val="0"/>
                <w:bCs w:val="0"/>
                <w:sz w:val="20"/>
              </w:rPr>
              <w:t>2</w:t>
            </w:r>
            <w:r w:rsidR="00300AF9" w:rsidRPr="00A43743">
              <w:rPr>
                <w:rFonts w:ascii="Cambria" w:hAnsi="Cambria"/>
                <w:b w:val="0"/>
                <w:bCs w:val="0"/>
                <w:sz w:val="20"/>
              </w:rPr>
              <w:t>2</w:t>
            </w:r>
          </w:p>
        </w:tc>
        <w:tc>
          <w:tcPr>
            <w:tcW w:w="1984" w:type="dxa"/>
            <w:tcBorders>
              <w:top w:val="single" w:sz="4" w:space="0" w:color="auto"/>
              <w:left w:val="none" w:sz="0" w:space="0" w:color="auto"/>
              <w:right w:val="none" w:sz="0" w:space="0" w:color="auto"/>
            </w:tcBorders>
          </w:tcPr>
          <w:p w14:paraId="4A75BCE5" w14:textId="0EDC44F8" w:rsidR="00CD5F4C" w:rsidRPr="00A43743" w:rsidRDefault="00CD5F4C" w:rsidP="008B3E7B">
            <w:pPr>
              <w:jc w:val="center"/>
              <w:cnfStyle w:val="000000100000" w:firstRow="0" w:lastRow="0" w:firstColumn="0" w:lastColumn="0" w:oddVBand="0" w:evenVBand="0" w:oddHBand="1" w:evenHBand="0" w:firstRowFirstColumn="0" w:firstRowLastColumn="0" w:lastRowFirstColumn="0" w:lastRowLastColumn="0"/>
              <w:rPr>
                <w:rFonts w:ascii="Cambria" w:hAnsi="Cambria"/>
                <w:sz w:val="20"/>
              </w:rPr>
            </w:pPr>
            <w:r w:rsidRPr="00A43743">
              <w:rPr>
                <w:rFonts w:ascii="Cambria" w:hAnsi="Cambria"/>
                <w:sz w:val="20"/>
              </w:rPr>
              <w:t>20</w:t>
            </w:r>
            <w:r w:rsidR="00C85F13" w:rsidRPr="00A43743">
              <w:rPr>
                <w:rFonts w:ascii="Cambria" w:hAnsi="Cambria"/>
                <w:sz w:val="20"/>
              </w:rPr>
              <w:t>2</w:t>
            </w:r>
            <w:r w:rsidR="00300AF9" w:rsidRPr="00A43743">
              <w:rPr>
                <w:rFonts w:ascii="Cambria" w:hAnsi="Cambria"/>
                <w:sz w:val="20"/>
              </w:rPr>
              <w:t>4</w:t>
            </w:r>
          </w:p>
        </w:tc>
      </w:tr>
      <w:tr w:rsidR="00CD5F4C" w:rsidRPr="00A43743" w14:paraId="1D0F153B" w14:textId="77777777" w:rsidTr="00676C3F">
        <w:tc>
          <w:tcPr>
            <w:cnfStyle w:val="001000000000" w:firstRow="0" w:lastRow="0" w:firstColumn="1" w:lastColumn="0" w:oddVBand="0" w:evenVBand="0" w:oddHBand="0" w:evenHBand="0" w:firstRowFirstColumn="0" w:firstRowLastColumn="0" w:lastRowFirstColumn="0" w:lastRowLastColumn="0"/>
            <w:tcW w:w="1701" w:type="dxa"/>
          </w:tcPr>
          <w:p w14:paraId="214825A9" w14:textId="7C831055" w:rsidR="00CD5F4C" w:rsidRPr="00A43743" w:rsidRDefault="00CD5F4C" w:rsidP="008B3E7B">
            <w:pPr>
              <w:jc w:val="center"/>
              <w:rPr>
                <w:rFonts w:ascii="Cambria" w:hAnsi="Cambria"/>
                <w:b w:val="0"/>
                <w:bCs w:val="0"/>
                <w:sz w:val="20"/>
              </w:rPr>
            </w:pPr>
            <w:r w:rsidRPr="00A43743">
              <w:rPr>
                <w:rFonts w:ascii="Cambria" w:hAnsi="Cambria"/>
                <w:b w:val="0"/>
                <w:bCs w:val="0"/>
                <w:sz w:val="20"/>
              </w:rPr>
              <w:t>20</w:t>
            </w:r>
            <w:r w:rsidR="00C85F13" w:rsidRPr="00A43743">
              <w:rPr>
                <w:rFonts w:ascii="Cambria" w:hAnsi="Cambria"/>
                <w:b w:val="0"/>
                <w:bCs w:val="0"/>
                <w:sz w:val="20"/>
              </w:rPr>
              <w:t>2</w:t>
            </w:r>
            <w:r w:rsidR="00300AF9" w:rsidRPr="00A43743">
              <w:rPr>
                <w:rFonts w:ascii="Cambria" w:hAnsi="Cambria"/>
                <w:b w:val="0"/>
                <w:bCs w:val="0"/>
                <w:sz w:val="20"/>
              </w:rPr>
              <w:t>3</w:t>
            </w:r>
          </w:p>
        </w:tc>
        <w:tc>
          <w:tcPr>
            <w:tcW w:w="1984" w:type="dxa"/>
          </w:tcPr>
          <w:p w14:paraId="67D9794B" w14:textId="00A3303C" w:rsidR="00CD5F4C" w:rsidRPr="00A43743" w:rsidRDefault="00CD5F4C" w:rsidP="008B3E7B">
            <w:pPr>
              <w:jc w:val="center"/>
              <w:cnfStyle w:val="000000000000" w:firstRow="0" w:lastRow="0" w:firstColumn="0" w:lastColumn="0" w:oddVBand="0" w:evenVBand="0" w:oddHBand="0" w:evenHBand="0" w:firstRowFirstColumn="0" w:firstRowLastColumn="0" w:lastRowFirstColumn="0" w:lastRowLastColumn="0"/>
              <w:rPr>
                <w:rFonts w:ascii="Cambria" w:hAnsi="Cambria"/>
                <w:sz w:val="20"/>
              </w:rPr>
            </w:pPr>
            <w:r w:rsidRPr="00A43743">
              <w:rPr>
                <w:rFonts w:ascii="Cambria" w:hAnsi="Cambria"/>
                <w:sz w:val="20"/>
              </w:rPr>
              <w:t>20</w:t>
            </w:r>
            <w:r w:rsidR="00C85F13" w:rsidRPr="00A43743">
              <w:rPr>
                <w:rFonts w:ascii="Cambria" w:hAnsi="Cambria"/>
                <w:sz w:val="20"/>
              </w:rPr>
              <w:t>2</w:t>
            </w:r>
            <w:r w:rsidR="00300AF9" w:rsidRPr="00A43743">
              <w:rPr>
                <w:rFonts w:ascii="Cambria" w:hAnsi="Cambria"/>
                <w:sz w:val="20"/>
              </w:rPr>
              <w:t>5</w:t>
            </w:r>
          </w:p>
        </w:tc>
      </w:tr>
      <w:tr w:rsidR="00CD5F4C" w:rsidRPr="00A43743" w14:paraId="3969E0C5" w14:textId="77777777" w:rsidTr="00676C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none" w:sz="0" w:space="0" w:color="auto"/>
              <w:right w:val="none" w:sz="0" w:space="0" w:color="auto"/>
            </w:tcBorders>
          </w:tcPr>
          <w:p w14:paraId="66AE29E2" w14:textId="340566AC" w:rsidR="00CD5F4C" w:rsidRPr="00A43743" w:rsidRDefault="00CD5F4C" w:rsidP="008B3E7B">
            <w:pPr>
              <w:jc w:val="center"/>
              <w:rPr>
                <w:rFonts w:ascii="Cambria" w:hAnsi="Cambria"/>
                <w:b w:val="0"/>
                <w:bCs w:val="0"/>
                <w:sz w:val="20"/>
              </w:rPr>
            </w:pPr>
            <w:r w:rsidRPr="00A43743">
              <w:rPr>
                <w:rFonts w:ascii="Cambria" w:hAnsi="Cambria"/>
                <w:b w:val="0"/>
                <w:bCs w:val="0"/>
                <w:sz w:val="20"/>
              </w:rPr>
              <w:t>20</w:t>
            </w:r>
            <w:r w:rsidR="00C85F13" w:rsidRPr="00A43743">
              <w:rPr>
                <w:rFonts w:ascii="Cambria" w:hAnsi="Cambria"/>
                <w:b w:val="0"/>
                <w:bCs w:val="0"/>
                <w:sz w:val="20"/>
              </w:rPr>
              <w:t>2</w:t>
            </w:r>
            <w:r w:rsidR="00300AF9" w:rsidRPr="00A43743">
              <w:rPr>
                <w:rFonts w:ascii="Cambria" w:hAnsi="Cambria"/>
                <w:b w:val="0"/>
                <w:bCs w:val="0"/>
                <w:sz w:val="20"/>
              </w:rPr>
              <w:t>4</w:t>
            </w:r>
          </w:p>
        </w:tc>
        <w:tc>
          <w:tcPr>
            <w:tcW w:w="1984" w:type="dxa"/>
            <w:tcBorders>
              <w:left w:val="none" w:sz="0" w:space="0" w:color="auto"/>
              <w:right w:val="none" w:sz="0" w:space="0" w:color="auto"/>
            </w:tcBorders>
          </w:tcPr>
          <w:p w14:paraId="4289BECF" w14:textId="628765EA" w:rsidR="00CD5F4C" w:rsidRPr="00A43743" w:rsidRDefault="00CD5F4C" w:rsidP="008B3E7B">
            <w:pPr>
              <w:jc w:val="center"/>
              <w:cnfStyle w:val="000000100000" w:firstRow="0" w:lastRow="0" w:firstColumn="0" w:lastColumn="0" w:oddVBand="0" w:evenVBand="0" w:oddHBand="1" w:evenHBand="0" w:firstRowFirstColumn="0" w:firstRowLastColumn="0" w:lastRowFirstColumn="0" w:lastRowLastColumn="0"/>
              <w:rPr>
                <w:rFonts w:ascii="Cambria" w:hAnsi="Cambria"/>
                <w:sz w:val="20"/>
              </w:rPr>
            </w:pPr>
            <w:r w:rsidRPr="00A43743">
              <w:rPr>
                <w:rFonts w:ascii="Cambria" w:hAnsi="Cambria"/>
                <w:sz w:val="20"/>
              </w:rPr>
              <w:t>202</w:t>
            </w:r>
            <w:r w:rsidR="00300AF9" w:rsidRPr="00A43743">
              <w:rPr>
                <w:rFonts w:ascii="Cambria" w:hAnsi="Cambria"/>
                <w:sz w:val="20"/>
              </w:rPr>
              <w:t>6</w:t>
            </w:r>
          </w:p>
        </w:tc>
      </w:tr>
      <w:tr w:rsidR="00CD5F4C" w:rsidRPr="00A43743" w14:paraId="336EA93D" w14:textId="77777777" w:rsidTr="00676C3F">
        <w:tc>
          <w:tcPr>
            <w:cnfStyle w:val="001000000000" w:firstRow="0" w:lastRow="0" w:firstColumn="1" w:lastColumn="0" w:oddVBand="0" w:evenVBand="0" w:oddHBand="0" w:evenHBand="0" w:firstRowFirstColumn="0" w:firstRowLastColumn="0" w:lastRowFirstColumn="0" w:lastRowLastColumn="0"/>
            <w:tcW w:w="1701" w:type="dxa"/>
          </w:tcPr>
          <w:p w14:paraId="2DE0A9AD" w14:textId="5344B35F" w:rsidR="00CD5F4C" w:rsidRPr="00A43743" w:rsidRDefault="00CD5F4C" w:rsidP="008B3E7B">
            <w:pPr>
              <w:jc w:val="center"/>
              <w:rPr>
                <w:rFonts w:ascii="Cambria" w:hAnsi="Cambria"/>
                <w:b w:val="0"/>
                <w:bCs w:val="0"/>
                <w:sz w:val="20"/>
              </w:rPr>
            </w:pPr>
            <w:r w:rsidRPr="00A43743">
              <w:rPr>
                <w:rFonts w:ascii="Cambria" w:hAnsi="Cambria"/>
                <w:b w:val="0"/>
                <w:bCs w:val="0"/>
                <w:sz w:val="20"/>
              </w:rPr>
              <w:t>20</w:t>
            </w:r>
            <w:r w:rsidR="00C85F13" w:rsidRPr="00A43743">
              <w:rPr>
                <w:rFonts w:ascii="Cambria" w:hAnsi="Cambria"/>
                <w:b w:val="0"/>
                <w:bCs w:val="0"/>
                <w:sz w:val="20"/>
              </w:rPr>
              <w:t>2</w:t>
            </w:r>
            <w:r w:rsidR="00CF4028" w:rsidRPr="00A43743">
              <w:rPr>
                <w:rFonts w:ascii="Cambria" w:hAnsi="Cambria"/>
                <w:b w:val="0"/>
                <w:bCs w:val="0"/>
                <w:sz w:val="20"/>
              </w:rPr>
              <w:t>5</w:t>
            </w:r>
          </w:p>
        </w:tc>
        <w:tc>
          <w:tcPr>
            <w:tcW w:w="1984" w:type="dxa"/>
          </w:tcPr>
          <w:p w14:paraId="1EDA2FF6" w14:textId="135889E0" w:rsidR="00CD5F4C" w:rsidRPr="00A43743" w:rsidRDefault="00CD5F4C" w:rsidP="008B3E7B">
            <w:pPr>
              <w:jc w:val="center"/>
              <w:cnfStyle w:val="000000000000" w:firstRow="0" w:lastRow="0" w:firstColumn="0" w:lastColumn="0" w:oddVBand="0" w:evenVBand="0" w:oddHBand="0" w:evenHBand="0" w:firstRowFirstColumn="0" w:firstRowLastColumn="0" w:lastRowFirstColumn="0" w:lastRowLastColumn="0"/>
              <w:rPr>
                <w:rFonts w:ascii="Cambria" w:hAnsi="Cambria"/>
                <w:sz w:val="20"/>
              </w:rPr>
            </w:pPr>
            <w:r w:rsidRPr="00A43743">
              <w:rPr>
                <w:rFonts w:ascii="Cambria" w:hAnsi="Cambria"/>
                <w:sz w:val="20"/>
              </w:rPr>
              <w:t>202</w:t>
            </w:r>
            <w:r w:rsidR="00300AF9" w:rsidRPr="00A43743">
              <w:rPr>
                <w:rFonts w:ascii="Cambria" w:hAnsi="Cambria"/>
                <w:sz w:val="20"/>
              </w:rPr>
              <w:t>7</w:t>
            </w:r>
          </w:p>
        </w:tc>
      </w:tr>
      <w:tr w:rsidR="00CD5F4C" w:rsidRPr="00A43743" w14:paraId="5FD5BD6B" w14:textId="77777777" w:rsidTr="00676C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none" w:sz="0" w:space="0" w:color="auto"/>
              <w:right w:val="none" w:sz="0" w:space="0" w:color="auto"/>
            </w:tcBorders>
          </w:tcPr>
          <w:p w14:paraId="375F5DD4" w14:textId="630AB8C0" w:rsidR="00CD5F4C" w:rsidRPr="00A43743" w:rsidRDefault="00CD5F4C" w:rsidP="008B3E7B">
            <w:pPr>
              <w:jc w:val="center"/>
              <w:rPr>
                <w:rFonts w:ascii="Cambria" w:hAnsi="Cambria"/>
                <w:b w:val="0"/>
                <w:bCs w:val="0"/>
                <w:sz w:val="20"/>
              </w:rPr>
            </w:pPr>
            <w:r w:rsidRPr="00A43743">
              <w:rPr>
                <w:rFonts w:ascii="Cambria" w:hAnsi="Cambria"/>
                <w:b w:val="0"/>
                <w:bCs w:val="0"/>
                <w:sz w:val="20"/>
              </w:rPr>
              <w:t>202</w:t>
            </w:r>
            <w:r w:rsidR="00CF4028" w:rsidRPr="00A43743">
              <w:rPr>
                <w:rFonts w:ascii="Cambria" w:hAnsi="Cambria"/>
                <w:b w:val="0"/>
                <w:bCs w:val="0"/>
                <w:sz w:val="20"/>
              </w:rPr>
              <w:t>6</w:t>
            </w:r>
          </w:p>
        </w:tc>
        <w:tc>
          <w:tcPr>
            <w:tcW w:w="1984" w:type="dxa"/>
            <w:tcBorders>
              <w:left w:val="none" w:sz="0" w:space="0" w:color="auto"/>
              <w:right w:val="none" w:sz="0" w:space="0" w:color="auto"/>
            </w:tcBorders>
          </w:tcPr>
          <w:p w14:paraId="609F7198" w14:textId="2BFAD960" w:rsidR="00CD5F4C" w:rsidRPr="00A43743" w:rsidRDefault="00CD5F4C" w:rsidP="008B3E7B">
            <w:pPr>
              <w:jc w:val="center"/>
              <w:cnfStyle w:val="000000100000" w:firstRow="0" w:lastRow="0" w:firstColumn="0" w:lastColumn="0" w:oddVBand="0" w:evenVBand="0" w:oddHBand="1" w:evenHBand="0" w:firstRowFirstColumn="0" w:firstRowLastColumn="0" w:lastRowFirstColumn="0" w:lastRowLastColumn="0"/>
              <w:rPr>
                <w:rFonts w:ascii="Cambria" w:hAnsi="Cambria"/>
                <w:sz w:val="20"/>
              </w:rPr>
            </w:pPr>
            <w:r w:rsidRPr="00A43743">
              <w:rPr>
                <w:rFonts w:ascii="Cambria" w:hAnsi="Cambria"/>
                <w:sz w:val="20"/>
              </w:rPr>
              <w:t>202</w:t>
            </w:r>
            <w:r w:rsidR="00300AF9" w:rsidRPr="00A43743">
              <w:rPr>
                <w:rFonts w:ascii="Cambria" w:hAnsi="Cambria"/>
                <w:sz w:val="20"/>
              </w:rPr>
              <w:t>8</w:t>
            </w:r>
          </w:p>
        </w:tc>
      </w:tr>
    </w:tbl>
    <w:p w14:paraId="25D08C9C" w14:textId="77777777" w:rsidR="00CD5F4C" w:rsidRPr="00A43743" w:rsidRDefault="00CD5F4C" w:rsidP="00F53FC2">
      <w:pPr>
        <w:rPr>
          <w:rFonts w:ascii="Cambria" w:hAnsi="Cambria"/>
          <w:sz w:val="20"/>
        </w:rPr>
      </w:pPr>
    </w:p>
    <w:p w14:paraId="4CAF153D" w14:textId="76FE750D" w:rsidR="00CD5F4C" w:rsidRPr="00A43743" w:rsidRDefault="00CD5F4C" w:rsidP="006416ED">
      <w:pPr>
        <w:pStyle w:val="ListParagraph"/>
        <w:numPr>
          <w:ilvl w:val="0"/>
          <w:numId w:val="13"/>
        </w:numPr>
        <w:ind w:left="851" w:hanging="425"/>
        <w:jc w:val="both"/>
        <w:rPr>
          <w:rFonts w:ascii="Cambria" w:hAnsi="Cambria"/>
          <w:sz w:val="20"/>
        </w:rPr>
      </w:pPr>
      <w:r w:rsidRPr="00A43743">
        <w:rPr>
          <w:rFonts w:ascii="Cambria" w:hAnsi="Cambria"/>
          <w:sz w:val="20"/>
        </w:rPr>
        <w:t xml:space="preserve">By the time of the Commission Meeting, those CPCs with </w:t>
      </w:r>
      <w:proofErr w:type="spellStart"/>
      <w:r w:rsidRPr="00A43743">
        <w:rPr>
          <w:rFonts w:ascii="Cambria" w:hAnsi="Cambria"/>
          <w:sz w:val="20"/>
        </w:rPr>
        <w:t>underages</w:t>
      </w:r>
      <w:proofErr w:type="spellEnd"/>
      <w:r w:rsidRPr="00A43743">
        <w:rPr>
          <w:rFonts w:ascii="Cambria" w:hAnsi="Cambria"/>
          <w:sz w:val="20"/>
        </w:rPr>
        <w:t xml:space="preserve"> in the previous year shall inform the amount of their underage they intend to use in the following year. The total underage from the TAC from one given year, minus the </w:t>
      </w:r>
      <w:proofErr w:type="spellStart"/>
      <w:r w:rsidRPr="00A43743">
        <w:rPr>
          <w:rFonts w:ascii="Cambria" w:hAnsi="Cambria"/>
          <w:sz w:val="20"/>
        </w:rPr>
        <w:t>underages</w:t>
      </w:r>
      <w:proofErr w:type="spellEnd"/>
      <w:r w:rsidRPr="00A43743">
        <w:rPr>
          <w:rFonts w:ascii="Cambria" w:hAnsi="Cambria"/>
          <w:sz w:val="20"/>
        </w:rPr>
        <w:t xml:space="preserve"> to be used by those CPCs wishing to do so, may be shared among those CPCs wishing to complement their quota, irrespective to their </w:t>
      </w:r>
      <w:proofErr w:type="spellStart"/>
      <w:r w:rsidRPr="00A43743">
        <w:rPr>
          <w:rFonts w:ascii="Cambria" w:hAnsi="Cambria"/>
          <w:sz w:val="20"/>
        </w:rPr>
        <w:t>underages</w:t>
      </w:r>
      <w:proofErr w:type="spellEnd"/>
      <w:r w:rsidRPr="00A43743">
        <w:rPr>
          <w:rFonts w:ascii="Cambria" w:hAnsi="Cambria"/>
          <w:sz w:val="20"/>
        </w:rPr>
        <w:t xml:space="preserve">, to the limit of 25% of their original quota. </w:t>
      </w:r>
    </w:p>
    <w:p w14:paraId="73CE9375" w14:textId="77777777" w:rsidR="00CD5F4C" w:rsidRPr="00A43743" w:rsidRDefault="00CD5F4C" w:rsidP="006416ED">
      <w:pPr>
        <w:tabs>
          <w:tab w:val="left" w:pos="284"/>
          <w:tab w:val="left" w:pos="567"/>
          <w:tab w:val="left" w:pos="851"/>
        </w:tabs>
        <w:jc w:val="both"/>
        <w:rPr>
          <w:rFonts w:ascii="Cambria" w:hAnsi="Cambria"/>
          <w:sz w:val="20"/>
        </w:rPr>
      </w:pPr>
    </w:p>
    <w:p w14:paraId="56FBE896" w14:textId="1ADD78CC" w:rsidR="00CD5F4C" w:rsidRPr="00A43743" w:rsidRDefault="00CD5F4C" w:rsidP="006416ED">
      <w:pPr>
        <w:pStyle w:val="ListParagraph"/>
        <w:numPr>
          <w:ilvl w:val="0"/>
          <w:numId w:val="13"/>
        </w:numPr>
        <w:ind w:left="851" w:hanging="425"/>
        <w:jc w:val="both"/>
        <w:rPr>
          <w:rFonts w:ascii="Cambria" w:hAnsi="Cambria"/>
          <w:sz w:val="20"/>
        </w:rPr>
      </w:pPr>
      <w:r w:rsidRPr="00A43743">
        <w:rPr>
          <w:rFonts w:ascii="Cambria" w:hAnsi="Cambria"/>
          <w:sz w:val="20"/>
        </w:rPr>
        <w:t xml:space="preserve">In the case the total amount of </w:t>
      </w:r>
      <w:proofErr w:type="spellStart"/>
      <w:r w:rsidRPr="00A43743">
        <w:rPr>
          <w:rFonts w:ascii="Cambria" w:hAnsi="Cambria"/>
          <w:sz w:val="20"/>
        </w:rPr>
        <w:t>underages</w:t>
      </w:r>
      <w:proofErr w:type="spellEnd"/>
      <w:r w:rsidRPr="00A43743">
        <w:rPr>
          <w:rFonts w:ascii="Cambria" w:hAnsi="Cambria"/>
          <w:sz w:val="20"/>
        </w:rPr>
        <w:t xml:space="preserve"> requested by all CPCs exceeds the total amount made available under this mechanism, the </w:t>
      </w:r>
      <w:proofErr w:type="gramStart"/>
      <w:r w:rsidRPr="00A43743">
        <w:rPr>
          <w:rFonts w:ascii="Cambria" w:hAnsi="Cambria"/>
          <w:sz w:val="20"/>
        </w:rPr>
        <w:t>amount</w:t>
      </w:r>
      <w:proofErr w:type="gramEnd"/>
      <w:r w:rsidRPr="00A43743">
        <w:rPr>
          <w:rFonts w:ascii="Cambria" w:hAnsi="Cambria"/>
          <w:sz w:val="20"/>
        </w:rPr>
        <w:t xml:space="preserve"> of </w:t>
      </w:r>
      <w:proofErr w:type="spellStart"/>
      <w:r w:rsidRPr="00A43743">
        <w:rPr>
          <w:rFonts w:ascii="Cambria" w:hAnsi="Cambria"/>
          <w:sz w:val="20"/>
        </w:rPr>
        <w:t>underages</w:t>
      </w:r>
      <w:proofErr w:type="spellEnd"/>
      <w:r w:rsidRPr="00A43743">
        <w:rPr>
          <w:rFonts w:ascii="Cambria" w:hAnsi="Cambria"/>
          <w:sz w:val="20"/>
        </w:rPr>
        <w:t xml:space="preserve"> shall be shared pro rata among those CPCs requesting complementation of their quotas, in the proportion of their original quotas.   </w:t>
      </w:r>
    </w:p>
    <w:p w14:paraId="1916B0B7" w14:textId="77777777" w:rsidR="00CD5F4C" w:rsidRPr="00A43743" w:rsidRDefault="00CD5F4C" w:rsidP="00F53FC2">
      <w:pPr>
        <w:tabs>
          <w:tab w:val="left" w:pos="284"/>
          <w:tab w:val="left" w:pos="567"/>
          <w:tab w:val="left" w:pos="851"/>
        </w:tabs>
        <w:jc w:val="both"/>
        <w:rPr>
          <w:rFonts w:ascii="Cambria" w:hAnsi="Cambria"/>
          <w:sz w:val="20"/>
        </w:rPr>
      </w:pPr>
    </w:p>
    <w:p w14:paraId="16861761" w14:textId="36F6847F" w:rsidR="00CD5F4C" w:rsidRDefault="00CD5F4C" w:rsidP="00624F81">
      <w:pPr>
        <w:pStyle w:val="ListParagraph"/>
        <w:numPr>
          <w:ilvl w:val="0"/>
          <w:numId w:val="13"/>
        </w:numPr>
        <w:ind w:left="851" w:hanging="425"/>
        <w:jc w:val="both"/>
        <w:rPr>
          <w:rFonts w:ascii="Cambria" w:hAnsi="Cambria"/>
          <w:sz w:val="20"/>
        </w:rPr>
      </w:pPr>
      <w:r w:rsidRPr="00A43743">
        <w:rPr>
          <w:rFonts w:ascii="Cambria" w:hAnsi="Cambria"/>
          <w:sz w:val="20"/>
        </w:rPr>
        <w:t>In respect of the 20</w:t>
      </w:r>
      <w:r w:rsidR="00C85F13" w:rsidRPr="00A43743">
        <w:rPr>
          <w:rFonts w:ascii="Cambria" w:hAnsi="Cambria"/>
          <w:sz w:val="20"/>
        </w:rPr>
        <w:t>2</w:t>
      </w:r>
      <w:r w:rsidR="00CF4028" w:rsidRPr="00A43743">
        <w:rPr>
          <w:rFonts w:ascii="Cambria" w:hAnsi="Cambria"/>
          <w:sz w:val="20"/>
        </w:rPr>
        <w:t>2</w:t>
      </w:r>
      <w:r w:rsidRPr="00A43743">
        <w:rPr>
          <w:rFonts w:ascii="Cambria" w:hAnsi="Cambria"/>
          <w:sz w:val="20"/>
        </w:rPr>
        <w:t xml:space="preserve"> catches and TAC, </w:t>
      </w:r>
      <w:proofErr w:type="spellStart"/>
      <w:r w:rsidRPr="00A43743">
        <w:rPr>
          <w:rFonts w:ascii="Cambria" w:hAnsi="Cambria"/>
          <w:sz w:val="20"/>
        </w:rPr>
        <w:t>underages</w:t>
      </w:r>
      <w:proofErr w:type="spellEnd"/>
      <w:r w:rsidRPr="00A43743">
        <w:rPr>
          <w:rFonts w:ascii="Cambria" w:hAnsi="Cambria"/>
          <w:sz w:val="20"/>
        </w:rPr>
        <w:t xml:space="preserve"> may only be used to the extent of the available under</w:t>
      </w:r>
      <w:r w:rsidR="00403D1F" w:rsidRPr="00A43743">
        <w:rPr>
          <w:rFonts w:ascii="Cambria" w:hAnsi="Cambria"/>
          <w:sz w:val="20"/>
        </w:rPr>
        <w:t>age</w:t>
      </w:r>
      <w:r w:rsidRPr="00A43743">
        <w:rPr>
          <w:rFonts w:ascii="Cambria" w:hAnsi="Cambria"/>
          <w:sz w:val="20"/>
        </w:rPr>
        <w:t xml:space="preserve"> of total TAC. </w:t>
      </w:r>
    </w:p>
    <w:p w14:paraId="5567FB65" w14:textId="77777777" w:rsidR="002B1430" w:rsidRPr="002B1430" w:rsidRDefault="002B1430" w:rsidP="002B1430">
      <w:pPr>
        <w:pStyle w:val="ListParagraph"/>
        <w:rPr>
          <w:rFonts w:ascii="Cambria" w:hAnsi="Cambria"/>
          <w:sz w:val="20"/>
        </w:rPr>
      </w:pPr>
    </w:p>
    <w:p w14:paraId="54E4E869" w14:textId="7C37DB3E" w:rsidR="00CD5F4C" w:rsidRPr="00A43743" w:rsidRDefault="00CD5F4C" w:rsidP="003B5C09">
      <w:pPr>
        <w:pStyle w:val="ListParagraph"/>
        <w:numPr>
          <w:ilvl w:val="0"/>
          <w:numId w:val="13"/>
        </w:numPr>
        <w:ind w:left="851" w:hanging="425"/>
        <w:jc w:val="both"/>
        <w:rPr>
          <w:rFonts w:ascii="Cambria" w:hAnsi="Cambria"/>
          <w:sz w:val="20"/>
        </w:rPr>
      </w:pPr>
      <w:r w:rsidRPr="00A43743">
        <w:rPr>
          <w:rFonts w:ascii="Cambria" w:hAnsi="Cambria"/>
          <w:sz w:val="20"/>
        </w:rPr>
        <w:t xml:space="preserve">The carry-over of </w:t>
      </w:r>
      <w:proofErr w:type="spellStart"/>
      <w:r w:rsidRPr="00A43743">
        <w:rPr>
          <w:rFonts w:ascii="Cambria" w:hAnsi="Cambria"/>
          <w:sz w:val="20"/>
        </w:rPr>
        <w:t>underages</w:t>
      </w:r>
      <w:proofErr w:type="spellEnd"/>
      <w:r w:rsidRPr="00A43743">
        <w:rPr>
          <w:rFonts w:ascii="Cambria" w:hAnsi="Cambria"/>
          <w:sz w:val="20"/>
        </w:rPr>
        <w:t xml:space="preserve"> is only applicable to those CPCs specifically referred to in paragraph</w:t>
      </w:r>
      <w:r w:rsidR="009E1E7A" w:rsidRPr="00A43743">
        <w:rPr>
          <w:rFonts w:ascii="Cambria" w:hAnsi="Cambria"/>
          <w:sz w:val="20"/>
        </w:rPr>
        <w:t> </w:t>
      </w:r>
      <w:r w:rsidRPr="00A43743">
        <w:rPr>
          <w:rFonts w:ascii="Cambria" w:eastAsia="Calibri" w:hAnsi="Cambria"/>
          <w:sz w:val="20"/>
          <w:szCs w:val="20"/>
        </w:rPr>
        <w:t>3</w:t>
      </w:r>
      <w:r w:rsidR="00676C3F" w:rsidRPr="00A43743">
        <w:rPr>
          <w:rFonts w:ascii="Cambria" w:eastAsia="Calibri" w:hAnsi="Cambria"/>
          <w:sz w:val="20"/>
          <w:szCs w:val="20"/>
        </w:rPr>
        <w:t xml:space="preserve"> </w:t>
      </w:r>
      <w:r w:rsidR="007D72BE" w:rsidRPr="00A43743">
        <w:rPr>
          <w:rFonts w:ascii="Cambria" w:eastAsia="Calibri" w:hAnsi="Cambria"/>
          <w:sz w:val="20"/>
          <w:szCs w:val="20"/>
        </w:rPr>
        <w:t>a</w:t>
      </w:r>
      <w:r w:rsidR="00BA195C" w:rsidRPr="00A43743">
        <w:rPr>
          <w:rFonts w:ascii="Cambria" w:eastAsia="Calibri" w:hAnsi="Cambria"/>
          <w:sz w:val="20"/>
          <w:szCs w:val="20"/>
        </w:rPr>
        <w:t>)</w:t>
      </w:r>
      <w:r w:rsidRPr="00A43743">
        <w:rPr>
          <w:rFonts w:ascii="Cambria" w:hAnsi="Cambria"/>
          <w:sz w:val="20"/>
        </w:rPr>
        <w:t xml:space="preserve">. </w:t>
      </w:r>
    </w:p>
    <w:p w14:paraId="6CB4F775" w14:textId="77777777" w:rsidR="00CD5F4C" w:rsidRPr="00A43743" w:rsidRDefault="00CD5F4C" w:rsidP="00F53FC2">
      <w:pPr>
        <w:tabs>
          <w:tab w:val="left" w:pos="284"/>
          <w:tab w:val="left" w:pos="567"/>
          <w:tab w:val="left" w:pos="851"/>
        </w:tabs>
        <w:contextualSpacing/>
        <w:rPr>
          <w:rFonts w:ascii="Cambria" w:hAnsi="Cambria"/>
          <w:sz w:val="20"/>
        </w:rPr>
      </w:pPr>
    </w:p>
    <w:p w14:paraId="7586323F" w14:textId="697A1551" w:rsidR="00CD5F4C" w:rsidRPr="00A43743" w:rsidRDefault="00AD4618" w:rsidP="00B1769E">
      <w:pPr>
        <w:pStyle w:val="ListParagraph"/>
        <w:numPr>
          <w:ilvl w:val="0"/>
          <w:numId w:val="13"/>
        </w:numPr>
        <w:ind w:left="851" w:hanging="425"/>
        <w:jc w:val="both"/>
        <w:rPr>
          <w:rFonts w:ascii="Cambria" w:hAnsi="Cambria"/>
          <w:sz w:val="20"/>
        </w:rPr>
      </w:pPr>
      <w:bookmarkStart w:id="0" w:name="_Hlk115432967"/>
      <w:r w:rsidRPr="00A43743">
        <w:rPr>
          <w:rFonts w:ascii="Cambria" w:hAnsi="Cambria"/>
          <w:sz w:val="20"/>
        </w:rPr>
        <w:t>In respect of South Africa,</w:t>
      </w:r>
      <w:r w:rsidRPr="00A43743">
        <w:rPr>
          <w:rFonts w:ascii="Cambria" w:hAnsi="Cambria"/>
          <w:sz w:val="20"/>
          <w:lang w:val="de-DE"/>
        </w:rPr>
        <w:t xml:space="preserve"> </w:t>
      </w:r>
      <w:r w:rsidRPr="00A43743">
        <w:rPr>
          <w:rFonts w:ascii="Cambria" w:hAnsi="Cambria"/>
          <w:sz w:val="20"/>
        </w:rPr>
        <w:t>Brazil and Uruguay, should any of these</w:t>
      </w:r>
      <w:r w:rsidR="003B5C09" w:rsidRPr="00A43743">
        <w:rPr>
          <w:rFonts w:ascii="Cambria" w:hAnsi="Cambria"/>
          <w:sz w:val="20"/>
        </w:rPr>
        <w:t xml:space="preserve"> </w:t>
      </w:r>
      <w:r w:rsidRPr="00A43743">
        <w:rPr>
          <w:rFonts w:ascii="Cambria" w:hAnsi="Cambria"/>
          <w:sz w:val="20"/>
        </w:rPr>
        <w:t xml:space="preserve">CPCs reach their individual catch limits by 31 December, and any other aforementioned CPCs have underage available within the same year, then any or all of </w:t>
      </w:r>
      <w:r w:rsidRPr="00A43743">
        <w:rPr>
          <w:rFonts w:ascii="Cambria" w:hAnsi="Cambria"/>
          <w:sz w:val="20"/>
          <w:szCs w:val="20"/>
        </w:rPr>
        <w:t>the</w:t>
      </w:r>
      <w:r w:rsidR="001A6100" w:rsidRPr="00A43743">
        <w:rPr>
          <w:rFonts w:ascii="Cambria" w:hAnsi="Cambria"/>
          <w:sz w:val="20"/>
          <w:szCs w:val="20"/>
        </w:rPr>
        <w:t>ir</w:t>
      </w:r>
      <w:r w:rsidRPr="00A43743">
        <w:rPr>
          <w:rFonts w:ascii="Cambria" w:hAnsi="Cambria"/>
          <w:sz w:val="20"/>
        </w:rPr>
        <w:t xml:space="preserve"> underage available shall automatically transfer, up to a maximum of 1</w:t>
      </w:r>
      <w:r w:rsidR="00676C3F" w:rsidRPr="00A43743">
        <w:rPr>
          <w:rFonts w:ascii="Cambria" w:hAnsi="Cambria"/>
          <w:sz w:val="20"/>
        </w:rPr>
        <w:t>,</w:t>
      </w:r>
      <w:r w:rsidRPr="00A43743">
        <w:rPr>
          <w:rFonts w:ascii="Cambria" w:hAnsi="Cambria"/>
          <w:sz w:val="20"/>
        </w:rPr>
        <w:t>000 t collectively, in</w:t>
      </w:r>
      <w:r w:rsidRPr="00A43743">
        <w:rPr>
          <w:rFonts w:ascii="Cambria" w:hAnsi="Cambria"/>
          <w:sz w:val="20"/>
          <w:lang w:val="en-GB"/>
        </w:rPr>
        <w:t xml:space="preserve"> proportion </w:t>
      </w:r>
      <w:r w:rsidRPr="00A43743">
        <w:rPr>
          <w:rFonts w:ascii="Cambria" w:hAnsi="Cambria"/>
          <w:sz w:val="20"/>
        </w:rPr>
        <w:t xml:space="preserve">to their respective original quotas to any of the </w:t>
      </w:r>
      <w:r w:rsidR="001A6100" w:rsidRPr="00A43743">
        <w:rPr>
          <w:rFonts w:ascii="Cambria" w:hAnsi="Cambria"/>
          <w:sz w:val="20"/>
          <w:szCs w:val="20"/>
        </w:rPr>
        <w:t>three CPCs</w:t>
      </w:r>
      <w:r w:rsidRPr="00A43743">
        <w:rPr>
          <w:rFonts w:ascii="Cambria" w:hAnsi="Cambria"/>
          <w:sz w:val="20"/>
        </w:rPr>
        <w:t xml:space="preserve"> which has reached its catch limit for that year, on condition that such transfer of underage does not prejudice the transferring CPCs respective maximum underage allowance as set out in paragraph 4 b).</w:t>
      </w:r>
      <w:r w:rsidR="00CD5F4C" w:rsidRPr="00A43743">
        <w:rPr>
          <w:rFonts w:ascii="Cambria" w:hAnsi="Cambria"/>
          <w:sz w:val="20"/>
        </w:rPr>
        <w:t xml:space="preserve"> </w:t>
      </w:r>
      <w:r w:rsidR="00E25E7F" w:rsidRPr="00A43743">
        <w:rPr>
          <w:rFonts w:ascii="Cambria" w:hAnsi="Cambria"/>
          <w:sz w:val="20"/>
        </w:rPr>
        <w:t>Such transfers shall be reported in</w:t>
      </w:r>
      <w:r w:rsidR="00D4704A" w:rsidRPr="00A43743">
        <w:rPr>
          <w:rFonts w:ascii="Cambria" w:hAnsi="Cambria"/>
          <w:sz w:val="20"/>
        </w:rPr>
        <w:t xml:space="preserve"> </w:t>
      </w:r>
      <w:proofErr w:type="gramStart"/>
      <w:r w:rsidR="00AE2CD5" w:rsidRPr="00A43743">
        <w:rPr>
          <w:rFonts w:ascii="Cambria" w:hAnsi="Cambria"/>
          <w:sz w:val="20"/>
        </w:rPr>
        <w:t>CPC</w:t>
      </w:r>
      <w:proofErr w:type="gramEnd"/>
      <w:r w:rsidR="00AE2CD5" w:rsidRPr="00A43743">
        <w:rPr>
          <w:rFonts w:ascii="Cambria" w:hAnsi="Cambria"/>
          <w:sz w:val="20"/>
        </w:rPr>
        <w:t xml:space="preserve"> </w:t>
      </w:r>
      <w:r w:rsidR="00D4704A" w:rsidRPr="00A43743">
        <w:rPr>
          <w:rFonts w:ascii="Cambria" w:hAnsi="Cambria"/>
          <w:sz w:val="20"/>
        </w:rPr>
        <w:t>Compliance Reporting Tables</w:t>
      </w:r>
      <w:r w:rsidR="00DF01B0" w:rsidRPr="00A43743">
        <w:rPr>
          <w:rFonts w:ascii="Cambria" w:hAnsi="Cambria"/>
          <w:sz w:val="20"/>
        </w:rPr>
        <w:t xml:space="preserve"> and be communicated to all CPCs through an ICCAT Circular</w:t>
      </w:r>
      <w:r w:rsidR="00E25E7F" w:rsidRPr="00A43743">
        <w:rPr>
          <w:rFonts w:ascii="Cambria" w:hAnsi="Cambria"/>
          <w:sz w:val="20"/>
        </w:rPr>
        <w:t>.</w:t>
      </w:r>
    </w:p>
    <w:bookmarkEnd w:id="0"/>
    <w:p w14:paraId="384286B6" w14:textId="319A0C71" w:rsidR="00CD5F4C" w:rsidRPr="00A43743" w:rsidRDefault="00BA195C" w:rsidP="00F53FC2">
      <w:pPr>
        <w:tabs>
          <w:tab w:val="left" w:pos="284"/>
          <w:tab w:val="left" w:pos="567"/>
          <w:tab w:val="left" w:pos="851"/>
        </w:tabs>
        <w:contextualSpacing/>
        <w:jc w:val="both"/>
        <w:rPr>
          <w:rFonts w:ascii="Cambria" w:hAnsi="Cambria"/>
          <w:sz w:val="20"/>
        </w:rPr>
      </w:pPr>
      <w:r w:rsidRPr="00A43743">
        <w:rPr>
          <w:rFonts w:ascii="Cambria" w:hAnsi="Cambria"/>
          <w:sz w:val="20"/>
        </w:rPr>
        <w:t xml:space="preserve"> </w:t>
      </w:r>
    </w:p>
    <w:p w14:paraId="6B36B647" w14:textId="21623F6E" w:rsidR="00CD5F4C" w:rsidRPr="00A43743" w:rsidRDefault="00CD5F4C" w:rsidP="00B1769E">
      <w:pPr>
        <w:tabs>
          <w:tab w:val="left" w:pos="426"/>
        </w:tabs>
        <w:autoSpaceDE w:val="0"/>
        <w:autoSpaceDN w:val="0"/>
        <w:adjustRightInd w:val="0"/>
        <w:ind w:left="426" w:hanging="426"/>
        <w:jc w:val="both"/>
        <w:rPr>
          <w:rFonts w:ascii="Cambria" w:hAnsi="Cambria"/>
          <w:sz w:val="20"/>
          <w:lang w:val="en-ZA"/>
        </w:rPr>
      </w:pPr>
      <w:r w:rsidRPr="00A43743">
        <w:rPr>
          <w:rFonts w:ascii="Cambria" w:hAnsi="Cambria"/>
          <w:sz w:val="20"/>
          <w:lang w:val="en-ZA"/>
        </w:rPr>
        <w:t>5.</w:t>
      </w:r>
      <w:r w:rsidRPr="00A43743">
        <w:rPr>
          <w:rFonts w:ascii="Cambria" w:hAnsi="Cambria"/>
          <w:sz w:val="20"/>
          <w:lang w:val="en-ZA"/>
        </w:rPr>
        <w:tab/>
        <w:t xml:space="preserve">Should a given CPC exceed its quota, the over-catch must be deducted from its original quota by 100% of the total exceeded amount in accordance with the schedule in paragraph 4 and that CPC will be prohibited of requesting any </w:t>
      </w:r>
      <w:proofErr w:type="spellStart"/>
      <w:r w:rsidRPr="00A43743">
        <w:rPr>
          <w:rFonts w:ascii="Cambria" w:hAnsi="Cambria"/>
          <w:sz w:val="20"/>
          <w:lang w:val="en-ZA"/>
        </w:rPr>
        <w:t>underages</w:t>
      </w:r>
      <w:proofErr w:type="spellEnd"/>
      <w:r w:rsidRPr="00A43743">
        <w:rPr>
          <w:rFonts w:ascii="Cambria" w:hAnsi="Cambria"/>
          <w:sz w:val="20"/>
          <w:lang w:val="en-ZA"/>
        </w:rPr>
        <w:t xml:space="preserve"> made available under the present mechanism in the following year.</w:t>
      </w:r>
    </w:p>
    <w:p w14:paraId="2CFBAA8B" w14:textId="77777777" w:rsidR="00CD5F4C" w:rsidRPr="00A43743" w:rsidRDefault="00CD5F4C" w:rsidP="00F53FC2">
      <w:pPr>
        <w:tabs>
          <w:tab w:val="left" w:pos="284"/>
          <w:tab w:val="left" w:pos="567"/>
          <w:tab w:val="left" w:pos="851"/>
        </w:tabs>
        <w:autoSpaceDE w:val="0"/>
        <w:autoSpaceDN w:val="0"/>
        <w:adjustRightInd w:val="0"/>
        <w:jc w:val="both"/>
        <w:rPr>
          <w:rFonts w:ascii="Cambria" w:hAnsi="Cambria"/>
          <w:sz w:val="20"/>
          <w:lang w:val="en-ZA"/>
        </w:rPr>
      </w:pPr>
    </w:p>
    <w:p w14:paraId="4DCA6DF0" w14:textId="68829C66" w:rsidR="00CD5F4C" w:rsidRPr="00A43743" w:rsidRDefault="00CD5F4C" w:rsidP="00B1769E">
      <w:pPr>
        <w:tabs>
          <w:tab w:val="left" w:pos="426"/>
        </w:tabs>
        <w:autoSpaceDE w:val="0"/>
        <w:autoSpaceDN w:val="0"/>
        <w:adjustRightInd w:val="0"/>
        <w:ind w:left="426" w:hanging="426"/>
        <w:jc w:val="both"/>
        <w:rPr>
          <w:rFonts w:ascii="Cambria" w:hAnsi="Cambria"/>
          <w:sz w:val="20"/>
          <w:lang w:val="en-ZA"/>
        </w:rPr>
      </w:pPr>
      <w:r w:rsidRPr="00A43743">
        <w:rPr>
          <w:rFonts w:ascii="Cambria" w:hAnsi="Cambria"/>
          <w:sz w:val="20"/>
          <w:lang w:val="en-ZA"/>
        </w:rPr>
        <w:t>6.</w:t>
      </w:r>
      <w:r w:rsidRPr="00A43743">
        <w:rPr>
          <w:rFonts w:ascii="Cambria" w:hAnsi="Cambria"/>
          <w:sz w:val="20"/>
          <w:lang w:val="en-ZA"/>
        </w:rPr>
        <w:tab/>
      </w:r>
      <w:r w:rsidR="006922D0" w:rsidRPr="00A43743">
        <w:rPr>
          <w:rFonts w:ascii="Cambria" w:hAnsi="Cambria"/>
          <w:sz w:val="20"/>
        </w:rPr>
        <w:t xml:space="preserve">Notwithstanding the </w:t>
      </w:r>
      <w:r w:rsidR="006922D0" w:rsidRPr="00A43743">
        <w:rPr>
          <w:rFonts w:ascii="Cambria" w:hAnsi="Cambria"/>
          <w:i/>
          <w:iCs/>
          <w:sz w:val="20"/>
        </w:rPr>
        <w:t xml:space="preserve">Recommendation by ICCAT </w:t>
      </w:r>
      <w:r w:rsidR="00676C3F" w:rsidRPr="00A43743">
        <w:rPr>
          <w:rFonts w:ascii="Cambria" w:hAnsi="Cambria"/>
          <w:i/>
          <w:iCs/>
          <w:sz w:val="20"/>
        </w:rPr>
        <w:t>regarding the temporary adjustment of quotas</w:t>
      </w:r>
      <w:r w:rsidR="00676C3F" w:rsidRPr="00A43743">
        <w:rPr>
          <w:rFonts w:ascii="Cambria" w:hAnsi="Cambria"/>
          <w:sz w:val="20"/>
        </w:rPr>
        <w:t xml:space="preserve"> </w:t>
      </w:r>
      <w:r w:rsidR="006922D0" w:rsidRPr="00A43743">
        <w:rPr>
          <w:rFonts w:ascii="Cambria" w:hAnsi="Cambria"/>
          <w:sz w:val="20"/>
        </w:rPr>
        <w:t>(Rec. 01-12</w:t>
      </w:r>
      <w:r w:rsidR="006922D0" w:rsidRPr="00A43743">
        <w:rPr>
          <w:rFonts w:ascii="Cambria" w:eastAsia="Calibri" w:hAnsi="Cambria"/>
          <w:sz w:val="20"/>
          <w:szCs w:val="20"/>
        </w:rPr>
        <w:t>),</w:t>
      </w:r>
      <w:r w:rsidR="006922D0" w:rsidRPr="00A43743">
        <w:rPr>
          <w:rFonts w:ascii="Cambria" w:hAnsi="Cambria"/>
          <w:sz w:val="20"/>
        </w:rPr>
        <w:t xml:space="preserve"> all CPCs specifically referred to in paragraph 3</w:t>
      </w:r>
      <w:r w:rsidR="00676C3F" w:rsidRPr="00A43743">
        <w:rPr>
          <w:rFonts w:ascii="Cambria" w:hAnsi="Cambria"/>
          <w:sz w:val="20"/>
        </w:rPr>
        <w:t xml:space="preserve"> </w:t>
      </w:r>
      <w:r w:rsidR="002123C6" w:rsidRPr="00A43743">
        <w:rPr>
          <w:rFonts w:ascii="Cambria" w:hAnsi="Cambria"/>
          <w:sz w:val="20"/>
        </w:rPr>
        <w:t>a</w:t>
      </w:r>
      <w:r w:rsidR="00BA195C" w:rsidRPr="00A43743">
        <w:rPr>
          <w:rFonts w:ascii="Cambria" w:hAnsi="Cambria"/>
          <w:sz w:val="20"/>
        </w:rPr>
        <w:t>)</w:t>
      </w:r>
      <w:r w:rsidR="006922D0" w:rsidRPr="00A43743">
        <w:rPr>
          <w:rFonts w:ascii="Cambria" w:hAnsi="Cambria"/>
          <w:sz w:val="20"/>
        </w:rPr>
        <w:t xml:space="preserve"> may transfer a portion of their quota to another CPC subject to both CPCs agreeing and providing prior notification to the ICCAT Secretariat in terms of the quantity to be transferred. The Secretariat shall disseminate this notification to all CPCs.</w:t>
      </w:r>
    </w:p>
    <w:p w14:paraId="69E8690D" w14:textId="616BBDA7" w:rsidR="00CD5F4C" w:rsidRDefault="00CD5F4C" w:rsidP="00B1769E">
      <w:pPr>
        <w:tabs>
          <w:tab w:val="left" w:pos="284"/>
          <w:tab w:val="left" w:pos="567"/>
          <w:tab w:val="left" w:pos="851"/>
        </w:tabs>
        <w:autoSpaceDE w:val="0"/>
        <w:autoSpaceDN w:val="0"/>
        <w:adjustRightInd w:val="0"/>
        <w:jc w:val="both"/>
        <w:rPr>
          <w:rFonts w:ascii="Cambria" w:hAnsi="Cambria"/>
          <w:sz w:val="20"/>
          <w:lang w:val="en-ZA"/>
        </w:rPr>
      </w:pPr>
    </w:p>
    <w:p w14:paraId="7D57AB25" w14:textId="274DB7D5" w:rsidR="00E43C3A" w:rsidRDefault="00E43C3A" w:rsidP="00B1769E">
      <w:pPr>
        <w:tabs>
          <w:tab w:val="left" w:pos="284"/>
          <w:tab w:val="left" w:pos="567"/>
          <w:tab w:val="left" w:pos="851"/>
        </w:tabs>
        <w:autoSpaceDE w:val="0"/>
        <w:autoSpaceDN w:val="0"/>
        <w:adjustRightInd w:val="0"/>
        <w:jc w:val="both"/>
        <w:rPr>
          <w:rFonts w:ascii="Cambria" w:hAnsi="Cambria"/>
          <w:sz w:val="20"/>
          <w:lang w:val="en-ZA"/>
        </w:rPr>
      </w:pPr>
    </w:p>
    <w:p w14:paraId="6B9236ED" w14:textId="6352060D" w:rsidR="00E43C3A" w:rsidRDefault="00E43C3A" w:rsidP="00B1769E">
      <w:pPr>
        <w:tabs>
          <w:tab w:val="left" w:pos="284"/>
          <w:tab w:val="left" w:pos="567"/>
          <w:tab w:val="left" w:pos="851"/>
        </w:tabs>
        <w:autoSpaceDE w:val="0"/>
        <w:autoSpaceDN w:val="0"/>
        <w:adjustRightInd w:val="0"/>
        <w:jc w:val="both"/>
        <w:rPr>
          <w:rFonts w:ascii="Cambria" w:hAnsi="Cambria"/>
          <w:sz w:val="20"/>
          <w:lang w:val="en-ZA"/>
        </w:rPr>
      </w:pPr>
    </w:p>
    <w:p w14:paraId="5CBF068C" w14:textId="276B234B" w:rsidR="00E43C3A" w:rsidRDefault="00E43C3A" w:rsidP="00B1769E">
      <w:pPr>
        <w:tabs>
          <w:tab w:val="left" w:pos="284"/>
          <w:tab w:val="left" w:pos="567"/>
          <w:tab w:val="left" w:pos="851"/>
        </w:tabs>
        <w:autoSpaceDE w:val="0"/>
        <w:autoSpaceDN w:val="0"/>
        <w:adjustRightInd w:val="0"/>
        <w:jc w:val="both"/>
        <w:rPr>
          <w:rFonts w:ascii="Cambria" w:hAnsi="Cambria"/>
          <w:sz w:val="20"/>
          <w:lang w:val="en-ZA"/>
        </w:rPr>
      </w:pPr>
    </w:p>
    <w:p w14:paraId="5435C671" w14:textId="2E0AC0DB" w:rsidR="00E43C3A" w:rsidRDefault="00E43C3A" w:rsidP="00B1769E">
      <w:pPr>
        <w:tabs>
          <w:tab w:val="left" w:pos="284"/>
          <w:tab w:val="left" w:pos="567"/>
          <w:tab w:val="left" w:pos="851"/>
        </w:tabs>
        <w:autoSpaceDE w:val="0"/>
        <w:autoSpaceDN w:val="0"/>
        <w:adjustRightInd w:val="0"/>
        <w:jc w:val="both"/>
        <w:rPr>
          <w:rFonts w:ascii="Cambria" w:hAnsi="Cambria"/>
          <w:sz w:val="20"/>
          <w:lang w:val="en-ZA"/>
        </w:rPr>
      </w:pPr>
    </w:p>
    <w:p w14:paraId="6D95694C" w14:textId="77777777" w:rsidR="00E43C3A" w:rsidRPr="00A43743" w:rsidRDefault="00E43C3A" w:rsidP="00B1769E">
      <w:pPr>
        <w:tabs>
          <w:tab w:val="left" w:pos="284"/>
          <w:tab w:val="left" w:pos="567"/>
          <w:tab w:val="left" w:pos="851"/>
        </w:tabs>
        <w:autoSpaceDE w:val="0"/>
        <w:autoSpaceDN w:val="0"/>
        <w:adjustRightInd w:val="0"/>
        <w:jc w:val="both"/>
        <w:rPr>
          <w:rFonts w:ascii="Cambria" w:hAnsi="Cambria"/>
          <w:sz w:val="20"/>
          <w:lang w:val="en-ZA"/>
        </w:rPr>
      </w:pPr>
    </w:p>
    <w:p w14:paraId="141301E6" w14:textId="5E1BE697" w:rsidR="00CD5F4C" w:rsidRPr="00A43743" w:rsidRDefault="00CD5F4C" w:rsidP="00B1769E">
      <w:pPr>
        <w:tabs>
          <w:tab w:val="left" w:pos="426"/>
        </w:tabs>
        <w:autoSpaceDE w:val="0"/>
        <w:autoSpaceDN w:val="0"/>
        <w:adjustRightInd w:val="0"/>
        <w:ind w:left="426" w:hanging="426"/>
        <w:jc w:val="both"/>
        <w:rPr>
          <w:rFonts w:ascii="Cambria" w:hAnsi="Cambria"/>
          <w:sz w:val="20"/>
          <w:lang w:val="en-ZA"/>
        </w:rPr>
      </w:pPr>
      <w:r w:rsidRPr="00A43743">
        <w:rPr>
          <w:rFonts w:ascii="Cambria" w:hAnsi="Cambria"/>
          <w:sz w:val="20"/>
          <w:lang w:val="en-ZA"/>
        </w:rPr>
        <w:lastRenderedPageBreak/>
        <w:t>7.</w:t>
      </w:r>
      <w:r w:rsidRPr="00A43743">
        <w:rPr>
          <w:rFonts w:ascii="Cambria" w:hAnsi="Cambria"/>
          <w:sz w:val="20"/>
          <w:lang w:val="en-ZA"/>
        </w:rPr>
        <w:tab/>
        <w:t xml:space="preserve">Those CPCs that are catching southern Atlantic albacore, shall immediately improve their catch reporting systems to ensure the reporting of accurate and validated southern Atlantic albacore catch and effort data to ICCAT in full accordance with the ICCAT requirements for provision of Task </w:t>
      </w:r>
      <w:r w:rsidR="0037425B" w:rsidRPr="00A43743">
        <w:rPr>
          <w:rFonts w:ascii="Cambria" w:eastAsia="Calibri" w:hAnsi="Cambria"/>
          <w:sz w:val="20"/>
          <w:szCs w:val="20"/>
          <w:lang w:val="en-ZA"/>
        </w:rPr>
        <w:t>1</w:t>
      </w:r>
      <w:r w:rsidRPr="00A43743">
        <w:rPr>
          <w:rFonts w:ascii="Cambria" w:hAnsi="Cambria"/>
          <w:sz w:val="20"/>
          <w:lang w:val="en-ZA"/>
        </w:rPr>
        <w:t xml:space="preserve"> and Task </w:t>
      </w:r>
      <w:r w:rsidR="0037425B" w:rsidRPr="00A43743">
        <w:rPr>
          <w:rFonts w:ascii="Cambria" w:eastAsia="Calibri" w:hAnsi="Cambria"/>
          <w:sz w:val="20"/>
          <w:szCs w:val="20"/>
          <w:lang w:val="en-ZA"/>
        </w:rPr>
        <w:t>2</w:t>
      </w:r>
      <w:r w:rsidRPr="00A43743">
        <w:rPr>
          <w:rFonts w:ascii="Cambria" w:hAnsi="Cambria"/>
          <w:sz w:val="20"/>
          <w:lang w:val="en-ZA"/>
        </w:rPr>
        <w:t xml:space="preserve"> catch, effort and size data. In addition, port states CPCs in the </w:t>
      </w:r>
      <w:r w:rsidR="00676C3F" w:rsidRPr="00471210">
        <w:rPr>
          <w:rFonts w:ascii="Cambria" w:hAnsi="Cambria"/>
          <w:sz w:val="20"/>
          <w:lang w:val="en-ZA"/>
        </w:rPr>
        <w:t xml:space="preserve">South </w:t>
      </w:r>
      <w:r w:rsidRPr="00471210">
        <w:rPr>
          <w:rFonts w:ascii="Cambria" w:hAnsi="Cambria"/>
          <w:sz w:val="20"/>
          <w:lang w:val="en-ZA"/>
        </w:rPr>
        <w:t xml:space="preserve">Atlantic shall report the results of their port inspections to the </w:t>
      </w:r>
      <w:r w:rsidR="00676C3F" w:rsidRPr="00471210">
        <w:rPr>
          <w:rFonts w:ascii="Cambria" w:hAnsi="Cambria"/>
          <w:sz w:val="20"/>
          <w:lang w:val="en-ZA"/>
        </w:rPr>
        <w:t xml:space="preserve">ICCAT </w:t>
      </w:r>
      <w:r w:rsidRPr="00471210">
        <w:rPr>
          <w:rFonts w:ascii="Cambria" w:hAnsi="Cambria"/>
          <w:sz w:val="20"/>
          <w:lang w:val="en-ZA"/>
        </w:rPr>
        <w:t xml:space="preserve">Secretariat in accordance </w:t>
      </w:r>
      <w:r w:rsidR="00FE3D1F" w:rsidRPr="00471210">
        <w:rPr>
          <w:rFonts w:ascii="Cambria" w:hAnsi="Cambria"/>
          <w:sz w:val="20"/>
          <w:lang w:val="en-ZA"/>
        </w:rPr>
        <w:t xml:space="preserve">with the </w:t>
      </w:r>
      <w:r w:rsidR="00AC3316" w:rsidRPr="00471210">
        <w:rPr>
          <w:rFonts w:ascii="Cambria" w:hAnsi="Cambria"/>
          <w:i/>
          <w:iCs/>
          <w:sz w:val="20"/>
        </w:rPr>
        <w:t xml:space="preserve">Recommendation by ICCAT amending Recommendation 18-09 on Port State measures to prevent, deter, and eliminate illegal, unreported and unregulated fishing </w:t>
      </w:r>
      <w:r w:rsidR="00AC3316" w:rsidRPr="00471210">
        <w:rPr>
          <w:rFonts w:ascii="Cambria" w:hAnsi="Cambria"/>
          <w:sz w:val="20"/>
        </w:rPr>
        <w:t>(Rec. 23-17)</w:t>
      </w:r>
      <w:r w:rsidRPr="00471210">
        <w:rPr>
          <w:rFonts w:ascii="Cambria" w:hAnsi="Cambria"/>
          <w:sz w:val="20"/>
          <w:lang w:val="en-ZA"/>
        </w:rPr>
        <w:t xml:space="preserve">. The </w:t>
      </w:r>
      <w:r w:rsidR="00676C3F" w:rsidRPr="00471210">
        <w:rPr>
          <w:rFonts w:ascii="Cambria" w:hAnsi="Cambria"/>
          <w:sz w:val="20"/>
          <w:lang w:val="en-ZA"/>
        </w:rPr>
        <w:t xml:space="preserve">ICCAT </w:t>
      </w:r>
      <w:r w:rsidRPr="00471210">
        <w:rPr>
          <w:rFonts w:ascii="Cambria" w:hAnsi="Cambria"/>
          <w:sz w:val="20"/>
          <w:lang w:val="en-ZA"/>
        </w:rPr>
        <w:t>Secretariat shall forward the reports to the flag CPC.</w:t>
      </w:r>
    </w:p>
    <w:p w14:paraId="383C96CB" w14:textId="77777777" w:rsidR="00CD5F4C" w:rsidRPr="00A43743" w:rsidRDefault="00CD5F4C" w:rsidP="00F53FC2">
      <w:pPr>
        <w:tabs>
          <w:tab w:val="left" w:pos="284"/>
          <w:tab w:val="left" w:pos="567"/>
          <w:tab w:val="left" w:pos="851"/>
        </w:tabs>
        <w:autoSpaceDE w:val="0"/>
        <w:autoSpaceDN w:val="0"/>
        <w:adjustRightInd w:val="0"/>
        <w:jc w:val="both"/>
        <w:rPr>
          <w:rFonts w:ascii="Cambria" w:hAnsi="Cambria"/>
          <w:sz w:val="20"/>
          <w:lang w:val="en-ZA"/>
        </w:rPr>
      </w:pPr>
    </w:p>
    <w:p w14:paraId="0771B31B" w14:textId="64E8F361" w:rsidR="00CD5F4C" w:rsidRPr="00A43743" w:rsidRDefault="00CD5F4C" w:rsidP="00B1769E">
      <w:pPr>
        <w:tabs>
          <w:tab w:val="left" w:pos="426"/>
        </w:tabs>
        <w:autoSpaceDE w:val="0"/>
        <w:autoSpaceDN w:val="0"/>
        <w:adjustRightInd w:val="0"/>
        <w:ind w:left="426" w:hanging="426"/>
        <w:jc w:val="both"/>
        <w:rPr>
          <w:rFonts w:ascii="Cambria" w:hAnsi="Cambria"/>
          <w:sz w:val="20"/>
          <w:lang w:val="en-ZA"/>
        </w:rPr>
      </w:pPr>
      <w:r w:rsidRPr="00A43743">
        <w:rPr>
          <w:rFonts w:ascii="Cambria" w:hAnsi="Cambria"/>
          <w:sz w:val="20"/>
          <w:lang w:val="en-ZA"/>
        </w:rPr>
        <w:t>8.</w:t>
      </w:r>
      <w:r w:rsidRPr="00A43743">
        <w:rPr>
          <w:rFonts w:ascii="Cambria" w:hAnsi="Cambria"/>
          <w:sz w:val="20"/>
          <w:lang w:val="en-ZA"/>
        </w:rPr>
        <w:tab/>
        <w:t xml:space="preserve">The next stock assessment of southern Atlantic albacore shall be conducted in </w:t>
      </w:r>
      <w:r w:rsidRPr="00A43743">
        <w:rPr>
          <w:rFonts w:ascii="Cambria" w:eastAsia="Calibri" w:hAnsi="Cambria"/>
          <w:sz w:val="20"/>
          <w:szCs w:val="20"/>
          <w:lang w:val="en-ZA"/>
        </w:rPr>
        <w:t>202</w:t>
      </w:r>
      <w:r w:rsidR="007D72BE" w:rsidRPr="00A43743">
        <w:rPr>
          <w:rFonts w:ascii="Cambria" w:eastAsia="Calibri" w:hAnsi="Cambria"/>
          <w:sz w:val="20"/>
          <w:szCs w:val="20"/>
          <w:lang w:val="en-ZA"/>
        </w:rPr>
        <w:t>6</w:t>
      </w:r>
      <w:r w:rsidRPr="00A43743">
        <w:rPr>
          <w:rFonts w:ascii="Cambria" w:hAnsi="Cambria"/>
          <w:sz w:val="20"/>
          <w:lang w:val="en-ZA"/>
        </w:rPr>
        <w:t xml:space="preserve">. Scientists of entities actively fishing for southern Atlantic albacore are strongly encouraged to analyse their fisheries data and to participate in the </w:t>
      </w:r>
      <w:r w:rsidRPr="00A43743">
        <w:rPr>
          <w:rFonts w:ascii="Cambria" w:eastAsia="Calibri" w:hAnsi="Cambria"/>
          <w:sz w:val="20"/>
          <w:szCs w:val="20"/>
          <w:lang w:val="en-ZA"/>
        </w:rPr>
        <w:t>202</w:t>
      </w:r>
      <w:r w:rsidR="007D72BE" w:rsidRPr="00A43743">
        <w:rPr>
          <w:rFonts w:ascii="Cambria" w:eastAsia="Calibri" w:hAnsi="Cambria"/>
          <w:sz w:val="20"/>
          <w:szCs w:val="20"/>
          <w:lang w:val="en-ZA"/>
        </w:rPr>
        <w:t>6</w:t>
      </w:r>
      <w:r w:rsidRPr="00A43743">
        <w:rPr>
          <w:rFonts w:ascii="Cambria" w:hAnsi="Cambria"/>
          <w:sz w:val="20"/>
          <w:lang w:val="en-ZA"/>
        </w:rPr>
        <w:t xml:space="preserve"> assessment.</w:t>
      </w:r>
    </w:p>
    <w:p w14:paraId="7DD40F2B" w14:textId="77777777" w:rsidR="00C85F13" w:rsidRPr="00A43743" w:rsidRDefault="00C85F13" w:rsidP="00F53FC2">
      <w:pPr>
        <w:tabs>
          <w:tab w:val="left" w:pos="284"/>
          <w:tab w:val="left" w:pos="567"/>
          <w:tab w:val="left" w:pos="851"/>
        </w:tabs>
        <w:autoSpaceDE w:val="0"/>
        <w:autoSpaceDN w:val="0"/>
        <w:adjustRightInd w:val="0"/>
        <w:ind w:left="284" w:hanging="284"/>
        <w:jc w:val="both"/>
        <w:rPr>
          <w:rFonts w:ascii="Cambria" w:hAnsi="Cambria"/>
          <w:sz w:val="20"/>
          <w:lang w:val="en-ZA"/>
        </w:rPr>
      </w:pPr>
    </w:p>
    <w:p w14:paraId="41F3DBB4" w14:textId="0961432A" w:rsidR="00CD5F4C" w:rsidRPr="00A43743" w:rsidRDefault="00CD5F4C" w:rsidP="00B1769E">
      <w:pPr>
        <w:tabs>
          <w:tab w:val="left" w:pos="426"/>
        </w:tabs>
        <w:autoSpaceDE w:val="0"/>
        <w:autoSpaceDN w:val="0"/>
        <w:adjustRightInd w:val="0"/>
        <w:ind w:left="426" w:hanging="426"/>
        <w:jc w:val="both"/>
        <w:rPr>
          <w:rFonts w:ascii="Cambria" w:hAnsi="Cambria"/>
          <w:sz w:val="20"/>
          <w:lang w:val="en-ZA"/>
        </w:rPr>
      </w:pPr>
      <w:r w:rsidRPr="00A43743">
        <w:rPr>
          <w:rFonts w:ascii="Cambria" w:hAnsi="Cambria"/>
          <w:sz w:val="20"/>
          <w:lang w:val="en-ZA"/>
        </w:rPr>
        <w:t>9.</w:t>
      </w:r>
      <w:r w:rsidRPr="00A43743">
        <w:rPr>
          <w:rFonts w:ascii="Cambria" w:hAnsi="Cambria"/>
          <w:sz w:val="20"/>
          <w:lang w:val="en-ZA"/>
        </w:rPr>
        <w:tab/>
        <w:t>All aspects of the southern Atlantic albacore catch limit and sharing arrangement shall be reviewed and revised at the 202</w:t>
      </w:r>
      <w:r w:rsidR="008633BF" w:rsidRPr="00A43743">
        <w:rPr>
          <w:rFonts w:ascii="Cambria" w:hAnsi="Cambria"/>
          <w:sz w:val="20"/>
          <w:lang w:val="en-ZA"/>
        </w:rPr>
        <w:t>6</w:t>
      </w:r>
      <w:r w:rsidRPr="00A43743">
        <w:rPr>
          <w:rFonts w:ascii="Cambria" w:hAnsi="Cambria"/>
          <w:sz w:val="20"/>
          <w:lang w:val="en-ZA"/>
        </w:rPr>
        <w:t xml:space="preserve"> ICCAT Commission meeting, taking account of the results of the updated southern Atlantic albacore stock assessment to be conducted in </w:t>
      </w:r>
      <w:r w:rsidRPr="00A43743">
        <w:rPr>
          <w:rFonts w:ascii="Cambria" w:eastAsia="Calibri" w:hAnsi="Cambria"/>
          <w:sz w:val="20"/>
          <w:szCs w:val="20"/>
          <w:lang w:val="en-ZA"/>
        </w:rPr>
        <w:t>202</w:t>
      </w:r>
      <w:r w:rsidR="007D72BE" w:rsidRPr="00A43743">
        <w:rPr>
          <w:rFonts w:ascii="Cambria" w:eastAsia="Calibri" w:hAnsi="Cambria"/>
          <w:sz w:val="20"/>
          <w:szCs w:val="20"/>
          <w:lang w:val="en-ZA"/>
        </w:rPr>
        <w:t>6</w:t>
      </w:r>
      <w:r w:rsidRPr="00A43743">
        <w:rPr>
          <w:rFonts w:ascii="Cambria" w:hAnsi="Cambria"/>
          <w:sz w:val="20"/>
          <w:lang w:val="en-ZA"/>
        </w:rPr>
        <w:t xml:space="preserve">. This review and revision shall also address any over-harvests made </w:t>
      </w:r>
      <w:proofErr w:type="gramStart"/>
      <w:r w:rsidRPr="00A43743">
        <w:rPr>
          <w:rFonts w:ascii="Cambria" w:hAnsi="Cambria"/>
          <w:sz w:val="20"/>
          <w:lang w:val="en-ZA"/>
        </w:rPr>
        <w:t>in excess of</w:t>
      </w:r>
      <w:proofErr w:type="gramEnd"/>
      <w:r w:rsidRPr="00A43743">
        <w:rPr>
          <w:rFonts w:ascii="Cambria" w:hAnsi="Cambria"/>
          <w:sz w:val="20"/>
          <w:lang w:val="en-ZA"/>
        </w:rPr>
        <w:t xml:space="preserve"> the 20</w:t>
      </w:r>
      <w:r w:rsidR="008633BF" w:rsidRPr="00A43743">
        <w:rPr>
          <w:rFonts w:ascii="Cambria" w:hAnsi="Cambria"/>
          <w:sz w:val="20"/>
          <w:lang w:val="en-ZA"/>
        </w:rPr>
        <w:t>23</w:t>
      </w:r>
      <w:r w:rsidRPr="00A43743">
        <w:rPr>
          <w:rFonts w:ascii="Cambria" w:hAnsi="Cambria"/>
          <w:sz w:val="20"/>
          <w:lang w:val="en-ZA"/>
        </w:rPr>
        <w:t xml:space="preserve"> to 202</w:t>
      </w:r>
      <w:r w:rsidR="008633BF" w:rsidRPr="00A43743">
        <w:rPr>
          <w:rFonts w:ascii="Cambria" w:hAnsi="Cambria"/>
          <w:sz w:val="20"/>
          <w:lang w:val="en-ZA"/>
        </w:rPr>
        <w:t>6</w:t>
      </w:r>
      <w:r w:rsidRPr="00A43743">
        <w:rPr>
          <w:rFonts w:ascii="Cambria" w:hAnsi="Cambria"/>
          <w:sz w:val="20"/>
          <w:lang w:val="en-ZA"/>
        </w:rPr>
        <w:t xml:space="preserve"> TAC.</w:t>
      </w:r>
    </w:p>
    <w:p w14:paraId="434050EC" w14:textId="77777777" w:rsidR="00CD5F4C" w:rsidRPr="00A43743" w:rsidRDefault="00CD5F4C" w:rsidP="00F53FC2">
      <w:pPr>
        <w:tabs>
          <w:tab w:val="left" w:pos="284"/>
          <w:tab w:val="left" w:pos="567"/>
          <w:tab w:val="left" w:pos="851"/>
        </w:tabs>
        <w:autoSpaceDE w:val="0"/>
        <w:autoSpaceDN w:val="0"/>
        <w:adjustRightInd w:val="0"/>
        <w:ind w:left="284" w:hanging="284"/>
        <w:jc w:val="both"/>
        <w:rPr>
          <w:rFonts w:ascii="Cambria" w:hAnsi="Cambria"/>
          <w:sz w:val="20"/>
          <w:lang w:val="en-ZA"/>
        </w:rPr>
      </w:pPr>
    </w:p>
    <w:p w14:paraId="40F39C4E" w14:textId="5E541F13" w:rsidR="009B65E4" w:rsidRPr="00A43743" w:rsidRDefault="009B65E4" w:rsidP="00B1769E">
      <w:pPr>
        <w:pStyle w:val="ListParagraph"/>
        <w:numPr>
          <w:ilvl w:val="0"/>
          <w:numId w:val="15"/>
        </w:numPr>
        <w:autoSpaceDE w:val="0"/>
        <w:autoSpaceDN w:val="0"/>
        <w:adjustRightInd w:val="0"/>
        <w:ind w:left="426" w:hanging="426"/>
        <w:jc w:val="both"/>
        <w:rPr>
          <w:rFonts w:ascii="Cambria" w:hAnsi="Cambria"/>
          <w:sz w:val="20"/>
          <w:lang w:val="en-ZA"/>
        </w:rPr>
      </w:pPr>
      <w:r w:rsidRPr="00A43743">
        <w:rPr>
          <w:rFonts w:ascii="Cambria" w:hAnsi="Cambria"/>
          <w:sz w:val="20"/>
          <w:lang w:val="en-ZA"/>
        </w:rPr>
        <w:t xml:space="preserve">CPCs shall issue specific authorizations to vessels 20 meters LOA or greater flying their flag that are authorized to fish southern Atlantic albacore in the Convention </w:t>
      </w:r>
      <w:r w:rsidR="002C553A" w:rsidRPr="00A43743">
        <w:rPr>
          <w:rFonts w:ascii="Cambria" w:hAnsi="Cambria"/>
          <w:sz w:val="20"/>
          <w:lang w:val="en-ZA"/>
        </w:rPr>
        <w:t>a</w:t>
      </w:r>
      <w:r w:rsidRPr="00A43743">
        <w:rPr>
          <w:rFonts w:ascii="Cambria" w:hAnsi="Cambria"/>
          <w:sz w:val="20"/>
          <w:lang w:val="en-ZA"/>
        </w:rPr>
        <w:t xml:space="preserve">rea. Each CPC shall indicate which of such vessels it has so authorized on its vessel list submitted pursuant to the </w:t>
      </w:r>
      <w:r w:rsidRPr="00A43743">
        <w:rPr>
          <w:rFonts w:ascii="Cambria" w:hAnsi="Cambria"/>
          <w:i/>
          <w:sz w:val="20"/>
          <w:lang w:val="en-ZA"/>
        </w:rPr>
        <w:t xml:space="preserve">Recommendation by ICCAT </w:t>
      </w:r>
      <w:r w:rsidR="002C553A" w:rsidRPr="00A43743">
        <w:rPr>
          <w:rFonts w:ascii="Cambria" w:hAnsi="Cambria"/>
          <w:i/>
          <w:sz w:val="20"/>
          <w:lang w:val="en-ZA"/>
        </w:rPr>
        <w:t xml:space="preserve">concerning the establishment of an </w:t>
      </w:r>
      <w:r w:rsidRPr="00A43743">
        <w:rPr>
          <w:rFonts w:ascii="Cambria" w:hAnsi="Cambria"/>
          <w:i/>
          <w:sz w:val="20"/>
          <w:lang w:val="en-ZA"/>
        </w:rPr>
        <w:t xml:space="preserve">ICCAT Record of Vessels 20 meters in </w:t>
      </w:r>
      <w:r w:rsidR="002C553A" w:rsidRPr="00A43743">
        <w:rPr>
          <w:rFonts w:ascii="Cambria" w:hAnsi="Cambria"/>
          <w:i/>
          <w:sz w:val="20"/>
          <w:lang w:val="en-ZA"/>
        </w:rPr>
        <w:t>length overall or greater authorized to operate in the</w:t>
      </w:r>
      <w:r w:rsidRPr="00A43743">
        <w:rPr>
          <w:rFonts w:ascii="Cambria" w:hAnsi="Cambria"/>
          <w:i/>
          <w:sz w:val="20"/>
          <w:lang w:val="en-ZA"/>
        </w:rPr>
        <w:t xml:space="preserve"> Convention </w:t>
      </w:r>
      <w:r w:rsidR="002C553A" w:rsidRPr="00A43743">
        <w:rPr>
          <w:rFonts w:ascii="Cambria" w:hAnsi="Cambria"/>
          <w:i/>
          <w:sz w:val="20"/>
          <w:lang w:val="en-ZA"/>
        </w:rPr>
        <w:t>area</w:t>
      </w:r>
      <w:r w:rsidR="002C553A" w:rsidRPr="00A43743">
        <w:rPr>
          <w:rFonts w:ascii="Cambria" w:hAnsi="Cambria"/>
          <w:sz w:val="20"/>
          <w:lang w:val="en-ZA"/>
        </w:rPr>
        <w:t xml:space="preserve"> </w:t>
      </w:r>
      <w:r w:rsidRPr="00A43743">
        <w:rPr>
          <w:rFonts w:ascii="Cambria" w:hAnsi="Cambria"/>
          <w:sz w:val="20"/>
          <w:lang w:val="en-ZA"/>
        </w:rPr>
        <w:t xml:space="preserve">(Rec. </w:t>
      </w:r>
      <w:r w:rsidR="00FB3362" w:rsidRPr="00A43743">
        <w:rPr>
          <w:rFonts w:ascii="Cambria" w:hAnsi="Cambria"/>
          <w:sz w:val="20"/>
          <w:lang w:val="en-ZA"/>
        </w:rPr>
        <w:t>21-14</w:t>
      </w:r>
      <w:r w:rsidRPr="00A43743">
        <w:rPr>
          <w:rFonts w:ascii="Cambria" w:hAnsi="Cambria"/>
          <w:sz w:val="20"/>
          <w:lang w:val="en-ZA"/>
        </w:rPr>
        <w:t>). Such vessels not entered into this record or entered without the required indication that fishing southern Atlantic albacore is authorized are deemed not to be authorized to fish for, retain on board, tranship, transport, transfer, process or land southern Atlantic albacore.</w:t>
      </w:r>
    </w:p>
    <w:p w14:paraId="74AF6C4B" w14:textId="77777777" w:rsidR="0037425B" w:rsidRPr="00A43743" w:rsidRDefault="0037425B" w:rsidP="00B1769E">
      <w:pPr>
        <w:pStyle w:val="ListParagraph"/>
        <w:tabs>
          <w:tab w:val="left" w:pos="567"/>
          <w:tab w:val="left" w:pos="851"/>
        </w:tabs>
        <w:autoSpaceDE w:val="0"/>
        <w:autoSpaceDN w:val="0"/>
        <w:adjustRightInd w:val="0"/>
        <w:ind w:left="284"/>
        <w:jc w:val="both"/>
        <w:rPr>
          <w:rFonts w:ascii="Cambria" w:hAnsi="Cambria"/>
          <w:sz w:val="20"/>
          <w:lang w:val="en-ZA"/>
        </w:rPr>
      </w:pPr>
    </w:p>
    <w:p w14:paraId="74DDCEB7" w14:textId="53494DE0" w:rsidR="00491E96" w:rsidRPr="00A43743" w:rsidRDefault="00491E96" w:rsidP="00B1769E">
      <w:pPr>
        <w:pStyle w:val="ListParagraph"/>
        <w:numPr>
          <w:ilvl w:val="0"/>
          <w:numId w:val="15"/>
        </w:numPr>
        <w:autoSpaceDE w:val="0"/>
        <w:autoSpaceDN w:val="0"/>
        <w:adjustRightInd w:val="0"/>
        <w:ind w:left="426" w:hanging="426"/>
        <w:jc w:val="both"/>
        <w:rPr>
          <w:rFonts w:ascii="Cambria" w:eastAsia="Calibri" w:hAnsi="Cambria"/>
          <w:sz w:val="20"/>
          <w:szCs w:val="20"/>
          <w:lang w:val="en-ZA"/>
        </w:rPr>
      </w:pPr>
      <w:r w:rsidRPr="00A43743">
        <w:rPr>
          <w:rFonts w:ascii="Cambria" w:eastAsia="Calibri" w:hAnsi="Cambria"/>
          <w:sz w:val="20"/>
          <w:szCs w:val="20"/>
          <w:lang w:val="en-ZA"/>
        </w:rPr>
        <w:t>CPCs may allow bycatch of southern Atlantic albacore by vessels not authorized to fish southern Atlantic albacore pursuant to paragraph 10</w:t>
      </w:r>
      <w:r w:rsidR="007555E5" w:rsidRPr="00A43743">
        <w:rPr>
          <w:rFonts w:ascii="Cambria" w:eastAsia="Calibri" w:hAnsi="Cambria"/>
          <w:sz w:val="20"/>
          <w:szCs w:val="20"/>
          <w:lang w:val="en-ZA"/>
        </w:rPr>
        <w:t xml:space="preserve"> only</w:t>
      </w:r>
      <w:r w:rsidR="0020534E" w:rsidRPr="00A43743">
        <w:rPr>
          <w:rFonts w:ascii="Cambria" w:eastAsia="Calibri" w:hAnsi="Cambria"/>
          <w:sz w:val="20"/>
          <w:szCs w:val="20"/>
          <w:lang w:val="en-ZA"/>
        </w:rPr>
        <w:t>,</w:t>
      </w:r>
      <w:r w:rsidRPr="00A43743">
        <w:rPr>
          <w:rFonts w:ascii="Cambria" w:eastAsia="Calibri" w:hAnsi="Cambria"/>
          <w:sz w:val="20"/>
          <w:szCs w:val="20"/>
          <w:lang w:val="en-ZA"/>
        </w:rPr>
        <w:t xml:space="preserve"> if the CPC establishes a maximum </w:t>
      </w:r>
      <w:r w:rsidR="007555E5" w:rsidRPr="00A43743">
        <w:rPr>
          <w:rFonts w:ascii="Cambria" w:eastAsia="Calibri" w:hAnsi="Cambria"/>
          <w:sz w:val="20"/>
          <w:szCs w:val="20"/>
          <w:lang w:val="en-ZA"/>
        </w:rPr>
        <w:t xml:space="preserve">per trip </w:t>
      </w:r>
      <w:r w:rsidRPr="00A43743">
        <w:rPr>
          <w:rFonts w:ascii="Cambria" w:eastAsia="Calibri" w:hAnsi="Cambria"/>
          <w:sz w:val="20"/>
          <w:szCs w:val="20"/>
          <w:lang w:val="en-ZA"/>
        </w:rPr>
        <w:t xml:space="preserve">onboard bycatch limit </w:t>
      </w:r>
      <w:r w:rsidR="007555E5" w:rsidRPr="00A43743">
        <w:rPr>
          <w:rFonts w:ascii="Cambria" w:eastAsia="Calibri" w:hAnsi="Cambria"/>
          <w:sz w:val="20"/>
          <w:szCs w:val="20"/>
          <w:lang w:val="en-ZA"/>
        </w:rPr>
        <w:t xml:space="preserve">of no more than 5% </w:t>
      </w:r>
      <w:r w:rsidRPr="00A43743">
        <w:rPr>
          <w:rFonts w:ascii="Cambria" w:eastAsia="Calibri" w:hAnsi="Cambria"/>
          <w:sz w:val="20"/>
          <w:szCs w:val="20"/>
          <w:lang w:val="en-ZA"/>
        </w:rPr>
        <w:t xml:space="preserve">for such vessels and the bycatch is accounted for within the CPC’s catch limit. Each CPC shall provide in its Annual Report the maximum </w:t>
      </w:r>
      <w:r w:rsidR="007555E5" w:rsidRPr="00A43743">
        <w:rPr>
          <w:rFonts w:ascii="Cambria" w:eastAsia="Calibri" w:hAnsi="Cambria"/>
          <w:sz w:val="20"/>
          <w:szCs w:val="20"/>
          <w:lang w:val="en-ZA"/>
        </w:rPr>
        <w:t xml:space="preserve">per trip </w:t>
      </w:r>
      <w:r w:rsidRPr="00A43743">
        <w:rPr>
          <w:rFonts w:ascii="Cambria" w:eastAsia="Calibri" w:hAnsi="Cambria"/>
          <w:sz w:val="20"/>
          <w:szCs w:val="20"/>
          <w:lang w:val="en-ZA"/>
        </w:rPr>
        <w:t>bycatch limit it allows for such vessels</w:t>
      </w:r>
      <w:r w:rsidR="007555E5" w:rsidRPr="00A43743">
        <w:rPr>
          <w:rFonts w:ascii="Cambria" w:eastAsia="Calibri" w:hAnsi="Cambria"/>
          <w:sz w:val="20"/>
          <w:szCs w:val="20"/>
          <w:lang w:val="en-ZA"/>
        </w:rPr>
        <w:t xml:space="preserve"> and the total amount of southern Atlantic albacore harvested as bycatch</w:t>
      </w:r>
      <w:r w:rsidRPr="00A43743">
        <w:rPr>
          <w:rFonts w:ascii="Cambria" w:eastAsia="Calibri" w:hAnsi="Cambria"/>
          <w:sz w:val="20"/>
          <w:szCs w:val="20"/>
          <w:lang w:val="en-ZA"/>
        </w:rPr>
        <w:t>. That information shall be compiled by the ICCAT Secretariat and made available to CPCs</w:t>
      </w:r>
      <w:r w:rsidR="00512E70" w:rsidRPr="00A43743">
        <w:rPr>
          <w:rFonts w:ascii="Cambria" w:eastAsia="Calibri" w:hAnsi="Cambria"/>
          <w:sz w:val="20"/>
          <w:szCs w:val="20"/>
          <w:lang w:val="en-ZA"/>
        </w:rPr>
        <w:t>.</w:t>
      </w:r>
    </w:p>
    <w:p w14:paraId="30037585" w14:textId="0CD4C1AB" w:rsidR="002B0A59" w:rsidRPr="00A43743" w:rsidRDefault="002B0A59" w:rsidP="00B1769E">
      <w:pPr>
        <w:pStyle w:val="ListParagraph"/>
        <w:tabs>
          <w:tab w:val="left" w:pos="284"/>
          <w:tab w:val="left" w:pos="567"/>
          <w:tab w:val="left" w:pos="851"/>
        </w:tabs>
        <w:autoSpaceDE w:val="0"/>
        <w:autoSpaceDN w:val="0"/>
        <w:adjustRightInd w:val="0"/>
        <w:ind w:left="284"/>
        <w:jc w:val="both"/>
        <w:rPr>
          <w:rFonts w:ascii="Cambria" w:hAnsi="Cambria"/>
          <w:sz w:val="20"/>
          <w:lang w:val="en-ZA"/>
        </w:rPr>
      </w:pPr>
    </w:p>
    <w:p w14:paraId="5EEDE2B7" w14:textId="2FCDD217" w:rsidR="009C4DD6" w:rsidRPr="00A43743" w:rsidRDefault="00792840" w:rsidP="00B1769E">
      <w:pPr>
        <w:pStyle w:val="ListParagraph"/>
        <w:numPr>
          <w:ilvl w:val="0"/>
          <w:numId w:val="15"/>
        </w:numPr>
        <w:autoSpaceDE w:val="0"/>
        <w:autoSpaceDN w:val="0"/>
        <w:adjustRightInd w:val="0"/>
        <w:ind w:left="426" w:hanging="426"/>
        <w:jc w:val="both"/>
        <w:rPr>
          <w:rFonts w:ascii="Cambria" w:hAnsi="Cambria"/>
          <w:sz w:val="20"/>
          <w:lang w:val="en-ZA"/>
        </w:rPr>
      </w:pPr>
      <w:r w:rsidRPr="00A43743">
        <w:rPr>
          <w:rFonts w:ascii="Cambria" w:hAnsi="Cambria"/>
          <w:sz w:val="20"/>
        </w:rPr>
        <w:t xml:space="preserve">The Recommendation </w:t>
      </w:r>
      <w:r w:rsidR="00712862" w:rsidRPr="00A43743">
        <w:rPr>
          <w:rFonts w:ascii="Cambria" w:hAnsi="Cambria"/>
          <w:sz w:val="20"/>
        </w:rPr>
        <w:t xml:space="preserve">repeals and replaces </w:t>
      </w:r>
      <w:r w:rsidR="00E83C1B" w:rsidRPr="00A43743">
        <w:rPr>
          <w:rFonts w:ascii="Cambria" w:hAnsi="Cambria"/>
          <w:sz w:val="20"/>
        </w:rPr>
        <w:t xml:space="preserve">the </w:t>
      </w:r>
      <w:r w:rsidRPr="00A43743">
        <w:rPr>
          <w:rFonts w:ascii="Cambria" w:hAnsi="Cambria"/>
          <w:i/>
          <w:sz w:val="20"/>
        </w:rPr>
        <w:t>Recommendation</w:t>
      </w:r>
      <w:r w:rsidRPr="00A43743">
        <w:rPr>
          <w:rFonts w:ascii="Cambria" w:hAnsi="Cambria"/>
          <w:sz w:val="20"/>
        </w:rPr>
        <w:t xml:space="preserve"> </w:t>
      </w:r>
      <w:r w:rsidRPr="00A43743">
        <w:rPr>
          <w:rFonts w:ascii="Cambria" w:hAnsi="Cambria"/>
          <w:i/>
          <w:iCs/>
          <w:sz w:val="20"/>
        </w:rPr>
        <w:t xml:space="preserve">by ICCAT on the </w:t>
      </w:r>
      <w:r w:rsidR="007E2645" w:rsidRPr="00A43743">
        <w:rPr>
          <w:rFonts w:ascii="Cambria" w:hAnsi="Cambria"/>
          <w:i/>
          <w:iCs/>
          <w:sz w:val="20"/>
        </w:rPr>
        <w:t>southern albacore catch limits for the perio</w:t>
      </w:r>
      <w:r w:rsidRPr="00A43743">
        <w:rPr>
          <w:rFonts w:ascii="Cambria" w:hAnsi="Cambria"/>
          <w:i/>
          <w:iCs/>
          <w:sz w:val="20"/>
        </w:rPr>
        <w:t>d 2017 to 2020</w:t>
      </w:r>
      <w:r w:rsidRPr="00A43743">
        <w:rPr>
          <w:rFonts w:ascii="Cambria" w:hAnsi="Cambria"/>
          <w:sz w:val="20"/>
        </w:rPr>
        <w:t xml:space="preserve"> (Rec. 16-07) and </w:t>
      </w:r>
      <w:r w:rsidR="00712862" w:rsidRPr="00A43743">
        <w:rPr>
          <w:rFonts w:ascii="Cambria" w:hAnsi="Cambria"/>
          <w:sz w:val="20"/>
        </w:rPr>
        <w:t xml:space="preserve">further </w:t>
      </w:r>
      <w:r w:rsidRPr="00A43743">
        <w:rPr>
          <w:rFonts w:ascii="Cambria" w:hAnsi="Cambria"/>
          <w:sz w:val="20"/>
        </w:rPr>
        <w:t xml:space="preserve">repeals and replaces the </w:t>
      </w:r>
      <w:r w:rsidRPr="00A43743">
        <w:rPr>
          <w:rFonts w:ascii="Cambria" w:hAnsi="Cambria"/>
          <w:i/>
          <w:iCs/>
          <w:sz w:val="20"/>
        </w:rPr>
        <w:t>Supplemental Recommendation by ICCAT amend</w:t>
      </w:r>
      <w:r w:rsidR="00E83C1B" w:rsidRPr="00A43743">
        <w:rPr>
          <w:rFonts w:ascii="Cambria" w:hAnsi="Cambria"/>
          <w:i/>
          <w:iCs/>
          <w:sz w:val="20"/>
        </w:rPr>
        <w:t>ing</w:t>
      </w:r>
      <w:r w:rsidRPr="00A43743">
        <w:rPr>
          <w:rFonts w:ascii="Cambria" w:hAnsi="Cambria"/>
          <w:i/>
          <w:iCs/>
          <w:sz w:val="20"/>
        </w:rPr>
        <w:t xml:space="preserve"> the</w:t>
      </w:r>
      <w:r w:rsidRPr="00A43743">
        <w:rPr>
          <w:rFonts w:ascii="Cambria" w:hAnsi="Cambria"/>
          <w:sz w:val="20"/>
        </w:rPr>
        <w:t xml:space="preserve"> </w:t>
      </w:r>
      <w:r w:rsidRPr="00A43743">
        <w:rPr>
          <w:rFonts w:ascii="Cambria" w:hAnsi="Cambria"/>
          <w:i/>
          <w:iCs/>
          <w:sz w:val="20"/>
        </w:rPr>
        <w:t xml:space="preserve">Recommendation 16-07 on South Atlantic </w:t>
      </w:r>
      <w:r w:rsidR="007E2645" w:rsidRPr="00A43743">
        <w:rPr>
          <w:rFonts w:ascii="Cambria" w:hAnsi="Cambria"/>
          <w:i/>
          <w:iCs/>
          <w:sz w:val="20"/>
        </w:rPr>
        <w:t xml:space="preserve">albacore catch limits for the period </w:t>
      </w:r>
      <w:r w:rsidRPr="00A43743">
        <w:rPr>
          <w:rFonts w:ascii="Cambria" w:hAnsi="Cambria"/>
          <w:i/>
          <w:iCs/>
          <w:sz w:val="20"/>
        </w:rPr>
        <w:t>2017-2020</w:t>
      </w:r>
      <w:r w:rsidRPr="00A43743">
        <w:rPr>
          <w:rFonts w:ascii="Cambria" w:hAnsi="Cambria"/>
          <w:sz w:val="20"/>
        </w:rPr>
        <w:t xml:space="preserve"> (Rec. 21-05).</w:t>
      </w:r>
      <w:r w:rsidR="00E83C1B" w:rsidRPr="00A43743">
        <w:t xml:space="preserve"> </w:t>
      </w:r>
    </w:p>
    <w:sectPr w:rsidR="009C4DD6" w:rsidRPr="00A43743" w:rsidSect="00B1769E">
      <w:headerReference w:type="default" r:id="rId8"/>
      <w:footerReference w:type="default" r:id="rId9"/>
      <w:pgSz w:w="11907" w:h="16840" w:code="9"/>
      <w:pgMar w:top="1418" w:right="1418" w:bottom="1418" w:left="1418" w:header="851" w:footer="113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E0243" w14:textId="77777777" w:rsidR="001F5C81" w:rsidRDefault="001F5C81" w:rsidP="005928F3">
      <w:r>
        <w:separator/>
      </w:r>
    </w:p>
  </w:endnote>
  <w:endnote w:type="continuationSeparator" w:id="0">
    <w:p w14:paraId="2CDD7CC6" w14:textId="77777777" w:rsidR="001F5C81" w:rsidRDefault="001F5C81" w:rsidP="005928F3">
      <w:r>
        <w:continuationSeparator/>
      </w:r>
    </w:p>
  </w:endnote>
  <w:endnote w:type="continuationNotice" w:id="1">
    <w:p w14:paraId="07D651E5" w14:textId="77777777" w:rsidR="001F5C81" w:rsidRDefault="001F5C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4654799"/>
      <w:docPartObj>
        <w:docPartGallery w:val="Page Numbers (Bottom of Page)"/>
        <w:docPartUnique/>
      </w:docPartObj>
    </w:sdtPr>
    <w:sdtEndPr>
      <w:rPr>
        <w:noProof/>
        <w:sz w:val="20"/>
        <w:szCs w:val="20"/>
      </w:rPr>
    </w:sdtEndPr>
    <w:sdtContent>
      <w:p w14:paraId="14FD8BAB" w14:textId="3F603354" w:rsidR="00C53163" w:rsidRPr="00C53163" w:rsidRDefault="00C53163">
        <w:pPr>
          <w:pStyle w:val="Footer"/>
          <w:jc w:val="center"/>
          <w:rPr>
            <w:sz w:val="20"/>
            <w:szCs w:val="20"/>
          </w:rPr>
        </w:pPr>
        <w:r w:rsidRPr="00C53163">
          <w:rPr>
            <w:sz w:val="20"/>
            <w:szCs w:val="20"/>
          </w:rPr>
          <w:fldChar w:fldCharType="begin"/>
        </w:r>
        <w:r w:rsidRPr="00C53163">
          <w:rPr>
            <w:sz w:val="20"/>
            <w:szCs w:val="20"/>
          </w:rPr>
          <w:instrText xml:space="preserve"> PAGE   \* MERGEFORMAT </w:instrText>
        </w:r>
        <w:r w:rsidRPr="00C53163">
          <w:rPr>
            <w:sz w:val="20"/>
            <w:szCs w:val="20"/>
          </w:rPr>
          <w:fldChar w:fldCharType="separate"/>
        </w:r>
        <w:r w:rsidRPr="00C53163">
          <w:rPr>
            <w:noProof/>
            <w:sz w:val="20"/>
            <w:szCs w:val="20"/>
          </w:rPr>
          <w:t>2</w:t>
        </w:r>
        <w:r w:rsidRPr="00C53163">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8AEB3" w14:textId="77777777" w:rsidR="001F5C81" w:rsidRDefault="001F5C81" w:rsidP="005928F3">
      <w:r>
        <w:separator/>
      </w:r>
    </w:p>
  </w:footnote>
  <w:footnote w:type="continuationSeparator" w:id="0">
    <w:p w14:paraId="77C43A8D" w14:textId="77777777" w:rsidR="001F5C81" w:rsidRDefault="001F5C81" w:rsidP="005928F3">
      <w:r>
        <w:continuationSeparator/>
      </w:r>
    </w:p>
  </w:footnote>
  <w:footnote w:type="continuationNotice" w:id="1">
    <w:p w14:paraId="36B9BDFF" w14:textId="77777777" w:rsidR="001F5C81" w:rsidRDefault="001F5C81"/>
  </w:footnote>
  <w:footnote w:id="2">
    <w:p w14:paraId="38484F59" w14:textId="170FB7F7" w:rsidR="009036D3" w:rsidRPr="009036D3" w:rsidRDefault="009036D3" w:rsidP="009036D3">
      <w:pPr>
        <w:pStyle w:val="FootnoteText"/>
        <w:jc w:val="both"/>
        <w:rPr>
          <w:rFonts w:asciiTheme="minorHAnsi" w:hAnsiTheme="minorHAnsi"/>
          <w:sz w:val="16"/>
          <w:szCs w:val="16"/>
        </w:rPr>
      </w:pPr>
      <w:r w:rsidRPr="009036D3">
        <w:rPr>
          <w:rStyle w:val="FootnoteReference"/>
          <w:rFonts w:asciiTheme="minorHAnsi" w:hAnsiTheme="minorHAnsi"/>
          <w:sz w:val="16"/>
          <w:szCs w:val="16"/>
        </w:rPr>
        <w:footnoteRef/>
      </w:r>
      <w:r w:rsidRPr="009036D3">
        <w:rPr>
          <w:rFonts w:asciiTheme="minorHAnsi" w:hAnsiTheme="minorHAnsi"/>
          <w:sz w:val="16"/>
          <w:szCs w:val="16"/>
        </w:rPr>
        <w:t xml:space="preserve"> The United Kingdom became a member of ICCAT in 2020 and it includes the Overseas Territories of the United Kingdom.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68BDC" w14:textId="7562BE43" w:rsidR="008168F0" w:rsidRPr="007C2989" w:rsidRDefault="008168F0" w:rsidP="007C2989">
    <w:pPr>
      <w:pStyle w:val="Header"/>
    </w:pPr>
    <w:bookmarkStart w:id="1" w:name="_Hlk107908354"/>
    <w:bookmarkStart w:id="2" w:name="_Hlk107908355"/>
    <w:bookmarkStart w:id="3" w:name="_Hlk107908359"/>
    <w:bookmarkStart w:id="4" w:name="_Hlk107908360"/>
    <w:bookmarkStart w:id="5" w:name="_Hlk107908361"/>
    <w:bookmarkStart w:id="6" w:name="_Hlk107908362"/>
  </w:p>
  <w:bookmarkEnd w:id="1"/>
  <w:bookmarkEnd w:id="2"/>
  <w:bookmarkEnd w:id="3"/>
  <w:bookmarkEnd w:id="4"/>
  <w:bookmarkEnd w:id="5"/>
  <w:bookmarkEnd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BD3574"/>
    <w:multiLevelType w:val="hybridMultilevel"/>
    <w:tmpl w:val="07860BB6"/>
    <w:lvl w:ilvl="0" w:tplc="42401926">
      <w:start w:val="1"/>
      <w:numFmt w:val="lowerLetter"/>
      <w:lvlText w:val="%1)"/>
      <w:lvlJc w:val="left"/>
      <w:pPr>
        <w:ind w:left="640" w:hanging="360"/>
      </w:pPr>
      <w:rPr>
        <w:rFonts w:hint="default"/>
      </w:rPr>
    </w:lvl>
    <w:lvl w:ilvl="1" w:tplc="1C090019" w:tentative="1">
      <w:start w:val="1"/>
      <w:numFmt w:val="lowerLetter"/>
      <w:lvlText w:val="%2."/>
      <w:lvlJc w:val="left"/>
      <w:pPr>
        <w:ind w:left="1360" w:hanging="360"/>
      </w:pPr>
    </w:lvl>
    <w:lvl w:ilvl="2" w:tplc="1C09001B" w:tentative="1">
      <w:start w:val="1"/>
      <w:numFmt w:val="lowerRoman"/>
      <w:lvlText w:val="%3."/>
      <w:lvlJc w:val="right"/>
      <w:pPr>
        <w:ind w:left="2080" w:hanging="180"/>
      </w:pPr>
    </w:lvl>
    <w:lvl w:ilvl="3" w:tplc="1C09000F" w:tentative="1">
      <w:start w:val="1"/>
      <w:numFmt w:val="decimal"/>
      <w:lvlText w:val="%4."/>
      <w:lvlJc w:val="left"/>
      <w:pPr>
        <w:ind w:left="2800" w:hanging="360"/>
      </w:pPr>
    </w:lvl>
    <w:lvl w:ilvl="4" w:tplc="1C090019" w:tentative="1">
      <w:start w:val="1"/>
      <w:numFmt w:val="lowerLetter"/>
      <w:lvlText w:val="%5."/>
      <w:lvlJc w:val="left"/>
      <w:pPr>
        <w:ind w:left="3520" w:hanging="360"/>
      </w:pPr>
    </w:lvl>
    <w:lvl w:ilvl="5" w:tplc="1C09001B" w:tentative="1">
      <w:start w:val="1"/>
      <w:numFmt w:val="lowerRoman"/>
      <w:lvlText w:val="%6."/>
      <w:lvlJc w:val="right"/>
      <w:pPr>
        <w:ind w:left="4240" w:hanging="180"/>
      </w:pPr>
    </w:lvl>
    <w:lvl w:ilvl="6" w:tplc="1C09000F" w:tentative="1">
      <w:start w:val="1"/>
      <w:numFmt w:val="decimal"/>
      <w:lvlText w:val="%7."/>
      <w:lvlJc w:val="left"/>
      <w:pPr>
        <w:ind w:left="4960" w:hanging="360"/>
      </w:pPr>
    </w:lvl>
    <w:lvl w:ilvl="7" w:tplc="1C090019" w:tentative="1">
      <w:start w:val="1"/>
      <w:numFmt w:val="lowerLetter"/>
      <w:lvlText w:val="%8."/>
      <w:lvlJc w:val="left"/>
      <w:pPr>
        <w:ind w:left="5680" w:hanging="360"/>
      </w:pPr>
    </w:lvl>
    <w:lvl w:ilvl="8" w:tplc="1C09001B" w:tentative="1">
      <w:start w:val="1"/>
      <w:numFmt w:val="lowerRoman"/>
      <w:lvlText w:val="%9."/>
      <w:lvlJc w:val="right"/>
      <w:pPr>
        <w:ind w:left="6400" w:hanging="180"/>
      </w:pPr>
    </w:lvl>
  </w:abstractNum>
  <w:abstractNum w:abstractNumId="3" w15:restartNumberingAfterBreak="0">
    <w:nsid w:val="19895A73"/>
    <w:multiLevelType w:val="hybridMultilevel"/>
    <w:tmpl w:val="7CBE02A2"/>
    <w:lvl w:ilvl="0" w:tplc="AB5C559A">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F890B51"/>
    <w:multiLevelType w:val="hybridMultilevel"/>
    <w:tmpl w:val="C79659A4"/>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26621"/>
    <w:multiLevelType w:val="hybridMultilevel"/>
    <w:tmpl w:val="C79659A4"/>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B62436"/>
    <w:multiLevelType w:val="hybridMultilevel"/>
    <w:tmpl w:val="BCBAB8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A0A00C8"/>
    <w:multiLevelType w:val="hybridMultilevel"/>
    <w:tmpl w:val="53822AA8"/>
    <w:lvl w:ilvl="0" w:tplc="DE26D7AA">
      <w:start w:val="1"/>
      <w:numFmt w:val="decimal"/>
      <w:lvlText w:val="%1."/>
      <w:lvlJc w:val="left"/>
      <w:pPr>
        <w:ind w:left="542" w:hanging="285"/>
        <w:jc w:val="right"/>
      </w:pPr>
      <w:rPr>
        <w:rFonts w:ascii="Times New Roman" w:eastAsia="Times New Roman" w:hAnsi="Times New Roman" w:hint="default"/>
        <w:sz w:val="20"/>
        <w:szCs w:val="20"/>
      </w:rPr>
    </w:lvl>
    <w:lvl w:ilvl="1" w:tplc="271814F8">
      <w:start w:val="1"/>
      <w:numFmt w:val="bullet"/>
      <w:lvlText w:val="•"/>
      <w:lvlJc w:val="left"/>
      <w:pPr>
        <w:ind w:left="1447" w:hanging="285"/>
      </w:pPr>
      <w:rPr>
        <w:rFonts w:hint="default"/>
      </w:rPr>
    </w:lvl>
    <w:lvl w:ilvl="2" w:tplc="AFD4EF56">
      <w:start w:val="1"/>
      <w:numFmt w:val="bullet"/>
      <w:lvlText w:val="•"/>
      <w:lvlJc w:val="left"/>
      <w:pPr>
        <w:ind w:left="2351" w:hanging="285"/>
      </w:pPr>
      <w:rPr>
        <w:rFonts w:hint="default"/>
      </w:rPr>
    </w:lvl>
    <w:lvl w:ilvl="3" w:tplc="75F47FDC">
      <w:start w:val="1"/>
      <w:numFmt w:val="bullet"/>
      <w:lvlText w:val="•"/>
      <w:lvlJc w:val="left"/>
      <w:pPr>
        <w:ind w:left="3255" w:hanging="285"/>
      </w:pPr>
      <w:rPr>
        <w:rFonts w:hint="default"/>
      </w:rPr>
    </w:lvl>
    <w:lvl w:ilvl="4" w:tplc="8DEE4CD6">
      <w:start w:val="1"/>
      <w:numFmt w:val="bullet"/>
      <w:lvlText w:val="•"/>
      <w:lvlJc w:val="left"/>
      <w:pPr>
        <w:ind w:left="4159" w:hanging="285"/>
      </w:pPr>
      <w:rPr>
        <w:rFonts w:hint="default"/>
      </w:rPr>
    </w:lvl>
    <w:lvl w:ilvl="5" w:tplc="0848EED8">
      <w:start w:val="1"/>
      <w:numFmt w:val="bullet"/>
      <w:lvlText w:val="•"/>
      <w:lvlJc w:val="left"/>
      <w:pPr>
        <w:ind w:left="5063" w:hanging="285"/>
      </w:pPr>
      <w:rPr>
        <w:rFonts w:hint="default"/>
      </w:rPr>
    </w:lvl>
    <w:lvl w:ilvl="6" w:tplc="5AEEBC10">
      <w:start w:val="1"/>
      <w:numFmt w:val="bullet"/>
      <w:lvlText w:val="•"/>
      <w:lvlJc w:val="left"/>
      <w:pPr>
        <w:ind w:left="5967" w:hanging="285"/>
      </w:pPr>
      <w:rPr>
        <w:rFonts w:hint="default"/>
      </w:rPr>
    </w:lvl>
    <w:lvl w:ilvl="7" w:tplc="586817E6">
      <w:start w:val="1"/>
      <w:numFmt w:val="bullet"/>
      <w:lvlText w:val="•"/>
      <w:lvlJc w:val="left"/>
      <w:pPr>
        <w:ind w:left="6871" w:hanging="285"/>
      </w:pPr>
      <w:rPr>
        <w:rFonts w:hint="default"/>
      </w:rPr>
    </w:lvl>
    <w:lvl w:ilvl="8" w:tplc="1B2AA432">
      <w:start w:val="1"/>
      <w:numFmt w:val="bullet"/>
      <w:lvlText w:val="•"/>
      <w:lvlJc w:val="left"/>
      <w:pPr>
        <w:ind w:left="7776" w:hanging="285"/>
      </w:pPr>
      <w:rPr>
        <w:rFonts w:hint="default"/>
      </w:rPr>
    </w:lvl>
  </w:abstractNum>
  <w:abstractNum w:abstractNumId="8" w15:restartNumberingAfterBreak="0">
    <w:nsid w:val="2D926CA2"/>
    <w:multiLevelType w:val="hybridMultilevel"/>
    <w:tmpl w:val="9ECC6C84"/>
    <w:lvl w:ilvl="0" w:tplc="0409000F">
      <w:start w:val="1"/>
      <w:numFmt w:val="decimal"/>
      <w:lvlText w:val="%1."/>
      <w:lvlJc w:val="left"/>
      <w:pPr>
        <w:ind w:left="940" w:hanging="360"/>
      </w:p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9" w15:restartNumberingAfterBreak="0">
    <w:nsid w:val="3B920FA2"/>
    <w:multiLevelType w:val="hybridMultilevel"/>
    <w:tmpl w:val="7E12DCE8"/>
    <w:lvl w:ilvl="0" w:tplc="AB5C559A">
      <w:start w:val="1"/>
      <w:numFmt w:val="lowerLetter"/>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10" w15:restartNumberingAfterBreak="0">
    <w:nsid w:val="3C636732"/>
    <w:multiLevelType w:val="hybridMultilevel"/>
    <w:tmpl w:val="4C06E212"/>
    <w:lvl w:ilvl="0" w:tplc="6B60AA36">
      <w:start w:val="5"/>
      <w:numFmt w:val="decimal"/>
      <w:lvlText w:val="%1."/>
      <w:lvlJc w:val="left"/>
      <w:pPr>
        <w:ind w:left="9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837BB6"/>
    <w:multiLevelType w:val="hybridMultilevel"/>
    <w:tmpl w:val="D2803962"/>
    <w:lvl w:ilvl="0" w:tplc="A42C9B2E">
      <w:start w:val="10"/>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AB64C0"/>
    <w:multiLevelType w:val="hybridMultilevel"/>
    <w:tmpl w:val="AE5C6CD4"/>
    <w:lvl w:ilvl="0" w:tplc="4B3CAC82">
      <w:start w:val="12"/>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0814E4"/>
    <w:multiLevelType w:val="hybridMultilevel"/>
    <w:tmpl w:val="FF586CBC"/>
    <w:lvl w:ilvl="0" w:tplc="E32E1DA2">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290D50"/>
    <w:multiLevelType w:val="hybridMultilevel"/>
    <w:tmpl w:val="CA000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747172"/>
    <w:multiLevelType w:val="hybridMultilevel"/>
    <w:tmpl w:val="F2067F10"/>
    <w:lvl w:ilvl="0" w:tplc="D5604E3E">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73776E"/>
    <w:multiLevelType w:val="hybridMultilevel"/>
    <w:tmpl w:val="FDC2B63A"/>
    <w:lvl w:ilvl="0" w:tplc="F058E80C">
      <w:start w:val="10"/>
      <w:numFmt w:val="decimal"/>
      <w:lvlText w:val="%1."/>
      <w:lvlJc w:val="left"/>
      <w:pPr>
        <w:ind w:left="1841" w:hanging="420"/>
      </w:pPr>
      <w:rPr>
        <w:rFonts w:hint="eastAsia"/>
      </w:rPr>
    </w:lvl>
    <w:lvl w:ilvl="1" w:tplc="04090017" w:tentative="1">
      <w:start w:val="1"/>
      <w:numFmt w:val="aiueoFullWidth"/>
      <w:lvlText w:val="(%2)"/>
      <w:lvlJc w:val="left"/>
      <w:pPr>
        <w:ind w:left="1976" w:hanging="420"/>
      </w:pPr>
    </w:lvl>
    <w:lvl w:ilvl="2" w:tplc="04090011" w:tentative="1">
      <w:start w:val="1"/>
      <w:numFmt w:val="decimalEnclosedCircle"/>
      <w:lvlText w:val="%3"/>
      <w:lvlJc w:val="left"/>
      <w:pPr>
        <w:ind w:left="2396" w:hanging="420"/>
      </w:pPr>
    </w:lvl>
    <w:lvl w:ilvl="3" w:tplc="0409000F" w:tentative="1">
      <w:start w:val="1"/>
      <w:numFmt w:val="decimal"/>
      <w:lvlText w:val="%4."/>
      <w:lvlJc w:val="left"/>
      <w:pPr>
        <w:ind w:left="2816" w:hanging="420"/>
      </w:pPr>
    </w:lvl>
    <w:lvl w:ilvl="4" w:tplc="04090017" w:tentative="1">
      <w:start w:val="1"/>
      <w:numFmt w:val="aiueoFullWidth"/>
      <w:lvlText w:val="(%5)"/>
      <w:lvlJc w:val="left"/>
      <w:pPr>
        <w:ind w:left="3236" w:hanging="420"/>
      </w:pPr>
    </w:lvl>
    <w:lvl w:ilvl="5" w:tplc="04090011" w:tentative="1">
      <w:start w:val="1"/>
      <w:numFmt w:val="decimalEnclosedCircle"/>
      <w:lvlText w:val="%6"/>
      <w:lvlJc w:val="left"/>
      <w:pPr>
        <w:ind w:left="3656" w:hanging="420"/>
      </w:pPr>
    </w:lvl>
    <w:lvl w:ilvl="6" w:tplc="0409000F" w:tentative="1">
      <w:start w:val="1"/>
      <w:numFmt w:val="decimal"/>
      <w:lvlText w:val="%7."/>
      <w:lvlJc w:val="left"/>
      <w:pPr>
        <w:ind w:left="4076" w:hanging="420"/>
      </w:pPr>
    </w:lvl>
    <w:lvl w:ilvl="7" w:tplc="04090017" w:tentative="1">
      <w:start w:val="1"/>
      <w:numFmt w:val="aiueoFullWidth"/>
      <w:lvlText w:val="(%8)"/>
      <w:lvlJc w:val="left"/>
      <w:pPr>
        <w:ind w:left="4496" w:hanging="420"/>
      </w:pPr>
    </w:lvl>
    <w:lvl w:ilvl="8" w:tplc="04090011" w:tentative="1">
      <w:start w:val="1"/>
      <w:numFmt w:val="decimalEnclosedCircle"/>
      <w:lvlText w:val="%9"/>
      <w:lvlJc w:val="left"/>
      <w:pPr>
        <w:ind w:left="4916" w:hanging="420"/>
      </w:pPr>
    </w:lvl>
  </w:abstractNum>
  <w:num w:numId="1" w16cid:durableId="578363773">
    <w:abstractNumId w:val="0"/>
  </w:num>
  <w:num w:numId="2" w16cid:durableId="1101874879">
    <w:abstractNumId w:val="1"/>
  </w:num>
  <w:num w:numId="3" w16cid:durableId="2075933407">
    <w:abstractNumId w:val="7"/>
  </w:num>
  <w:num w:numId="4" w16cid:durableId="26411880">
    <w:abstractNumId w:val="10"/>
  </w:num>
  <w:num w:numId="5" w16cid:durableId="1619605669">
    <w:abstractNumId w:val="13"/>
  </w:num>
  <w:num w:numId="6" w16cid:durableId="669527420">
    <w:abstractNumId w:val="14"/>
  </w:num>
  <w:num w:numId="7" w16cid:durableId="1821072021">
    <w:abstractNumId w:val="5"/>
  </w:num>
  <w:num w:numId="8" w16cid:durableId="1552034520">
    <w:abstractNumId w:val="8"/>
  </w:num>
  <w:num w:numId="9" w16cid:durableId="81221241">
    <w:abstractNumId w:val="4"/>
  </w:num>
  <w:num w:numId="10" w16cid:durableId="781916606">
    <w:abstractNumId w:val="15"/>
  </w:num>
  <w:num w:numId="11" w16cid:durableId="1197233532">
    <w:abstractNumId w:val="11"/>
  </w:num>
  <w:num w:numId="12" w16cid:durableId="1727800800">
    <w:abstractNumId w:val="12"/>
  </w:num>
  <w:num w:numId="13" w16cid:durableId="1693065921">
    <w:abstractNumId w:val="9"/>
  </w:num>
  <w:num w:numId="14" w16cid:durableId="312415058">
    <w:abstractNumId w:val="6"/>
  </w:num>
  <w:num w:numId="15" w16cid:durableId="679703504">
    <w:abstractNumId w:val="16"/>
  </w:num>
  <w:num w:numId="16" w16cid:durableId="1399551983">
    <w:abstractNumId w:val="2"/>
  </w:num>
  <w:num w:numId="17" w16cid:durableId="6390728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911"/>
    <w:rsid w:val="00004822"/>
    <w:rsid w:val="0000644F"/>
    <w:rsid w:val="00007F10"/>
    <w:rsid w:val="00013793"/>
    <w:rsid w:val="00013BAF"/>
    <w:rsid w:val="00014C9F"/>
    <w:rsid w:val="00017B3F"/>
    <w:rsid w:val="00023CB1"/>
    <w:rsid w:val="000342CC"/>
    <w:rsid w:val="00041D38"/>
    <w:rsid w:val="00052DB3"/>
    <w:rsid w:val="000748F2"/>
    <w:rsid w:val="00083098"/>
    <w:rsid w:val="000838DB"/>
    <w:rsid w:val="00086D44"/>
    <w:rsid w:val="000934D9"/>
    <w:rsid w:val="0009531B"/>
    <w:rsid w:val="000A0F25"/>
    <w:rsid w:val="000A456E"/>
    <w:rsid w:val="000B2A27"/>
    <w:rsid w:val="000B6443"/>
    <w:rsid w:val="000C3B1B"/>
    <w:rsid w:val="000C7826"/>
    <w:rsid w:val="000E0650"/>
    <w:rsid w:val="000E5173"/>
    <w:rsid w:val="001029FF"/>
    <w:rsid w:val="0010455C"/>
    <w:rsid w:val="001059BA"/>
    <w:rsid w:val="001063AD"/>
    <w:rsid w:val="001108BC"/>
    <w:rsid w:val="00112FE6"/>
    <w:rsid w:val="00121375"/>
    <w:rsid w:val="001219A4"/>
    <w:rsid w:val="00123AB3"/>
    <w:rsid w:val="001245DD"/>
    <w:rsid w:val="00132783"/>
    <w:rsid w:val="00135462"/>
    <w:rsid w:val="001421B1"/>
    <w:rsid w:val="00146A60"/>
    <w:rsid w:val="00153C35"/>
    <w:rsid w:val="0017043A"/>
    <w:rsid w:val="00171448"/>
    <w:rsid w:val="00173549"/>
    <w:rsid w:val="00181115"/>
    <w:rsid w:val="001814C9"/>
    <w:rsid w:val="00183D1C"/>
    <w:rsid w:val="00194A0F"/>
    <w:rsid w:val="001A60EC"/>
    <w:rsid w:val="001A6100"/>
    <w:rsid w:val="001A76F3"/>
    <w:rsid w:val="001B11C7"/>
    <w:rsid w:val="001C0941"/>
    <w:rsid w:val="001C7ACF"/>
    <w:rsid w:val="001C7E9A"/>
    <w:rsid w:val="001D3991"/>
    <w:rsid w:val="001E34D7"/>
    <w:rsid w:val="001F5B93"/>
    <w:rsid w:val="001F5C81"/>
    <w:rsid w:val="0020011E"/>
    <w:rsid w:val="00201249"/>
    <w:rsid w:val="00204CAB"/>
    <w:rsid w:val="00205105"/>
    <w:rsid w:val="0020534E"/>
    <w:rsid w:val="002123C6"/>
    <w:rsid w:val="00214CF8"/>
    <w:rsid w:val="002163A3"/>
    <w:rsid w:val="002168D3"/>
    <w:rsid w:val="0022040C"/>
    <w:rsid w:val="00220E87"/>
    <w:rsid w:val="0022158C"/>
    <w:rsid w:val="00221948"/>
    <w:rsid w:val="00222AB8"/>
    <w:rsid w:val="00224E36"/>
    <w:rsid w:val="00233F23"/>
    <w:rsid w:val="00236F51"/>
    <w:rsid w:val="00244AFE"/>
    <w:rsid w:val="0025167B"/>
    <w:rsid w:val="00251CCE"/>
    <w:rsid w:val="00253BD8"/>
    <w:rsid w:val="00255714"/>
    <w:rsid w:val="00266F0F"/>
    <w:rsid w:val="0027120F"/>
    <w:rsid w:val="00275033"/>
    <w:rsid w:val="00275BEE"/>
    <w:rsid w:val="00281B1A"/>
    <w:rsid w:val="002821CA"/>
    <w:rsid w:val="00297BB6"/>
    <w:rsid w:val="002A0994"/>
    <w:rsid w:val="002B0A59"/>
    <w:rsid w:val="002B1430"/>
    <w:rsid w:val="002B158B"/>
    <w:rsid w:val="002B5F2D"/>
    <w:rsid w:val="002B685F"/>
    <w:rsid w:val="002C553A"/>
    <w:rsid w:val="002C65D8"/>
    <w:rsid w:val="002D2DBD"/>
    <w:rsid w:val="002D30D5"/>
    <w:rsid w:val="002D3E0D"/>
    <w:rsid w:val="002D711D"/>
    <w:rsid w:val="002D7362"/>
    <w:rsid w:val="002F23B8"/>
    <w:rsid w:val="002F31A0"/>
    <w:rsid w:val="00300AF9"/>
    <w:rsid w:val="003168A9"/>
    <w:rsid w:val="0032174C"/>
    <w:rsid w:val="00321CFF"/>
    <w:rsid w:val="00325C55"/>
    <w:rsid w:val="003267B4"/>
    <w:rsid w:val="00335BC9"/>
    <w:rsid w:val="00343304"/>
    <w:rsid w:val="0034396C"/>
    <w:rsid w:val="003454B7"/>
    <w:rsid w:val="00347C80"/>
    <w:rsid w:val="00356410"/>
    <w:rsid w:val="00360E44"/>
    <w:rsid w:val="003674CA"/>
    <w:rsid w:val="00371267"/>
    <w:rsid w:val="0037425B"/>
    <w:rsid w:val="0038333C"/>
    <w:rsid w:val="00396774"/>
    <w:rsid w:val="003B5C09"/>
    <w:rsid w:val="003D61D9"/>
    <w:rsid w:val="003D6DA3"/>
    <w:rsid w:val="003E0928"/>
    <w:rsid w:val="003E5593"/>
    <w:rsid w:val="003F0A18"/>
    <w:rsid w:val="00403D1F"/>
    <w:rsid w:val="00405350"/>
    <w:rsid w:val="004064E0"/>
    <w:rsid w:val="00406C57"/>
    <w:rsid w:val="00412756"/>
    <w:rsid w:val="0041593F"/>
    <w:rsid w:val="00426B01"/>
    <w:rsid w:val="00433354"/>
    <w:rsid w:val="0043429D"/>
    <w:rsid w:val="0043618D"/>
    <w:rsid w:val="004368BC"/>
    <w:rsid w:val="00441053"/>
    <w:rsid w:val="004430CC"/>
    <w:rsid w:val="00457983"/>
    <w:rsid w:val="004635A8"/>
    <w:rsid w:val="00465B7C"/>
    <w:rsid w:val="00465B90"/>
    <w:rsid w:val="00471210"/>
    <w:rsid w:val="00472467"/>
    <w:rsid w:val="00475A93"/>
    <w:rsid w:val="00475E1F"/>
    <w:rsid w:val="00490243"/>
    <w:rsid w:val="0049149A"/>
    <w:rsid w:val="00491E96"/>
    <w:rsid w:val="0049270D"/>
    <w:rsid w:val="004942B1"/>
    <w:rsid w:val="004955D7"/>
    <w:rsid w:val="00495AF5"/>
    <w:rsid w:val="004A1A2C"/>
    <w:rsid w:val="004A3727"/>
    <w:rsid w:val="004B6E18"/>
    <w:rsid w:val="004C585C"/>
    <w:rsid w:val="004C60E8"/>
    <w:rsid w:val="004C620F"/>
    <w:rsid w:val="004D2380"/>
    <w:rsid w:val="004E0227"/>
    <w:rsid w:val="004E30A1"/>
    <w:rsid w:val="004F2515"/>
    <w:rsid w:val="004F7E0D"/>
    <w:rsid w:val="0050405D"/>
    <w:rsid w:val="00512E70"/>
    <w:rsid w:val="00516746"/>
    <w:rsid w:val="00525AB8"/>
    <w:rsid w:val="0052627A"/>
    <w:rsid w:val="005279B6"/>
    <w:rsid w:val="0053132D"/>
    <w:rsid w:val="00550527"/>
    <w:rsid w:val="00550E8A"/>
    <w:rsid w:val="0055453F"/>
    <w:rsid w:val="00556F5A"/>
    <w:rsid w:val="005578D7"/>
    <w:rsid w:val="00557D72"/>
    <w:rsid w:val="0056332B"/>
    <w:rsid w:val="0056350A"/>
    <w:rsid w:val="00565CCD"/>
    <w:rsid w:val="0058332B"/>
    <w:rsid w:val="005839EE"/>
    <w:rsid w:val="005928F3"/>
    <w:rsid w:val="0059464B"/>
    <w:rsid w:val="005B0BA4"/>
    <w:rsid w:val="005B2299"/>
    <w:rsid w:val="005B5591"/>
    <w:rsid w:val="005B753B"/>
    <w:rsid w:val="005B7819"/>
    <w:rsid w:val="005D2E2A"/>
    <w:rsid w:val="005D596F"/>
    <w:rsid w:val="005E274D"/>
    <w:rsid w:val="005F537B"/>
    <w:rsid w:val="005F5B93"/>
    <w:rsid w:val="006023D6"/>
    <w:rsid w:val="0060314C"/>
    <w:rsid w:val="00620167"/>
    <w:rsid w:val="00624A4C"/>
    <w:rsid w:val="00624F81"/>
    <w:rsid w:val="00633840"/>
    <w:rsid w:val="006360E8"/>
    <w:rsid w:val="00640266"/>
    <w:rsid w:val="006406CB"/>
    <w:rsid w:val="006416ED"/>
    <w:rsid w:val="00644FFE"/>
    <w:rsid w:val="006456E4"/>
    <w:rsid w:val="006469B4"/>
    <w:rsid w:val="00646EEB"/>
    <w:rsid w:val="00676C3F"/>
    <w:rsid w:val="006836CF"/>
    <w:rsid w:val="006922D0"/>
    <w:rsid w:val="00692AAA"/>
    <w:rsid w:val="006930F1"/>
    <w:rsid w:val="006A3447"/>
    <w:rsid w:val="006A3991"/>
    <w:rsid w:val="006A50FC"/>
    <w:rsid w:val="006B0E97"/>
    <w:rsid w:val="006B206A"/>
    <w:rsid w:val="006B3B85"/>
    <w:rsid w:val="006B54B7"/>
    <w:rsid w:val="006D1996"/>
    <w:rsid w:val="006E51B3"/>
    <w:rsid w:val="006F030E"/>
    <w:rsid w:val="006F339B"/>
    <w:rsid w:val="006F51DB"/>
    <w:rsid w:val="00700253"/>
    <w:rsid w:val="00701005"/>
    <w:rsid w:val="00702BFE"/>
    <w:rsid w:val="00705BB7"/>
    <w:rsid w:val="00712862"/>
    <w:rsid w:val="0071582C"/>
    <w:rsid w:val="00716155"/>
    <w:rsid w:val="007161E0"/>
    <w:rsid w:val="007219EB"/>
    <w:rsid w:val="007245F6"/>
    <w:rsid w:val="00732E01"/>
    <w:rsid w:val="00734225"/>
    <w:rsid w:val="00735BF8"/>
    <w:rsid w:val="00737933"/>
    <w:rsid w:val="00745F14"/>
    <w:rsid w:val="007555E5"/>
    <w:rsid w:val="00773CF2"/>
    <w:rsid w:val="00774DF1"/>
    <w:rsid w:val="0078240B"/>
    <w:rsid w:val="007856D0"/>
    <w:rsid w:val="00792840"/>
    <w:rsid w:val="007A1ACE"/>
    <w:rsid w:val="007A578E"/>
    <w:rsid w:val="007A698A"/>
    <w:rsid w:val="007B1B7F"/>
    <w:rsid w:val="007B3401"/>
    <w:rsid w:val="007B374D"/>
    <w:rsid w:val="007B6513"/>
    <w:rsid w:val="007B6607"/>
    <w:rsid w:val="007C069B"/>
    <w:rsid w:val="007C0DF4"/>
    <w:rsid w:val="007C2989"/>
    <w:rsid w:val="007D72BE"/>
    <w:rsid w:val="007D7FC4"/>
    <w:rsid w:val="007E027E"/>
    <w:rsid w:val="007E2645"/>
    <w:rsid w:val="007E6F08"/>
    <w:rsid w:val="007F0261"/>
    <w:rsid w:val="007F3645"/>
    <w:rsid w:val="008009BE"/>
    <w:rsid w:val="00811F9E"/>
    <w:rsid w:val="00814DB1"/>
    <w:rsid w:val="008168F0"/>
    <w:rsid w:val="00821F9B"/>
    <w:rsid w:val="00825B27"/>
    <w:rsid w:val="00826631"/>
    <w:rsid w:val="008567C9"/>
    <w:rsid w:val="008607EC"/>
    <w:rsid w:val="00861C56"/>
    <w:rsid w:val="008626D3"/>
    <w:rsid w:val="008633BF"/>
    <w:rsid w:val="008654C4"/>
    <w:rsid w:val="00887A57"/>
    <w:rsid w:val="00892B6E"/>
    <w:rsid w:val="00897E10"/>
    <w:rsid w:val="008A0D4A"/>
    <w:rsid w:val="008A33F8"/>
    <w:rsid w:val="008B38AF"/>
    <w:rsid w:val="008C67C5"/>
    <w:rsid w:val="008D46E6"/>
    <w:rsid w:val="008D5214"/>
    <w:rsid w:val="008E1B6B"/>
    <w:rsid w:val="008E4848"/>
    <w:rsid w:val="008E553E"/>
    <w:rsid w:val="008F5292"/>
    <w:rsid w:val="008F6911"/>
    <w:rsid w:val="009036D3"/>
    <w:rsid w:val="0091301E"/>
    <w:rsid w:val="00914F1E"/>
    <w:rsid w:val="009160B9"/>
    <w:rsid w:val="00933180"/>
    <w:rsid w:val="0093651F"/>
    <w:rsid w:val="00944363"/>
    <w:rsid w:val="00944608"/>
    <w:rsid w:val="00950B6A"/>
    <w:rsid w:val="00961A1F"/>
    <w:rsid w:val="009629B2"/>
    <w:rsid w:val="00964F25"/>
    <w:rsid w:val="00973CA2"/>
    <w:rsid w:val="00976438"/>
    <w:rsid w:val="00982BD6"/>
    <w:rsid w:val="00995B08"/>
    <w:rsid w:val="0099723A"/>
    <w:rsid w:val="009A2CBB"/>
    <w:rsid w:val="009B1806"/>
    <w:rsid w:val="009B5451"/>
    <w:rsid w:val="009B65E4"/>
    <w:rsid w:val="009B6C5E"/>
    <w:rsid w:val="009C05B5"/>
    <w:rsid w:val="009C072A"/>
    <w:rsid w:val="009C11C9"/>
    <w:rsid w:val="009C4DD6"/>
    <w:rsid w:val="009D2C3E"/>
    <w:rsid w:val="009D426C"/>
    <w:rsid w:val="009E160A"/>
    <w:rsid w:val="009E1BB9"/>
    <w:rsid w:val="009E1E7A"/>
    <w:rsid w:val="009E5BB7"/>
    <w:rsid w:val="009E6F37"/>
    <w:rsid w:val="009E77BA"/>
    <w:rsid w:val="00A04CA4"/>
    <w:rsid w:val="00A107FA"/>
    <w:rsid w:val="00A12366"/>
    <w:rsid w:val="00A301D2"/>
    <w:rsid w:val="00A411BA"/>
    <w:rsid w:val="00A43743"/>
    <w:rsid w:val="00A55A05"/>
    <w:rsid w:val="00A61B18"/>
    <w:rsid w:val="00A64CA1"/>
    <w:rsid w:val="00A7456E"/>
    <w:rsid w:val="00A7461C"/>
    <w:rsid w:val="00A75ABB"/>
    <w:rsid w:val="00A86D67"/>
    <w:rsid w:val="00A92496"/>
    <w:rsid w:val="00A9338C"/>
    <w:rsid w:val="00A969F6"/>
    <w:rsid w:val="00A96AF5"/>
    <w:rsid w:val="00AA2FE7"/>
    <w:rsid w:val="00AB343C"/>
    <w:rsid w:val="00AB3862"/>
    <w:rsid w:val="00AB58C0"/>
    <w:rsid w:val="00AC3316"/>
    <w:rsid w:val="00AC3F69"/>
    <w:rsid w:val="00AC4A8B"/>
    <w:rsid w:val="00AC712E"/>
    <w:rsid w:val="00AD148F"/>
    <w:rsid w:val="00AD17AA"/>
    <w:rsid w:val="00AD4618"/>
    <w:rsid w:val="00AD4C25"/>
    <w:rsid w:val="00AE11DC"/>
    <w:rsid w:val="00AE2CD5"/>
    <w:rsid w:val="00AE4D3D"/>
    <w:rsid w:val="00AE6850"/>
    <w:rsid w:val="00AF0B36"/>
    <w:rsid w:val="00AF174C"/>
    <w:rsid w:val="00AF3024"/>
    <w:rsid w:val="00AF6C7F"/>
    <w:rsid w:val="00B0068E"/>
    <w:rsid w:val="00B12733"/>
    <w:rsid w:val="00B12AF2"/>
    <w:rsid w:val="00B1769E"/>
    <w:rsid w:val="00B24273"/>
    <w:rsid w:val="00B27E86"/>
    <w:rsid w:val="00B3495A"/>
    <w:rsid w:val="00B46CED"/>
    <w:rsid w:val="00B47636"/>
    <w:rsid w:val="00B66512"/>
    <w:rsid w:val="00B773CC"/>
    <w:rsid w:val="00B82B8B"/>
    <w:rsid w:val="00B958DA"/>
    <w:rsid w:val="00B973E9"/>
    <w:rsid w:val="00BA195C"/>
    <w:rsid w:val="00BB2BF5"/>
    <w:rsid w:val="00BC0EE6"/>
    <w:rsid w:val="00BC6ACF"/>
    <w:rsid w:val="00BD07E8"/>
    <w:rsid w:val="00BD0F61"/>
    <w:rsid w:val="00BD77E4"/>
    <w:rsid w:val="00BE2798"/>
    <w:rsid w:val="00BE3A79"/>
    <w:rsid w:val="00BF3CF7"/>
    <w:rsid w:val="00BF42C3"/>
    <w:rsid w:val="00BF43F9"/>
    <w:rsid w:val="00C0095D"/>
    <w:rsid w:val="00C07A27"/>
    <w:rsid w:val="00C07E90"/>
    <w:rsid w:val="00C112FF"/>
    <w:rsid w:val="00C30132"/>
    <w:rsid w:val="00C33033"/>
    <w:rsid w:val="00C370C0"/>
    <w:rsid w:val="00C53163"/>
    <w:rsid w:val="00C55B5E"/>
    <w:rsid w:val="00C644C7"/>
    <w:rsid w:val="00C801DE"/>
    <w:rsid w:val="00C82E68"/>
    <w:rsid w:val="00C85F13"/>
    <w:rsid w:val="00C913A6"/>
    <w:rsid w:val="00C9703C"/>
    <w:rsid w:val="00CB0F0D"/>
    <w:rsid w:val="00CB5F95"/>
    <w:rsid w:val="00CC15D6"/>
    <w:rsid w:val="00CD0186"/>
    <w:rsid w:val="00CD2C3A"/>
    <w:rsid w:val="00CD58ED"/>
    <w:rsid w:val="00CD5F4C"/>
    <w:rsid w:val="00CD5FDF"/>
    <w:rsid w:val="00CD6606"/>
    <w:rsid w:val="00CE5C35"/>
    <w:rsid w:val="00CF014A"/>
    <w:rsid w:val="00CF39EA"/>
    <w:rsid w:val="00CF4028"/>
    <w:rsid w:val="00D06602"/>
    <w:rsid w:val="00D167B5"/>
    <w:rsid w:val="00D17C41"/>
    <w:rsid w:val="00D21181"/>
    <w:rsid w:val="00D23935"/>
    <w:rsid w:val="00D31F22"/>
    <w:rsid w:val="00D347EA"/>
    <w:rsid w:val="00D35CD3"/>
    <w:rsid w:val="00D418C6"/>
    <w:rsid w:val="00D4432C"/>
    <w:rsid w:val="00D46C00"/>
    <w:rsid w:val="00D46D3B"/>
    <w:rsid w:val="00D4704A"/>
    <w:rsid w:val="00D6786E"/>
    <w:rsid w:val="00D72AA2"/>
    <w:rsid w:val="00D775C4"/>
    <w:rsid w:val="00D81FF1"/>
    <w:rsid w:val="00D90B4F"/>
    <w:rsid w:val="00D90C19"/>
    <w:rsid w:val="00D92528"/>
    <w:rsid w:val="00D96DF6"/>
    <w:rsid w:val="00DA6093"/>
    <w:rsid w:val="00DA6142"/>
    <w:rsid w:val="00DC2E21"/>
    <w:rsid w:val="00DC3761"/>
    <w:rsid w:val="00DC7503"/>
    <w:rsid w:val="00DD09D3"/>
    <w:rsid w:val="00DD2B40"/>
    <w:rsid w:val="00DE7012"/>
    <w:rsid w:val="00DF01B0"/>
    <w:rsid w:val="00DF5C8D"/>
    <w:rsid w:val="00E03817"/>
    <w:rsid w:val="00E12418"/>
    <w:rsid w:val="00E124E2"/>
    <w:rsid w:val="00E16772"/>
    <w:rsid w:val="00E21D3B"/>
    <w:rsid w:val="00E255E1"/>
    <w:rsid w:val="00E25E7F"/>
    <w:rsid w:val="00E41312"/>
    <w:rsid w:val="00E41FA3"/>
    <w:rsid w:val="00E43453"/>
    <w:rsid w:val="00E43C3A"/>
    <w:rsid w:val="00E556D3"/>
    <w:rsid w:val="00E55A9A"/>
    <w:rsid w:val="00E56B8C"/>
    <w:rsid w:val="00E66E1A"/>
    <w:rsid w:val="00E75CA8"/>
    <w:rsid w:val="00E82A79"/>
    <w:rsid w:val="00E83388"/>
    <w:rsid w:val="00E83C1B"/>
    <w:rsid w:val="00E83C76"/>
    <w:rsid w:val="00E95240"/>
    <w:rsid w:val="00EC14EF"/>
    <w:rsid w:val="00EC1EC9"/>
    <w:rsid w:val="00EE2FE5"/>
    <w:rsid w:val="00EE7335"/>
    <w:rsid w:val="00EF6389"/>
    <w:rsid w:val="00F15CA6"/>
    <w:rsid w:val="00F2266C"/>
    <w:rsid w:val="00F26F2D"/>
    <w:rsid w:val="00F3192E"/>
    <w:rsid w:val="00F423A9"/>
    <w:rsid w:val="00F43CC1"/>
    <w:rsid w:val="00F46BFA"/>
    <w:rsid w:val="00F46F0C"/>
    <w:rsid w:val="00F523E4"/>
    <w:rsid w:val="00F5282D"/>
    <w:rsid w:val="00F53FC2"/>
    <w:rsid w:val="00F65770"/>
    <w:rsid w:val="00F818F9"/>
    <w:rsid w:val="00F8549E"/>
    <w:rsid w:val="00F96C54"/>
    <w:rsid w:val="00F97B7C"/>
    <w:rsid w:val="00FA035A"/>
    <w:rsid w:val="00FA37FD"/>
    <w:rsid w:val="00FA4A14"/>
    <w:rsid w:val="00FA6416"/>
    <w:rsid w:val="00FB047C"/>
    <w:rsid w:val="00FB3362"/>
    <w:rsid w:val="00FB41C3"/>
    <w:rsid w:val="00FC6223"/>
    <w:rsid w:val="00FD5A46"/>
    <w:rsid w:val="00FD6936"/>
    <w:rsid w:val="00FE0EC8"/>
    <w:rsid w:val="00FE15CD"/>
    <w:rsid w:val="00FE3D1F"/>
    <w:rsid w:val="00FE6EAA"/>
    <w:rsid w:val="00FF39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03DA96D"/>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91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6911"/>
    <w:rPr>
      <w:rFonts w:ascii="Lucida Grande" w:hAnsi="Lucida Grande" w:cs="Lucida Grande"/>
      <w:sz w:val="18"/>
      <w:szCs w:val="18"/>
    </w:rPr>
  </w:style>
  <w:style w:type="character" w:styleId="CommentReference">
    <w:name w:val="annotation reference"/>
    <w:basedOn w:val="DefaultParagraphFont"/>
    <w:uiPriority w:val="99"/>
    <w:semiHidden/>
    <w:unhideWhenUsed/>
    <w:rsid w:val="000838DB"/>
    <w:rPr>
      <w:sz w:val="18"/>
      <w:szCs w:val="18"/>
    </w:rPr>
  </w:style>
  <w:style w:type="paragraph" w:styleId="CommentText">
    <w:name w:val="annotation text"/>
    <w:basedOn w:val="Normal"/>
    <w:link w:val="CommentTextChar"/>
    <w:uiPriority w:val="99"/>
    <w:unhideWhenUsed/>
    <w:rsid w:val="000838DB"/>
  </w:style>
  <w:style w:type="character" w:customStyle="1" w:styleId="CommentTextChar">
    <w:name w:val="Comment Text Char"/>
    <w:basedOn w:val="DefaultParagraphFont"/>
    <w:link w:val="CommentText"/>
    <w:uiPriority w:val="99"/>
    <w:rsid w:val="000838DB"/>
  </w:style>
  <w:style w:type="paragraph" w:styleId="CommentSubject">
    <w:name w:val="annotation subject"/>
    <w:basedOn w:val="CommentText"/>
    <w:next w:val="CommentText"/>
    <w:link w:val="CommentSubjectChar"/>
    <w:uiPriority w:val="99"/>
    <w:semiHidden/>
    <w:unhideWhenUsed/>
    <w:rsid w:val="000838DB"/>
    <w:rPr>
      <w:b/>
      <w:bCs/>
      <w:sz w:val="20"/>
      <w:szCs w:val="20"/>
    </w:rPr>
  </w:style>
  <w:style w:type="character" w:customStyle="1" w:styleId="CommentSubjectChar">
    <w:name w:val="Comment Subject Char"/>
    <w:basedOn w:val="CommentTextChar"/>
    <w:link w:val="CommentSubject"/>
    <w:uiPriority w:val="99"/>
    <w:semiHidden/>
    <w:rsid w:val="000838DB"/>
    <w:rPr>
      <w:b/>
      <w:bCs/>
      <w:sz w:val="20"/>
      <w:szCs w:val="20"/>
    </w:rPr>
  </w:style>
  <w:style w:type="paragraph" w:styleId="BodyText">
    <w:name w:val="Body Text"/>
    <w:basedOn w:val="Normal"/>
    <w:link w:val="BodyTextChar"/>
    <w:uiPriority w:val="1"/>
    <w:qFormat/>
    <w:rsid w:val="0056350A"/>
    <w:pPr>
      <w:widowControl w:val="0"/>
      <w:ind w:left="542" w:hanging="284"/>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56350A"/>
    <w:rPr>
      <w:rFonts w:ascii="Times New Roman" w:eastAsia="Times New Roman" w:hAnsi="Times New Roman"/>
      <w:sz w:val="20"/>
      <w:szCs w:val="20"/>
    </w:rPr>
  </w:style>
  <w:style w:type="paragraph" w:customStyle="1" w:styleId="TableParagraph">
    <w:name w:val="Table Paragraph"/>
    <w:basedOn w:val="Normal"/>
    <w:uiPriority w:val="1"/>
    <w:qFormat/>
    <w:rsid w:val="0056350A"/>
    <w:pPr>
      <w:widowControl w:val="0"/>
    </w:pPr>
    <w:rPr>
      <w:rFonts w:eastAsiaTheme="minorHAnsi"/>
      <w:sz w:val="22"/>
      <w:szCs w:val="22"/>
    </w:rPr>
  </w:style>
  <w:style w:type="paragraph" w:styleId="ListParagraph">
    <w:name w:val="List Paragraph"/>
    <w:basedOn w:val="Normal"/>
    <w:uiPriority w:val="34"/>
    <w:qFormat/>
    <w:rsid w:val="0056350A"/>
    <w:pPr>
      <w:ind w:left="720"/>
      <w:contextualSpacing/>
    </w:pPr>
  </w:style>
  <w:style w:type="paragraph" w:styleId="Revision">
    <w:name w:val="Revision"/>
    <w:hidden/>
    <w:uiPriority w:val="99"/>
    <w:semiHidden/>
    <w:rsid w:val="00D46D3B"/>
  </w:style>
  <w:style w:type="paragraph" w:styleId="Header">
    <w:name w:val="header"/>
    <w:basedOn w:val="Normal"/>
    <w:link w:val="HeaderChar"/>
    <w:uiPriority w:val="99"/>
    <w:unhideWhenUsed/>
    <w:rsid w:val="005928F3"/>
    <w:pPr>
      <w:tabs>
        <w:tab w:val="center" w:pos="4680"/>
        <w:tab w:val="right" w:pos="9360"/>
      </w:tabs>
    </w:pPr>
  </w:style>
  <w:style w:type="character" w:customStyle="1" w:styleId="HeaderChar">
    <w:name w:val="Header Char"/>
    <w:basedOn w:val="DefaultParagraphFont"/>
    <w:link w:val="Header"/>
    <w:uiPriority w:val="99"/>
    <w:rsid w:val="005928F3"/>
  </w:style>
  <w:style w:type="paragraph" w:styleId="Footer">
    <w:name w:val="footer"/>
    <w:basedOn w:val="Normal"/>
    <w:link w:val="FooterChar"/>
    <w:uiPriority w:val="99"/>
    <w:unhideWhenUsed/>
    <w:rsid w:val="005928F3"/>
    <w:pPr>
      <w:tabs>
        <w:tab w:val="center" w:pos="4680"/>
        <w:tab w:val="right" w:pos="9360"/>
      </w:tabs>
    </w:pPr>
  </w:style>
  <w:style w:type="character" w:customStyle="1" w:styleId="FooterChar">
    <w:name w:val="Footer Char"/>
    <w:basedOn w:val="DefaultParagraphFont"/>
    <w:link w:val="Footer"/>
    <w:uiPriority w:val="99"/>
    <w:rsid w:val="005928F3"/>
  </w:style>
  <w:style w:type="paragraph" w:customStyle="1" w:styleId="Notedebasd">
    <w:name w:val="Note de bas d"/>
    <w:basedOn w:val="Normal"/>
    <w:uiPriority w:val="99"/>
    <w:rsid w:val="007D7FC4"/>
    <w:rPr>
      <w:rFonts w:ascii="Times New Roman" w:eastAsia="Times New Roman" w:hAnsi="Times New Roman" w:cs="Times New Roman"/>
      <w:sz w:val="20"/>
      <w:szCs w:val="20"/>
    </w:rPr>
  </w:style>
  <w:style w:type="paragraph" w:styleId="FootnoteText">
    <w:name w:val="footnote text"/>
    <w:aliases w:val="ft"/>
    <w:basedOn w:val="Normal"/>
    <w:link w:val="FootnoteTextChar1"/>
    <w:unhideWhenUsed/>
    <w:rsid w:val="007D7FC4"/>
    <w:rPr>
      <w:rFonts w:ascii="Times New Roman" w:eastAsia="Times New Roman" w:hAnsi="Times New Roman" w:cs="Times New Roman"/>
      <w:sz w:val="20"/>
      <w:szCs w:val="20"/>
    </w:rPr>
  </w:style>
  <w:style w:type="character" w:customStyle="1" w:styleId="FootnoteTextChar">
    <w:name w:val="Footnote Text Char"/>
    <w:aliases w:val="ft Char"/>
    <w:basedOn w:val="DefaultParagraphFont"/>
    <w:rsid w:val="007D7FC4"/>
    <w:rPr>
      <w:sz w:val="20"/>
      <w:szCs w:val="20"/>
    </w:rPr>
  </w:style>
  <w:style w:type="character" w:customStyle="1" w:styleId="FootnoteTextChar1">
    <w:name w:val="Footnote Text Char1"/>
    <w:aliases w:val="ft Char1"/>
    <w:basedOn w:val="DefaultParagraphFont"/>
    <w:link w:val="FootnoteText"/>
    <w:uiPriority w:val="99"/>
    <w:rsid w:val="007D7FC4"/>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unhideWhenUsed/>
    <w:rsid w:val="007D7FC4"/>
    <w:rPr>
      <w:vertAlign w:val="superscript"/>
    </w:rPr>
  </w:style>
  <w:style w:type="paragraph" w:customStyle="1" w:styleId="Default">
    <w:name w:val="Default"/>
    <w:rsid w:val="007E6F08"/>
    <w:pPr>
      <w:autoSpaceDE w:val="0"/>
      <w:autoSpaceDN w:val="0"/>
      <w:adjustRightInd w:val="0"/>
    </w:pPr>
    <w:rPr>
      <w:rFonts w:ascii="Cambria" w:hAnsi="Cambria" w:cs="Cambria"/>
      <w:color w:val="000000"/>
    </w:rPr>
  </w:style>
  <w:style w:type="paragraph" w:customStyle="1" w:styleId="m6603725773781091157gmail-m4076771385912426187gmail-msolistparagraph">
    <w:name w:val="m_6603725773781091157gmail-m4076771385912426187gmail-msolistparagraph"/>
    <w:basedOn w:val="Normal"/>
    <w:rsid w:val="00C07E90"/>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C07E90"/>
  </w:style>
  <w:style w:type="paragraph" w:styleId="Title">
    <w:name w:val="Title"/>
    <w:basedOn w:val="Normal"/>
    <w:next w:val="Normal"/>
    <w:link w:val="TitleChar"/>
    <w:uiPriority w:val="10"/>
    <w:qFormat/>
    <w:rsid w:val="009C4DD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C4DD6"/>
    <w:rPr>
      <w:rFonts w:asciiTheme="majorHAnsi" w:eastAsiaTheme="majorEastAsia" w:hAnsiTheme="majorHAnsi" w:cstheme="majorBidi"/>
      <w:color w:val="17365D" w:themeColor="text2" w:themeShade="BF"/>
      <w:spacing w:val="5"/>
      <w:kern w:val="28"/>
      <w:sz w:val="52"/>
      <w:szCs w:val="52"/>
    </w:rPr>
  </w:style>
  <w:style w:type="character" w:styleId="BookTitle">
    <w:name w:val="Book Title"/>
    <w:basedOn w:val="DefaultParagraphFont"/>
    <w:uiPriority w:val="33"/>
    <w:qFormat/>
    <w:rsid w:val="009C4DD6"/>
    <w:rPr>
      <w:b/>
      <w:bCs/>
      <w:smallCaps/>
      <w:spacing w:val="5"/>
    </w:rPr>
  </w:style>
  <w:style w:type="table" w:styleId="TableGrid">
    <w:name w:val="Table Grid"/>
    <w:basedOn w:val="TableNormal"/>
    <w:uiPriority w:val="39"/>
    <w:rsid w:val="009C4DD6"/>
    <w:rPr>
      <w:rFonts w:ascii="Times New Roman" w:eastAsiaTheme="minorHAnsi" w:hAnsi="Times New Roman" w:cs="Times New Roman"/>
      <w:sz w:val="20"/>
      <w:szCs w:val="20"/>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CD5F4C"/>
    <w:rPr>
      <w:rFonts w:eastAsia="Calibri" w:cs="Times New Roman"/>
      <w:color w:val="000000"/>
      <w:sz w:val="22"/>
      <w:szCs w:val="22"/>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CD5F4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fontstyle11">
    <w:name w:val="fontstyle11"/>
    <w:basedOn w:val="DefaultParagraphFont"/>
    <w:qFormat/>
    <w:rsid w:val="00DA6142"/>
    <w:rPr>
      <w:rFonts w:ascii="Cambria" w:hAnsi="Cambria"/>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42599">
      <w:bodyDiv w:val="1"/>
      <w:marLeft w:val="0"/>
      <w:marRight w:val="0"/>
      <w:marTop w:val="0"/>
      <w:marBottom w:val="0"/>
      <w:divBdr>
        <w:top w:val="none" w:sz="0" w:space="0" w:color="auto"/>
        <w:left w:val="none" w:sz="0" w:space="0" w:color="auto"/>
        <w:bottom w:val="none" w:sz="0" w:space="0" w:color="auto"/>
        <w:right w:val="none" w:sz="0" w:space="0" w:color="auto"/>
      </w:divBdr>
      <w:divsChild>
        <w:div w:id="841436416">
          <w:marLeft w:val="0"/>
          <w:marRight w:val="0"/>
          <w:marTop w:val="0"/>
          <w:marBottom w:val="0"/>
          <w:divBdr>
            <w:top w:val="none" w:sz="0" w:space="0" w:color="auto"/>
            <w:left w:val="none" w:sz="0" w:space="0" w:color="auto"/>
            <w:bottom w:val="none" w:sz="0" w:space="0" w:color="auto"/>
            <w:right w:val="none" w:sz="0" w:space="0" w:color="auto"/>
          </w:divBdr>
        </w:div>
      </w:divsChild>
    </w:div>
    <w:div w:id="357246181">
      <w:bodyDiv w:val="1"/>
      <w:marLeft w:val="0"/>
      <w:marRight w:val="0"/>
      <w:marTop w:val="0"/>
      <w:marBottom w:val="0"/>
      <w:divBdr>
        <w:top w:val="none" w:sz="0" w:space="0" w:color="auto"/>
        <w:left w:val="none" w:sz="0" w:space="0" w:color="auto"/>
        <w:bottom w:val="none" w:sz="0" w:space="0" w:color="auto"/>
        <w:right w:val="none" w:sz="0" w:space="0" w:color="auto"/>
      </w:divBdr>
    </w:div>
    <w:div w:id="445586923">
      <w:bodyDiv w:val="1"/>
      <w:marLeft w:val="0"/>
      <w:marRight w:val="0"/>
      <w:marTop w:val="0"/>
      <w:marBottom w:val="0"/>
      <w:divBdr>
        <w:top w:val="none" w:sz="0" w:space="0" w:color="auto"/>
        <w:left w:val="none" w:sz="0" w:space="0" w:color="auto"/>
        <w:bottom w:val="none" w:sz="0" w:space="0" w:color="auto"/>
        <w:right w:val="none" w:sz="0" w:space="0" w:color="auto"/>
      </w:divBdr>
    </w:div>
    <w:div w:id="446629758">
      <w:bodyDiv w:val="1"/>
      <w:marLeft w:val="0"/>
      <w:marRight w:val="0"/>
      <w:marTop w:val="0"/>
      <w:marBottom w:val="0"/>
      <w:divBdr>
        <w:top w:val="none" w:sz="0" w:space="0" w:color="auto"/>
        <w:left w:val="none" w:sz="0" w:space="0" w:color="auto"/>
        <w:bottom w:val="none" w:sz="0" w:space="0" w:color="auto"/>
        <w:right w:val="none" w:sz="0" w:space="0" w:color="auto"/>
      </w:divBdr>
    </w:div>
    <w:div w:id="460000724">
      <w:bodyDiv w:val="1"/>
      <w:marLeft w:val="0"/>
      <w:marRight w:val="0"/>
      <w:marTop w:val="0"/>
      <w:marBottom w:val="0"/>
      <w:divBdr>
        <w:top w:val="none" w:sz="0" w:space="0" w:color="auto"/>
        <w:left w:val="none" w:sz="0" w:space="0" w:color="auto"/>
        <w:bottom w:val="none" w:sz="0" w:space="0" w:color="auto"/>
        <w:right w:val="none" w:sz="0" w:space="0" w:color="auto"/>
      </w:divBdr>
    </w:div>
    <w:div w:id="554005079">
      <w:bodyDiv w:val="1"/>
      <w:marLeft w:val="0"/>
      <w:marRight w:val="0"/>
      <w:marTop w:val="0"/>
      <w:marBottom w:val="0"/>
      <w:divBdr>
        <w:top w:val="none" w:sz="0" w:space="0" w:color="auto"/>
        <w:left w:val="none" w:sz="0" w:space="0" w:color="auto"/>
        <w:bottom w:val="none" w:sz="0" w:space="0" w:color="auto"/>
        <w:right w:val="none" w:sz="0" w:space="0" w:color="auto"/>
      </w:divBdr>
    </w:div>
    <w:div w:id="797718512">
      <w:bodyDiv w:val="1"/>
      <w:marLeft w:val="0"/>
      <w:marRight w:val="0"/>
      <w:marTop w:val="0"/>
      <w:marBottom w:val="0"/>
      <w:divBdr>
        <w:top w:val="none" w:sz="0" w:space="0" w:color="auto"/>
        <w:left w:val="none" w:sz="0" w:space="0" w:color="auto"/>
        <w:bottom w:val="none" w:sz="0" w:space="0" w:color="auto"/>
        <w:right w:val="none" w:sz="0" w:space="0" w:color="auto"/>
      </w:divBdr>
    </w:div>
    <w:div w:id="1148784920">
      <w:bodyDiv w:val="1"/>
      <w:marLeft w:val="0"/>
      <w:marRight w:val="0"/>
      <w:marTop w:val="0"/>
      <w:marBottom w:val="0"/>
      <w:divBdr>
        <w:top w:val="none" w:sz="0" w:space="0" w:color="auto"/>
        <w:left w:val="none" w:sz="0" w:space="0" w:color="auto"/>
        <w:bottom w:val="none" w:sz="0" w:space="0" w:color="auto"/>
        <w:right w:val="none" w:sz="0" w:space="0" w:color="auto"/>
      </w:divBdr>
    </w:div>
    <w:div w:id="1284994013">
      <w:bodyDiv w:val="1"/>
      <w:marLeft w:val="0"/>
      <w:marRight w:val="0"/>
      <w:marTop w:val="0"/>
      <w:marBottom w:val="0"/>
      <w:divBdr>
        <w:top w:val="none" w:sz="0" w:space="0" w:color="auto"/>
        <w:left w:val="none" w:sz="0" w:space="0" w:color="auto"/>
        <w:bottom w:val="none" w:sz="0" w:space="0" w:color="auto"/>
        <w:right w:val="none" w:sz="0" w:space="0" w:color="auto"/>
      </w:divBdr>
    </w:div>
    <w:div w:id="1384989698">
      <w:bodyDiv w:val="1"/>
      <w:marLeft w:val="0"/>
      <w:marRight w:val="0"/>
      <w:marTop w:val="0"/>
      <w:marBottom w:val="0"/>
      <w:divBdr>
        <w:top w:val="none" w:sz="0" w:space="0" w:color="auto"/>
        <w:left w:val="none" w:sz="0" w:space="0" w:color="auto"/>
        <w:bottom w:val="none" w:sz="0" w:space="0" w:color="auto"/>
        <w:right w:val="none" w:sz="0" w:space="0" w:color="auto"/>
      </w:divBdr>
    </w:div>
    <w:div w:id="1523007466">
      <w:bodyDiv w:val="1"/>
      <w:marLeft w:val="0"/>
      <w:marRight w:val="0"/>
      <w:marTop w:val="0"/>
      <w:marBottom w:val="0"/>
      <w:divBdr>
        <w:top w:val="none" w:sz="0" w:space="0" w:color="auto"/>
        <w:left w:val="none" w:sz="0" w:space="0" w:color="auto"/>
        <w:bottom w:val="none" w:sz="0" w:space="0" w:color="auto"/>
        <w:right w:val="none" w:sz="0" w:space="0" w:color="auto"/>
      </w:divBdr>
    </w:div>
    <w:div w:id="1554846445">
      <w:bodyDiv w:val="1"/>
      <w:marLeft w:val="0"/>
      <w:marRight w:val="0"/>
      <w:marTop w:val="0"/>
      <w:marBottom w:val="0"/>
      <w:divBdr>
        <w:top w:val="none" w:sz="0" w:space="0" w:color="auto"/>
        <w:left w:val="none" w:sz="0" w:space="0" w:color="auto"/>
        <w:bottom w:val="none" w:sz="0" w:space="0" w:color="auto"/>
        <w:right w:val="none" w:sz="0" w:space="0" w:color="auto"/>
      </w:divBdr>
    </w:div>
    <w:div w:id="1639989653">
      <w:bodyDiv w:val="1"/>
      <w:marLeft w:val="0"/>
      <w:marRight w:val="0"/>
      <w:marTop w:val="0"/>
      <w:marBottom w:val="0"/>
      <w:divBdr>
        <w:top w:val="none" w:sz="0" w:space="0" w:color="auto"/>
        <w:left w:val="none" w:sz="0" w:space="0" w:color="auto"/>
        <w:bottom w:val="none" w:sz="0" w:space="0" w:color="auto"/>
        <w:right w:val="none" w:sz="0" w:space="0" w:color="auto"/>
      </w:divBdr>
    </w:div>
    <w:div w:id="1703748027">
      <w:bodyDiv w:val="1"/>
      <w:marLeft w:val="0"/>
      <w:marRight w:val="0"/>
      <w:marTop w:val="0"/>
      <w:marBottom w:val="0"/>
      <w:divBdr>
        <w:top w:val="none" w:sz="0" w:space="0" w:color="auto"/>
        <w:left w:val="none" w:sz="0" w:space="0" w:color="auto"/>
        <w:bottom w:val="none" w:sz="0" w:space="0" w:color="auto"/>
        <w:right w:val="none" w:sz="0" w:space="0" w:color="auto"/>
      </w:divBdr>
    </w:div>
    <w:div w:id="1926374489">
      <w:bodyDiv w:val="1"/>
      <w:marLeft w:val="0"/>
      <w:marRight w:val="0"/>
      <w:marTop w:val="0"/>
      <w:marBottom w:val="0"/>
      <w:divBdr>
        <w:top w:val="none" w:sz="0" w:space="0" w:color="auto"/>
        <w:left w:val="none" w:sz="0" w:space="0" w:color="auto"/>
        <w:bottom w:val="none" w:sz="0" w:space="0" w:color="auto"/>
        <w:right w:val="none" w:sz="0" w:space="0" w:color="auto"/>
      </w:divBdr>
    </w:div>
    <w:div w:id="1966427596">
      <w:bodyDiv w:val="1"/>
      <w:marLeft w:val="0"/>
      <w:marRight w:val="0"/>
      <w:marTop w:val="0"/>
      <w:marBottom w:val="0"/>
      <w:divBdr>
        <w:top w:val="none" w:sz="0" w:space="0" w:color="auto"/>
        <w:left w:val="none" w:sz="0" w:space="0" w:color="auto"/>
        <w:bottom w:val="none" w:sz="0" w:space="0" w:color="auto"/>
        <w:right w:val="none" w:sz="0" w:space="0" w:color="auto"/>
      </w:divBdr>
    </w:div>
    <w:div w:id="2057779702">
      <w:bodyDiv w:val="1"/>
      <w:marLeft w:val="0"/>
      <w:marRight w:val="0"/>
      <w:marTop w:val="0"/>
      <w:marBottom w:val="0"/>
      <w:divBdr>
        <w:top w:val="none" w:sz="0" w:space="0" w:color="auto"/>
        <w:left w:val="none" w:sz="0" w:space="0" w:color="auto"/>
        <w:bottom w:val="none" w:sz="0" w:space="0" w:color="auto"/>
        <w:right w:val="none" w:sz="0" w:space="0" w:color="auto"/>
      </w:divBdr>
    </w:div>
    <w:div w:id="21033381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A917C-B967-4CD1-ABA6-CB33ACBE4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2022-11-19T20:03:00Z</dcterms:created>
  <dcterms:modified xsi:type="dcterms:W3CDTF">2025-01-13T09:31:00Z</dcterms:modified>
</cp:coreProperties>
</file>