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AA11C" w14:textId="2060B4D9" w:rsidR="00863148" w:rsidRPr="001C249F" w:rsidRDefault="002476A6" w:rsidP="00863148">
      <w:pPr>
        <w:pBdr>
          <w:top w:val="double" w:sz="4" w:space="1" w:color="auto"/>
          <w:left w:val="double" w:sz="4" w:space="4" w:color="auto"/>
          <w:bottom w:val="double" w:sz="4" w:space="1" w:color="auto"/>
          <w:right w:val="double" w:sz="4" w:space="4" w:color="auto"/>
        </w:pBdr>
        <w:spacing w:after="0" w:line="240" w:lineRule="auto"/>
        <w:jc w:val="center"/>
        <w:rPr>
          <w:rFonts w:ascii="Cambria" w:hAnsi="Cambria"/>
          <w:b/>
          <w:bCs/>
          <w:sz w:val="20"/>
          <w:szCs w:val="20"/>
        </w:rPr>
      </w:pPr>
      <w:r w:rsidRPr="001C249F">
        <w:rPr>
          <w:rFonts w:ascii="Cambria" w:hAnsi="Cambria"/>
          <w:b/>
          <w:bCs/>
          <w:sz w:val="20"/>
          <w:szCs w:val="20"/>
        </w:rPr>
        <w:t>22-</w:t>
      </w:r>
      <w:r w:rsidR="00851FBC" w:rsidRPr="001C249F">
        <w:rPr>
          <w:rFonts w:ascii="Cambria" w:hAnsi="Cambria"/>
          <w:b/>
          <w:bCs/>
          <w:sz w:val="20"/>
          <w:szCs w:val="20"/>
        </w:rPr>
        <w:t>05</w:t>
      </w:r>
      <w:r w:rsidRPr="001C249F">
        <w:rPr>
          <w:rFonts w:ascii="Cambria" w:hAnsi="Cambria"/>
          <w:b/>
          <w:bCs/>
          <w:sz w:val="20"/>
          <w:szCs w:val="20"/>
        </w:rPr>
        <w:t xml:space="preserve"> </w:t>
      </w:r>
      <w:r w:rsidRPr="001C249F">
        <w:rPr>
          <w:rFonts w:ascii="Cambria" w:hAnsi="Cambria"/>
          <w:b/>
          <w:bCs/>
          <w:sz w:val="20"/>
          <w:szCs w:val="20"/>
        </w:rPr>
        <w:tab/>
      </w:r>
      <w:r w:rsidRPr="001C249F">
        <w:rPr>
          <w:rFonts w:ascii="Cambria" w:hAnsi="Cambria"/>
          <w:b/>
          <w:bCs/>
          <w:sz w:val="20"/>
          <w:szCs w:val="20"/>
        </w:rPr>
        <w:tab/>
      </w:r>
      <w:r w:rsidRPr="001C249F">
        <w:rPr>
          <w:rFonts w:ascii="Cambria" w:hAnsi="Cambria"/>
          <w:b/>
          <w:bCs/>
          <w:sz w:val="20"/>
          <w:szCs w:val="20"/>
        </w:rPr>
        <w:tab/>
      </w:r>
      <w:r w:rsidRPr="001C249F">
        <w:rPr>
          <w:rFonts w:ascii="Cambria" w:hAnsi="Cambria"/>
          <w:b/>
          <w:bCs/>
          <w:sz w:val="20"/>
          <w:szCs w:val="20"/>
        </w:rPr>
        <w:tab/>
      </w:r>
      <w:r w:rsidRPr="001C249F">
        <w:rPr>
          <w:rFonts w:ascii="Cambria" w:hAnsi="Cambria"/>
          <w:b/>
          <w:bCs/>
          <w:sz w:val="20"/>
          <w:szCs w:val="20"/>
        </w:rPr>
        <w:tab/>
      </w:r>
      <w:r w:rsidRPr="001C249F">
        <w:rPr>
          <w:rFonts w:ascii="Cambria" w:hAnsi="Cambria"/>
          <w:b/>
          <w:bCs/>
          <w:sz w:val="20"/>
          <w:szCs w:val="20"/>
        </w:rPr>
        <w:tab/>
      </w:r>
      <w:r w:rsidRPr="001C249F">
        <w:rPr>
          <w:rFonts w:ascii="Cambria" w:hAnsi="Cambria"/>
          <w:b/>
          <w:bCs/>
          <w:sz w:val="20"/>
          <w:szCs w:val="20"/>
        </w:rPr>
        <w:tab/>
      </w:r>
      <w:r w:rsidRPr="001C249F">
        <w:rPr>
          <w:rFonts w:ascii="Cambria" w:hAnsi="Cambria"/>
          <w:b/>
          <w:bCs/>
          <w:sz w:val="20"/>
          <w:szCs w:val="20"/>
        </w:rPr>
        <w:tab/>
      </w:r>
      <w:r w:rsidRPr="001C249F">
        <w:rPr>
          <w:rFonts w:ascii="Cambria" w:hAnsi="Cambria"/>
          <w:b/>
          <w:bCs/>
          <w:sz w:val="20"/>
          <w:szCs w:val="20"/>
        </w:rPr>
        <w:tab/>
      </w:r>
      <w:r w:rsidRPr="001C249F">
        <w:rPr>
          <w:rFonts w:ascii="Cambria" w:hAnsi="Cambria"/>
          <w:b/>
          <w:bCs/>
          <w:sz w:val="20"/>
          <w:szCs w:val="20"/>
        </w:rPr>
        <w:tab/>
      </w:r>
      <w:r w:rsidRPr="001C249F">
        <w:rPr>
          <w:rFonts w:ascii="Cambria" w:hAnsi="Cambria"/>
          <w:b/>
          <w:bCs/>
          <w:sz w:val="20"/>
          <w:szCs w:val="20"/>
        </w:rPr>
        <w:tab/>
      </w:r>
      <w:r w:rsidRPr="001C249F">
        <w:rPr>
          <w:rFonts w:ascii="Cambria" w:hAnsi="Cambria"/>
          <w:b/>
          <w:bCs/>
          <w:sz w:val="20"/>
          <w:szCs w:val="20"/>
        </w:rPr>
        <w:tab/>
      </w:r>
      <w:r w:rsidR="00851FBC" w:rsidRPr="001C249F">
        <w:rPr>
          <w:rFonts w:ascii="Cambria" w:hAnsi="Cambria"/>
          <w:b/>
          <w:bCs/>
          <w:sz w:val="20"/>
          <w:szCs w:val="20"/>
        </w:rPr>
        <w:t xml:space="preserve">       </w:t>
      </w:r>
      <w:r w:rsidR="00E965F6" w:rsidRPr="001C249F">
        <w:rPr>
          <w:rFonts w:ascii="Cambria" w:hAnsi="Cambria"/>
          <w:b/>
          <w:bCs/>
          <w:sz w:val="20"/>
          <w:szCs w:val="20"/>
        </w:rPr>
        <w:t>ALB</w:t>
      </w:r>
    </w:p>
    <w:p w14:paraId="534874A0" w14:textId="77777777" w:rsidR="00F96C33" w:rsidRPr="001C249F" w:rsidRDefault="00635DBE" w:rsidP="00863148">
      <w:pPr>
        <w:pBdr>
          <w:top w:val="double" w:sz="4" w:space="1" w:color="auto"/>
          <w:left w:val="double" w:sz="4" w:space="4" w:color="auto"/>
          <w:bottom w:val="double" w:sz="4" w:space="1" w:color="auto"/>
          <w:right w:val="double" w:sz="4" w:space="4" w:color="auto"/>
        </w:pBdr>
        <w:spacing w:after="0" w:line="240" w:lineRule="auto"/>
        <w:jc w:val="center"/>
        <w:rPr>
          <w:rFonts w:ascii="Cambria" w:hAnsi="Cambria"/>
          <w:b/>
          <w:bCs/>
          <w:sz w:val="20"/>
          <w:szCs w:val="20"/>
        </w:rPr>
      </w:pPr>
      <w:r w:rsidRPr="001C249F">
        <w:rPr>
          <w:rFonts w:ascii="Cambria" w:hAnsi="Cambria"/>
          <w:b/>
          <w:bCs/>
          <w:sz w:val="20"/>
          <w:szCs w:val="20"/>
        </w:rPr>
        <w:t xml:space="preserve">RECOMMENDATION BY ICCAT AMENDING THE RECOMMENDATION 21-06 </w:t>
      </w:r>
    </w:p>
    <w:p w14:paraId="3F775329" w14:textId="3A6BC3EF" w:rsidR="00D4246D" w:rsidRPr="001C249F" w:rsidRDefault="00635DBE" w:rsidP="00863148">
      <w:pPr>
        <w:pBdr>
          <w:top w:val="double" w:sz="4" w:space="1" w:color="auto"/>
          <w:left w:val="double" w:sz="4" w:space="4" w:color="auto"/>
          <w:bottom w:val="double" w:sz="4" w:space="1" w:color="auto"/>
          <w:right w:val="double" w:sz="4" w:space="4" w:color="auto"/>
        </w:pBdr>
        <w:spacing w:after="0" w:line="240" w:lineRule="auto"/>
        <w:jc w:val="center"/>
        <w:rPr>
          <w:rFonts w:ascii="Cambria" w:hAnsi="Cambria"/>
          <w:b/>
          <w:bCs/>
          <w:sz w:val="20"/>
          <w:szCs w:val="20"/>
        </w:rPr>
      </w:pPr>
      <w:r w:rsidRPr="001C249F">
        <w:rPr>
          <w:rFonts w:ascii="Cambria" w:hAnsi="Cambria"/>
          <w:b/>
          <w:bCs/>
          <w:sz w:val="20"/>
          <w:szCs w:val="20"/>
        </w:rPr>
        <w:t>TO ESTABLISH A REBUILDING PLAN FOR MEDITERRANEAN ALBACORE</w:t>
      </w:r>
    </w:p>
    <w:p w14:paraId="3ACDCEA1" w14:textId="77777777" w:rsidR="00863148" w:rsidRPr="001C249F" w:rsidRDefault="00863148" w:rsidP="00863148">
      <w:pPr>
        <w:pBdr>
          <w:top w:val="double" w:sz="4" w:space="1" w:color="auto"/>
          <w:left w:val="double" w:sz="4" w:space="4" w:color="auto"/>
          <w:bottom w:val="double" w:sz="4" w:space="1" w:color="auto"/>
          <w:right w:val="double" w:sz="4" w:space="4" w:color="auto"/>
        </w:pBdr>
        <w:spacing w:after="0" w:line="240" w:lineRule="auto"/>
        <w:jc w:val="center"/>
        <w:rPr>
          <w:rFonts w:ascii="Cambria" w:hAnsi="Cambria"/>
          <w:b/>
          <w:bCs/>
          <w:sz w:val="20"/>
          <w:szCs w:val="20"/>
        </w:rPr>
      </w:pPr>
    </w:p>
    <w:p w14:paraId="3DD35E4C" w14:textId="5FBE1553" w:rsidR="00133190" w:rsidRPr="001C249F" w:rsidRDefault="00133190" w:rsidP="00133190">
      <w:pPr>
        <w:spacing w:after="0" w:line="240" w:lineRule="auto"/>
        <w:jc w:val="center"/>
        <w:rPr>
          <w:rFonts w:ascii="Cambria" w:hAnsi="Cambria"/>
          <w:b/>
          <w:bCs/>
          <w:sz w:val="20"/>
          <w:szCs w:val="20"/>
        </w:rPr>
      </w:pPr>
    </w:p>
    <w:p w14:paraId="44843031" w14:textId="2546649E" w:rsidR="00840371" w:rsidRPr="001C249F" w:rsidRDefault="00840371" w:rsidP="00840371">
      <w:pPr>
        <w:spacing w:after="0" w:line="240" w:lineRule="auto"/>
        <w:jc w:val="center"/>
        <w:rPr>
          <w:rFonts w:ascii="Cambria" w:hAnsi="Cambria"/>
          <w:i/>
          <w:iCs/>
          <w:sz w:val="20"/>
          <w:szCs w:val="20"/>
        </w:rPr>
      </w:pPr>
    </w:p>
    <w:p w14:paraId="6A9ED588" w14:textId="01EAE7B1" w:rsidR="009C7490" w:rsidRPr="001C249F" w:rsidRDefault="009C7490" w:rsidP="009C7490">
      <w:pPr>
        <w:spacing w:after="0" w:line="240" w:lineRule="auto"/>
        <w:ind w:firstLine="426"/>
        <w:jc w:val="both"/>
        <w:textAlignment w:val="baseline"/>
        <w:rPr>
          <w:rFonts w:ascii="Segoe UI" w:eastAsia="Times New Roman" w:hAnsi="Segoe UI" w:cs="Times New Roman"/>
          <w:sz w:val="20"/>
          <w:szCs w:val="20"/>
          <w:lang w:val="en-US"/>
        </w:rPr>
      </w:pPr>
      <w:r w:rsidRPr="001C249F">
        <w:rPr>
          <w:rFonts w:ascii="Cambria" w:eastAsia="Times New Roman" w:hAnsi="Cambria" w:cs="Times New Roman"/>
          <w:i/>
          <w:color w:val="000000"/>
          <w:sz w:val="20"/>
          <w:szCs w:val="20"/>
          <w:shd w:val="clear" w:color="auto" w:fill="FFFFFF"/>
          <w:lang w:val="en-US"/>
        </w:rPr>
        <w:t>RECALLING</w:t>
      </w:r>
      <w:r w:rsidRPr="001C249F">
        <w:rPr>
          <w:rFonts w:ascii="Cambria" w:eastAsia="Times New Roman" w:hAnsi="Cambria" w:cs="Segoe UI"/>
          <w:i/>
          <w:iCs/>
          <w:color w:val="000000"/>
          <w:sz w:val="20"/>
          <w:szCs w:val="20"/>
          <w:shd w:val="clear" w:color="auto" w:fill="FFFFFF"/>
          <w:lang w:val="en-US"/>
        </w:rPr>
        <w:t xml:space="preserve"> </w:t>
      </w:r>
      <w:r w:rsidRPr="001C249F">
        <w:rPr>
          <w:rFonts w:ascii="Cambria" w:eastAsia="Times New Roman" w:hAnsi="Cambria" w:cs="Times New Roman"/>
          <w:color w:val="000000"/>
          <w:sz w:val="20"/>
          <w:szCs w:val="20"/>
          <w:shd w:val="clear" w:color="auto" w:fill="FFFFFF"/>
          <w:lang w:val="en-US"/>
        </w:rPr>
        <w:t xml:space="preserve">the </w:t>
      </w:r>
      <w:r w:rsidR="009B1485" w:rsidRPr="001C249F">
        <w:rPr>
          <w:rFonts w:ascii="Cambria" w:hAnsi="Cambria"/>
          <w:color w:val="000000"/>
          <w:sz w:val="20"/>
          <w:shd w:val="clear" w:color="auto" w:fill="FFFFFF"/>
          <w:lang w:val="en-US"/>
        </w:rPr>
        <w:t>2021</w:t>
      </w:r>
      <w:r w:rsidRPr="001C249F">
        <w:rPr>
          <w:rFonts w:ascii="Cambria" w:eastAsia="Times New Roman" w:hAnsi="Cambria" w:cs="Segoe UI"/>
          <w:color w:val="000000"/>
          <w:sz w:val="20"/>
          <w:szCs w:val="20"/>
          <w:shd w:val="clear" w:color="auto" w:fill="FFFFFF"/>
          <w:lang w:val="en-US"/>
        </w:rPr>
        <w:t xml:space="preserve"> </w:t>
      </w:r>
      <w:r w:rsidRPr="001C249F">
        <w:rPr>
          <w:rFonts w:ascii="Cambria" w:eastAsia="Times New Roman" w:hAnsi="Cambria" w:cs="Times New Roman"/>
          <w:i/>
          <w:iCs/>
          <w:color w:val="000000"/>
          <w:sz w:val="20"/>
          <w:szCs w:val="20"/>
          <w:shd w:val="clear" w:color="auto" w:fill="FFFFFF"/>
          <w:lang w:val="en-US"/>
        </w:rPr>
        <w:t xml:space="preserve">Recommendation by ICCAT </w:t>
      </w:r>
      <w:r w:rsidR="00AB3E95" w:rsidRPr="001C249F">
        <w:rPr>
          <w:rFonts w:ascii="Cambria" w:hAnsi="Cambria"/>
          <w:i/>
          <w:color w:val="000000"/>
          <w:sz w:val="20"/>
          <w:shd w:val="clear" w:color="auto" w:fill="FFFFFF"/>
          <w:lang w:val="en-US"/>
        </w:rPr>
        <w:t>to</w:t>
      </w:r>
      <w:r w:rsidR="00AB3E95" w:rsidRPr="001C249F">
        <w:rPr>
          <w:rFonts w:ascii="Cambria" w:eastAsia="Times New Roman" w:hAnsi="Cambria" w:cs="Times New Roman"/>
          <w:i/>
          <w:iCs/>
          <w:color w:val="000000"/>
          <w:sz w:val="20"/>
          <w:szCs w:val="20"/>
          <w:shd w:val="clear" w:color="auto" w:fill="FFFFFF"/>
          <w:lang w:val="en-US"/>
        </w:rPr>
        <w:t xml:space="preserve"> </w:t>
      </w:r>
      <w:r w:rsidRPr="001C249F">
        <w:rPr>
          <w:rFonts w:ascii="Cambria" w:eastAsia="Times New Roman" w:hAnsi="Cambria" w:cs="Times New Roman"/>
          <w:i/>
          <w:iCs/>
          <w:color w:val="000000"/>
          <w:sz w:val="20"/>
          <w:szCs w:val="20"/>
          <w:shd w:val="clear" w:color="auto" w:fill="FFFFFF"/>
          <w:lang w:val="en-US"/>
        </w:rPr>
        <w:t>establi</w:t>
      </w:r>
      <w:r w:rsidRPr="001C249F">
        <w:rPr>
          <w:rFonts w:ascii="Cambria" w:hAnsi="Cambria"/>
          <w:i/>
          <w:color w:val="000000"/>
          <w:sz w:val="20"/>
          <w:shd w:val="clear" w:color="auto" w:fill="FFFFFF"/>
          <w:lang w:val="en-US"/>
        </w:rPr>
        <w:t>sh</w:t>
      </w:r>
      <w:r w:rsidR="00AB3E95" w:rsidRPr="001C249F">
        <w:rPr>
          <w:rFonts w:ascii="Cambria" w:hAnsi="Cambria"/>
          <w:i/>
          <w:color w:val="000000"/>
          <w:sz w:val="20"/>
          <w:shd w:val="clear" w:color="auto" w:fill="FFFFFF"/>
          <w:lang w:val="en-US"/>
        </w:rPr>
        <w:t xml:space="preserve"> a rebuilding plan</w:t>
      </w:r>
      <w:r w:rsidRPr="001C249F">
        <w:rPr>
          <w:rFonts w:ascii="Cambria" w:eastAsia="Times New Roman" w:hAnsi="Cambria" w:cs="Times New Roman"/>
          <w:i/>
          <w:iCs/>
          <w:color w:val="000000"/>
          <w:sz w:val="20"/>
          <w:szCs w:val="20"/>
          <w:shd w:val="clear" w:color="auto" w:fill="FFFFFF"/>
          <w:lang w:val="en-US"/>
        </w:rPr>
        <w:t xml:space="preserve"> f</w:t>
      </w:r>
      <w:r w:rsidRPr="001C249F">
        <w:rPr>
          <w:rFonts w:ascii="Cambria" w:hAnsi="Cambria"/>
          <w:i/>
          <w:color w:val="000000"/>
          <w:sz w:val="20"/>
          <w:shd w:val="clear" w:color="auto" w:fill="FFFFFF"/>
          <w:lang w:val="en-US"/>
        </w:rPr>
        <w:t>or</w:t>
      </w:r>
      <w:r w:rsidRPr="001C249F">
        <w:rPr>
          <w:rFonts w:ascii="Cambria" w:eastAsia="Times New Roman" w:hAnsi="Cambria" w:cs="Times New Roman"/>
          <w:i/>
          <w:iCs/>
          <w:color w:val="000000"/>
          <w:sz w:val="20"/>
          <w:szCs w:val="20"/>
          <w:shd w:val="clear" w:color="auto" w:fill="FFFFFF"/>
          <w:lang w:val="en-US"/>
        </w:rPr>
        <w:t xml:space="preserve"> Mediterranean albacore</w:t>
      </w:r>
      <w:r w:rsidRPr="001C249F">
        <w:rPr>
          <w:rFonts w:ascii="Cambria" w:eastAsia="Times New Roman" w:hAnsi="Cambria" w:cs="Segoe UI"/>
          <w:color w:val="000000"/>
          <w:sz w:val="20"/>
          <w:szCs w:val="20"/>
          <w:shd w:val="clear" w:color="auto" w:fill="FFFFFF"/>
          <w:lang w:val="en-US"/>
        </w:rPr>
        <w:t xml:space="preserve"> (</w:t>
      </w:r>
      <w:r w:rsidRPr="001C249F">
        <w:rPr>
          <w:rFonts w:ascii="Cambria" w:eastAsia="Times New Roman" w:hAnsi="Cambria" w:cs="Times New Roman"/>
          <w:color w:val="000000"/>
          <w:sz w:val="20"/>
          <w:szCs w:val="20"/>
          <w:shd w:val="clear" w:color="auto" w:fill="FFFFFF"/>
          <w:lang w:val="en-US"/>
        </w:rPr>
        <w:t xml:space="preserve">Rec. </w:t>
      </w:r>
      <w:r w:rsidR="005B2781" w:rsidRPr="001C249F">
        <w:rPr>
          <w:rFonts w:ascii="Cambria" w:hAnsi="Cambria"/>
          <w:color w:val="000000"/>
          <w:sz w:val="20"/>
          <w:shd w:val="clear" w:color="auto" w:fill="FFFFFF"/>
          <w:lang w:val="en-US"/>
        </w:rPr>
        <w:t>21</w:t>
      </w:r>
      <w:r w:rsidRPr="001C249F">
        <w:rPr>
          <w:rFonts w:ascii="Cambria" w:hAnsi="Cambria"/>
          <w:color w:val="000000"/>
          <w:sz w:val="20"/>
          <w:shd w:val="clear" w:color="auto" w:fill="FFFFFF"/>
          <w:lang w:val="en-US"/>
        </w:rPr>
        <w:t>-0</w:t>
      </w:r>
      <w:r w:rsidR="005B2781" w:rsidRPr="001C249F">
        <w:rPr>
          <w:rFonts w:ascii="Cambria" w:hAnsi="Cambria"/>
          <w:color w:val="000000"/>
          <w:sz w:val="20"/>
          <w:shd w:val="clear" w:color="auto" w:fill="FFFFFF"/>
          <w:lang w:val="en-US"/>
        </w:rPr>
        <w:t>6</w:t>
      </w:r>
      <w:proofErr w:type="gramStart"/>
      <w:r w:rsidRPr="001C249F">
        <w:rPr>
          <w:rFonts w:ascii="Cambria" w:eastAsia="Times New Roman" w:hAnsi="Cambria" w:cs="Segoe UI"/>
          <w:color w:val="000000"/>
          <w:sz w:val="20"/>
          <w:szCs w:val="20"/>
          <w:shd w:val="clear" w:color="auto" w:fill="FFFFFF"/>
          <w:lang w:val="en-US"/>
        </w:rPr>
        <w:t>);</w:t>
      </w:r>
      <w:proofErr w:type="gramEnd"/>
      <w:r w:rsidRPr="001C249F">
        <w:rPr>
          <w:rFonts w:ascii="Cambria" w:eastAsia="Times New Roman" w:hAnsi="Cambria" w:cs="Segoe UI"/>
          <w:color w:val="000000"/>
          <w:sz w:val="20"/>
          <w:szCs w:val="20"/>
          <w:lang w:val="en-US"/>
        </w:rPr>
        <w:t> </w:t>
      </w:r>
    </w:p>
    <w:p w14:paraId="6A72A90E" w14:textId="77777777" w:rsidR="009C7490" w:rsidRPr="001C249F" w:rsidRDefault="009C7490" w:rsidP="009C7490">
      <w:pPr>
        <w:spacing w:after="0" w:line="240" w:lineRule="auto"/>
        <w:ind w:firstLine="555"/>
        <w:jc w:val="both"/>
        <w:textAlignment w:val="baseline"/>
        <w:rPr>
          <w:rFonts w:ascii="Segoe UI" w:eastAsia="Times New Roman" w:hAnsi="Segoe UI" w:cs="Times New Roman"/>
          <w:sz w:val="20"/>
          <w:szCs w:val="20"/>
          <w:lang w:val="en-US"/>
        </w:rPr>
      </w:pPr>
      <w:r w:rsidRPr="001C249F">
        <w:rPr>
          <w:rFonts w:ascii="Cambria" w:eastAsia="Times New Roman" w:hAnsi="Cambria" w:cs="Segoe UI"/>
          <w:color w:val="000000"/>
          <w:sz w:val="20"/>
          <w:szCs w:val="20"/>
          <w:lang w:val="en-US"/>
        </w:rPr>
        <w:t> </w:t>
      </w:r>
    </w:p>
    <w:p w14:paraId="4BCC7872" w14:textId="77777777" w:rsidR="009C7490" w:rsidRPr="001C249F" w:rsidRDefault="009C7490" w:rsidP="009C7490">
      <w:pPr>
        <w:spacing w:after="0" w:line="240" w:lineRule="auto"/>
        <w:ind w:firstLine="426"/>
        <w:jc w:val="both"/>
        <w:textAlignment w:val="baseline"/>
        <w:rPr>
          <w:rFonts w:ascii="Segoe UI" w:eastAsia="Times New Roman" w:hAnsi="Segoe UI" w:cs="Times New Roman"/>
          <w:sz w:val="20"/>
          <w:szCs w:val="20"/>
          <w:lang w:val="en-US"/>
        </w:rPr>
      </w:pPr>
      <w:r w:rsidRPr="001C249F">
        <w:rPr>
          <w:rFonts w:ascii="Cambria" w:eastAsia="Times New Roman" w:hAnsi="Cambria" w:cs="Times New Roman"/>
          <w:i/>
          <w:sz w:val="20"/>
          <w:szCs w:val="20"/>
          <w:lang w:val="en-US"/>
        </w:rPr>
        <w:t>NOTING</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the</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 xml:space="preserve">provisions of ICCAT </w:t>
      </w:r>
      <w:r w:rsidRPr="001C249F">
        <w:rPr>
          <w:rFonts w:ascii="Cambria" w:eastAsia="Times New Roman" w:hAnsi="Cambria" w:cs="Segoe UI"/>
          <w:sz w:val="20"/>
          <w:szCs w:val="20"/>
          <w:lang w:val="en-US"/>
        </w:rPr>
        <w:t xml:space="preserve">Recommendation </w:t>
      </w:r>
      <w:r w:rsidRPr="001C249F">
        <w:rPr>
          <w:rFonts w:ascii="Cambria" w:eastAsia="Times New Roman" w:hAnsi="Cambria" w:cs="Times New Roman"/>
          <w:sz w:val="20"/>
          <w:szCs w:val="20"/>
          <w:lang w:val="en-US"/>
        </w:rPr>
        <w:t>11-13 and the need to rebuild the stock and to reduce the fishing</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 xml:space="preserve">mortality for stocks overfished and subject to </w:t>
      </w:r>
      <w:proofErr w:type="gramStart"/>
      <w:r w:rsidRPr="001C249F">
        <w:rPr>
          <w:rFonts w:ascii="Cambria" w:eastAsia="Times New Roman" w:hAnsi="Cambria" w:cs="Times New Roman"/>
          <w:sz w:val="20"/>
          <w:szCs w:val="20"/>
          <w:lang w:val="en-US"/>
        </w:rPr>
        <w:t>overfishing;</w:t>
      </w:r>
      <w:proofErr w:type="gramEnd"/>
    </w:p>
    <w:p w14:paraId="7E3578A3" w14:textId="77777777" w:rsidR="009C7490" w:rsidRPr="001C249F" w:rsidRDefault="009C7490" w:rsidP="009C7490">
      <w:pPr>
        <w:spacing w:after="0" w:line="240" w:lineRule="auto"/>
        <w:ind w:firstLine="555"/>
        <w:jc w:val="both"/>
        <w:textAlignment w:val="baseline"/>
        <w:rPr>
          <w:rFonts w:ascii="Segoe UI" w:eastAsia="Times New Roman" w:hAnsi="Segoe UI" w:cs="Times New Roman"/>
          <w:sz w:val="20"/>
          <w:szCs w:val="20"/>
          <w:lang w:val="en-US"/>
        </w:rPr>
      </w:pPr>
      <w:r w:rsidRPr="001C249F">
        <w:rPr>
          <w:rFonts w:ascii="Cambria" w:eastAsia="Times New Roman" w:hAnsi="Cambria" w:cs="Segoe UI"/>
          <w:sz w:val="20"/>
          <w:szCs w:val="20"/>
          <w:lang w:val="en-US"/>
        </w:rPr>
        <w:t> </w:t>
      </w:r>
    </w:p>
    <w:p w14:paraId="64621380" w14:textId="77777777" w:rsidR="009C7490" w:rsidRPr="001C249F" w:rsidRDefault="009C7490" w:rsidP="009C7490">
      <w:pPr>
        <w:spacing w:after="0" w:line="240" w:lineRule="auto"/>
        <w:ind w:firstLine="426"/>
        <w:jc w:val="both"/>
        <w:textAlignment w:val="baseline"/>
        <w:rPr>
          <w:rFonts w:ascii="Cambria" w:eastAsia="Times New Roman" w:hAnsi="Cambria" w:cs="Times New Roman"/>
          <w:sz w:val="20"/>
          <w:szCs w:val="20"/>
          <w:lang w:val="en-US"/>
        </w:rPr>
      </w:pPr>
      <w:r w:rsidRPr="001C249F">
        <w:rPr>
          <w:rFonts w:ascii="Cambria" w:eastAsia="Times New Roman" w:hAnsi="Cambria" w:cs="Times New Roman"/>
          <w:i/>
          <w:sz w:val="20"/>
          <w:szCs w:val="20"/>
          <w:lang w:val="en-US"/>
        </w:rPr>
        <w:t>CONSIDERING</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that the 2021</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stock assessment of the Standing Committee on Research and Statistics (SCRS) concluded that the Mediterranean</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albacore stock is</w:t>
      </w:r>
      <w:r w:rsidRPr="001C249F">
        <w:rPr>
          <w:rFonts w:ascii="Cambria" w:eastAsia="Times New Roman" w:hAnsi="Cambria" w:cs="Segoe UI"/>
          <w:sz w:val="20"/>
          <w:szCs w:val="20"/>
          <w:lang w:val="en-US"/>
        </w:rPr>
        <w:t xml:space="preserve"> </w:t>
      </w:r>
      <w:proofErr w:type="gramStart"/>
      <w:r w:rsidRPr="001C249F">
        <w:rPr>
          <w:rFonts w:ascii="Cambria" w:eastAsia="Times New Roman" w:hAnsi="Cambria" w:cs="Times New Roman"/>
          <w:sz w:val="20"/>
          <w:szCs w:val="20"/>
          <w:lang w:val="en-US"/>
        </w:rPr>
        <w:t>overfished</w:t>
      </w:r>
      <w:proofErr w:type="gramEnd"/>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and overfishing is occurring, and recommended</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a</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level</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of catch</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of</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2,</w:t>
      </w:r>
      <w:r w:rsidRPr="001C249F">
        <w:rPr>
          <w:rFonts w:ascii="Cambria" w:eastAsia="Times New Roman" w:hAnsi="Cambria" w:cs="Segoe UI"/>
          <w:sz w:val="20"/>
          <w:szCs w:val="20"/>
          <w:lang w:val="en-US"/>
        </w:rPr>
        <w:t xml:space="preserve">500 t </w:t>
      </w:r>
      <w:r w:rsidRPr="001C249F">
        <w:rPr>
          <w:rFonts w:ascii="Cambria" w:eastAsia="Times New Roman" w:hAnsi="Cambria" w:cs="Times New Roman"/>
          <w:sz w:val="20"/>
          <w:szCs w:val="20"/>
          <w:lang w:val="en-US"/>
        </w:rPr>
        <w:t>to</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meet the Convention management objective</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to</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allow</w:t>
      </w:r>
      <w:r w:rsidRPr="001C249F" w:rsidDel="007A4A2A">
        <w:rPr>
          <w:rFonts w:ascii="Cambria" w:eastAsia="Times New Roman" w:hAnsi="Cambria" w:cs="Times New Roman"/>
          <w:sz w:val="20"/>
          <w:szCs w:val="20"/>
          <w:lang w:val="en-US"/>
        </w:rPr>
        <w:t xml:space="preserve"> </w:t>
      </w:r>
      <w:r w:rsidRPr="001C249F">
        <w:rPr>
          <w:rFonts w:ascii="Cambria" w:eastAsia="Times New Roman" w:hAnsi="Cambria" w:cs="Times New Roman"/>
          <w:sz w:val="20"/>
          <w:szCs w:val="20"/>
          <w:lang w:val="en-US"/>
        </w:rPr>
        <w:t>the</w:t>
      </w:r>
      <w:r w:rsidRPr="001C249F">
        <w:rPr>
          <w:rFonts w:ascii="Cambria" w:eastAsia="Times New Roman" w:hAnsi="Cambria" w:cs="Segoe UI"/>
          <w:sz w:val="20"/>
          <w:szCs w:val="20"/>
          <w:lang w:val="en-US"/>
        </w:rPr>
        <w:t> </w:t>
      </w:r>
      <w:r w:rsidRPr="001C249F">
        <w:rPr>
          <w:rFonts w:ascii="Cambria" w:eastAsia="Times New Roman" w:hAnsi="Cambria" w:cs="Times New Roman"/>
          <w:sz w:val="20"/>
          <w:szCs w:val="20"/>
          <w:lang w:val="en-US"/>
        </w:rPr>
        <w:t>biomass to recover to the B</w:t>
      </w:r>
      <w:r w:rsidRPr="001C249F">
        <w:rPr>
          <w:rFonts w:ascii="Cambria" w:eastAsia="Times New Roman" w:hAnsi="Cambria" w:cs="Times New Roman"/>
          <w:sz w:val="20"/>
          <w:szCs w:val="20"/>
          <w:vertAlign w:val="subscript"/>
          <w:lang w:val="en-US"/>
        </w:rPr>
        <w:t>MSY</w:t>
      </w:r>
      <w:r w:rsidRPr="001C249F">
        <w:rPr>
          <w:rFonts w:ascii="Cambria" w:eastAsia="Times New Roman" w:hAnsi="Cambria" w:cs="Times New Roman"/>
          <w:sz w:val="20"/>
          <w:szCs w:val="20"/>
          <w:lang w:val="en-US"/>
        </w:rPr>
        <w:t xml:space="preserve"> level</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with</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60% probability</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by</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2034;</w:t>
      </w:r>
    </w:p>
    <w:p w14:paraId="2193134F" w14:textId="77777777" w:rsidR="009C7490" w:rsidRPr="001C249F" w:rsidRDefault="009C7490" w:rsidP="009C7490">
      <w:pPr>
        <w:spacing w:after="0" w:line="240" w:lineRule="auto"/>
        <w:ind w:firstLine="555"/>
        <w:jc w:val="both"/>
        <w:textAlignment w:val="baseline"/>
        <w:rPr>
          <w:rFonts w:ascii="Cambria" w:eastAsia="Times New Roman" w:hAnsi="Cambria" w:cs="Times New Roman"/>
          <w:sz w:val="20"/>
          <w:szCs w:val="20"/>
          <w:lang w:val="en-US"/>
        </w:rPr>
      </w:pPr>
      <w:r w:rsidRPr="001C249F">
        <w:rPr>
          <w:rFonts w:ascii="Cambria" w:eastAsia="Times New Roman" w:hAnsi="Cambria" w:cs="Segoe UI"/>
          <w:sz w:val="20"/>
          <w:szCs w:val="20"/>
          <w:lang w:val="en-US"/>
        </w:rPr>
        <w:t> </w:t>
      </w:r>
    </w:p>
    <w:p w14:paraId="22587034" w14:textId="33C1B956" w:rsidR="009C7490" w:rsidRPr="001C249F" w:rsidRDefault="009C7490" w:rsidP="009C7490">
      <w:pPr>
        <w:spacing w:after="0" w:line="240" w:lineRule="auto"/>
        <w:ind w:firstLine="426"/>
        <w:jc w:val="both"/>
        <w:textAlignment w:val="baseline"/>
        <w:rPr>
          <w:rFonts w:ascii="Segoe UI" w:eastAsia="Times New Roman" w:hAnsi="Segoe UI" w:cs="Times New Roman"/>
          <w:sz w:val="20"/>
          <w:szCs w:val="20"/>
          <w:lang w:val="en-US"/>
        </w:rPr>
      </w:pPr>
      <w:r w:rsidRPr="001C249F">
        <w:rPr>
          <w:rFonts w:ascii="Cambria" w:eastAsia="Times New Roman" w:hAnsi="Cambria" w:cs="Times New Roman"/>
          <w:i/>
          <w:color w:val="000000"/>
          <w:sz w:val="20"/>
          <w:szCs w:val="20"/>
          <w:shd w:val="clear" w:color="auto" w:fill="FFFFFF"/>
          <w:lang w:val="en-US"/>
        </w:rPr>
        <w:t xml:space="preserve">ACKNOWLEDGING </w:t>
      </w:r>
      <w:r w:rsidRPr="001C249F">
        <w:rPr>
          <w:rFonts w:ascii="Cambria" w:eastAsia="Times New Roman" w:hAnsi="Cambria" w:cs="Times New Roman"/>
          <w:sz w:val="20"/>
          <w:szCs w:val="20"/>
          <w:lang w:val="en-US"/>
        </w:rPr>
        <w:t xml:space="preserve">that following the 2021 </w:t>
      </w:r>
      <w:r w:rsidR="00675D26" w:rsidRPr="001C249F">
        <w:rPr>
          <w:rFonts w:ascii="Cambria" w:eastAsia="Times New Roman" w:hAnsi="Cambria" w:cs="Times New Roman"/>
          <w:sz w:val="20"/>
          <w:szCs w:val="20"/>
          <w:lang w:val="en-US"/>
        </w:rPr>
        <w:t xml:space="preserve">Stock Assessment </w:t>
      </w:r>
      <w:r w:rsidRPr="001C249F">
        <w:rPr>
          <w:rFonts w:ascii="Cambria" w:eastAsia="Times New Roman" w:hAnsi="Cambria" w:cs="Times New Roman"/>
          <w:sz w:val="20"/>
          <w:szCs w:val="20"/>
          <w:lang w:val="en-US"/>
        </w:rPr>
        <w:t>for Mediterranean albacore,</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the SCRS</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noted in its advice that there is high uncertainty regarding the</w:t>
      </w:r>
      <w:r w:rsidRPr="001C249F">
        <w:rPr>
          <w:rFonts w:ascii="Cambria" w:eastAsia="Times New Roman" w:hAnsi="Cambria" w:cs="Segoe UI"/>
          <w:sz w:val="20"/>
          <w:szCs w:val="20"/>
          <w:lang w:val="en-US"/>
        </w:rPr>
        <w:t xml:space="preserve"> characterization </w:t>
      </w:r>
      <w:r w:rsidRPr="001C249F">
        <w:rPr>
          <w:rFonts w:ascii="Cambria" w:eastAsia="Times New Roman" w:hAnsi="Cambria" w:cs="Times New Roman"/>
          <w:sz w:val="20"/>
          <w:szCs w:val="20"/>
          <w:lang w:val="en-US"/>
        </w:rPr>
        <w:t>of stock status,</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in particular for</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fishing</w:t>
      </w:r>
      <w:r w:rsidRPr="001C249F">
        <w:rPr>
          <w:rFonts w:ascii="Cambria" w:eastAsia="Times New Roman" w:hAnsi="Cambria" w:cs="Segoe UI"/>
          <w:sz w:val="20"/>
          <w:szCs w:val="20"/>
          <w:lang w:val="en-US"/>
        </w:rPr>
        <w:t xml:space="preserve"> </w:t>
      </w:r>
      <w:proofErr w:type="gramStart"/>
      <w:r w:rsidRPr="001C249F">
        <w:rPr>
          <w:rFonts w:ascii="Cambria" w:eastAsia="Times New Roman" w:hAnsi="Cambria" w:cs="Times New Roman"/>
          <w:sz w:val="20"/>
          <w:szCs w:val="20"/>
          <w:lang w:val="en-US"/>
        </w:rPr>
        <w:t>mortality;</w:t>
      </w:r>
      <w:proofErr w:type="gramEnd"/>
      <w:r w:rsidRPr="001C249F">
        <w:rPr>
          <w:rFonts w:ascii="Cambria" w:eastAsia="Times New Roman" w:hAnsi="Cambria" w:cs="Segoe UI"/>
          <w:sz w:val="20"/>
          <w:szCs w:val="20"/>
          <w:lang w:val="en-US"/>
        </w:rPr>
        <w:t> </w:t>
      </w:r>
    </w:p>
    <w:p w14:paraId="35D53EB4" w14:textId="77777777" w:rsidR="009C7490" w:rsidRPr="001C249F" w:rsidRDefault="009C7490" w:rsidP="009C7490">
      <w:pPr>
        <w:spacing w:after="0" w:line="240" w:lineRule="auto"/>
        <w:jc w:val="both"/>
        <w:textAlignment w:val="baseline"/>
        <w:rPr>
          <w:rFonts w:ascii="Segoe UI" w:eastAsia="Times New Roman" w:hAnsi="Segoe UI" w:cs="Times New Roman"/>
          <w:sz w:val="20"/>
          <w:szCs w:val="20"/>
          <w:lang w:val="en-US"/>
        </w:rPr>
      </w:pPr>
      <w:r w:rsidRPr="001C249F">
        <w:rPr>
          <w:rFonts w:ascii="Cambria" w:eastAsia="Times New Roman" w:hAnsi="Cambria" w:cs="Times New Roman"/>
          <w:sz w:val="20"/>
          <w:szCs w:val="20"/>
          <w:lang w:val="en-US"/>
        </w:rPr>
        <w:t> </w:t>
      </w:r>
    </w:p>
    <w:p w14:paraId="50D341A0" w14:textId="77777777" w:rsidR="009C7490" w:rsidRPr="001C249F" w:rsidRDefault="009C7490" w:rsidP="009C7490">
      <w:pPr>
        <w:spacing w:after="0" w:line="240" w:lineRule="auto"/>
        <w:ind w:firstLine="426"/>
        <w:jc w:val="both"/>
        <w:textAlignment w:val="baseline"/>
        <w:rPr>
          <w:rFonts w:ascii="Segoe UI" w:eastAsia="Times New Roman" w:hAnsi="Segoe UI" w:cs="Times New Roman"/>
          <w:sz w:val="20"/>
          <w:szCs w:val="20"/>
          <w:lang w:val="en-US"/>
        </w:rPr>
      </w:pPr>
      <w:r w:rsidRPr="001C249F">
        <w:rPr>
          <w:rFonts w:ascii="Cambria" w:eastAsia="Times New Roman" w:hAnsi="Cambria" w:cs="Times New Roman"/>
          <w:i/>
          <w:color w:val="000000"/>
          <w:sz w:val="20"/>
          <w:szCs w:val="20"/>
          <w:shd w:val="clear" w:color="auto" w:fill="FFFFFF"/>
          <w:lang w:val="en-US"/>
        </w:rPr>
        <w:t>HIGHLIGHTING</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that, according to the latest scientific advice,</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rPr>
        <w:t>and consistent with the precautionary approach,</w:t>
      </w:r>
      <w:r w:rsidRPr="001C249F">
        <w:rPr>
          <w:rFonts w:ascii="Cambria" w:eastAsia="Times New Roman" w:hAnsi="Cambria" w:cs="Segoe UI"/>
          <w:sz w:val="20"/>
          <w:szCs w:val="20"/>
        </w:rPr>
        <w:t xml:space="preserve"> </w:t>
      </w:r>
      <w:r w:rsidRPr="001C249F">
        <w:rPr>
          <w:rFonts w:ascii="Cambria" w:eastAsia="Times New Roman" w:hAnsi="Cambria" w:cs="Times New Roman"/>
          <w:sz w:val="20"/>
          <w:szCs w:val="20"/>
          <w:lang w:val="en-US"/>
        </w:rPr>
        <w:t>the SCRS recommends</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preventing</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an</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 xml:space="preserve">increase of </w:t>
      </w:r>
      <w:proofErr w:type="gramStart"/>
      <w:r w:rsidRPr="001C249F">
        <w:rPr>
          <w:rFonts w:ascii="Cambria" w:eastAsia="Times New Roman" w:hAnsi="Cambria" w:cs="Times New Roman"/>
          <w:sz w:val="20"/>
          <w:szCs w:val="20"/>
          <w:lang w:val="en-US"/>
        </w:rPr>
        <w:t>catches;</w:t>
      </w:r>
      <w:proofErr w:type="gramEnd"/>
    </w:p>
    <w:p w14:paraId="538986D8" w14:textId="77777777" w:rsidR="009C7490" w:rsidRPr="001C249F" w:rsidRDefault="009C7490" w:rsidP="009C7490">
      <w:pPr>
        <w:spacing w:after="0" w:line="240" w:lineRule="auto"/>
        <w:jc w:val="both"/>
        <w:textAlignment w:val="baseline"/>
        <w:rPr>
          <w:rFonts w:ascii="Segoe UI" w:eastAsia="Times New Roman" w:hAnsi="Segoe UI" w:cs="Times New Roman"/>
          <w:sz w:val="20"/>
          <w:szCs w:val="20"/>
          <w:lang w:val="en-US"/>
        </w:rPr>
      </w:pPr>
      <w:r w:rsidRPr="001C249F">
        <w:rPr>
          <w:rFonts w:ascii="Cambria" w:eastAsia="Times New Roman" w:hAnsi="Cambria" w:cs="Times New Roman"/>
          <w:color w:val="000000"/>
          <w:sz w:val="20"/>
          <w:szCs w:val="20"/>
          <w:lang w:val="en-US"/>
        </w:rPr>
        <w:t> </w:t>
      </w:r>
    </w:p>
    <w:p w14:paraId="5E06DFA3" w14:textId="77777777" w:rsidR="009C7490" w:rsidRPr="001C249F" w:rsidRDefault="009C7490" w:rsidP="009C7490">
      <w:pPr>
        <w:spacing w:after="0" w:line="240" w:lineRule="auto"/>
        <w:ind w:firstLine="426"/>
        <w:jc w:val="both"/>
        <w:textAlignment w:val="baseline"/>
        <w:rPr>
          <w:rFonts w:ascii="Segoe UI" w:eastAsia="Times New Roman" w:hAnsi="Segoe UI" w:cs="Times New Roman"/>
          <w:sz w:val="20"/>
          <w:szCs w:val="20"/>
          <w:lang w:val="en-US"/>
        </w:rPr>
      </w:pPr>
      <w:r w:rsidRPr="001C249F">
        <w:rPr>
          <w:rFonts w:ascii="Cambria" w:eastAsia="Times New Roman" w:hAnsi="Cambria" w:cs="Times New Roman"/>
          <w:i/>
          <w:color w:val="000000"/>
          <w:sz w:val="20"/>
          <w:szCs w:val="20"/>
          <w:shd w:val="clear" w:color="auto" w:fill="FFFFFF"/>
          <w:lang w:val="en-US"/>
        </w:rPr>
        <w:t xml:space="preserve">CONSIDERING </w:t>
      </w:r>
      <w:r w:rsidRPr="001C249F">
        <w:rPr>
          <w:rFonts w:ascii="Cambria" w:eastAsia="Times New Roman" w:hAnsi="Cambria" w:cs="Times New Roman"/>
          <w:color w:val="000000"/>
          <w:sz w:val="20"/>
          <w:szCs w:val="20"/>
          <w:shd w:val="clear" w:color="auto" w:fill="FFFFFF"/>
          <w:lang w:val="en-US"/>
        </w:rPr>
        <w:t>that</w:t>
      </w:r>
      <w:r w:rsidRPr="001C249F">
        <w:rPr>
          <w:rFonts w:ascii="Cambria" w:eastAsia="Times New Roman" w:hAnsi="Cambria" w:cs="Segoe UI"/>
          <w:i/>
          <w:iCs/>
          <w:color w:val="000000"/>
          <w:sz w:val="20"/>
          <w:szCs w:val="20"/>
          <w:shd w:val="clear" w:color="auto" w:fill="FFFFFF"/>
          <w:lang w:val="en-US"/>
        </w:rPr>
        <w:t xml:space="preserve"> </w:t>
      </w:r>
      <w:r w:rsidRPr="001C249F">
        <w:rPr>
          <w:rFonts w:ascii="Cambria" w:eastAsia="Times New Roman" w:hAnsi="Cambria" w:cs="Times New Roman"/>
          <w:sz w:val="20"/>
          <w:szCs w:val="20"/>
        </w:rPr>
        <w:t>to prevent an increase</w:t>
      </w:r>
      <w:r w:rsidRPr="001C249F">
        <w:rPr>
          <w:rFonts w:ascii="Cambria" w:eastAsia="Times New Roman" w:hAnsi="Cambria" w:cs="Segoe UI"/>
          <w:sz w:val="20"/>
          <w:szCs w:val="20"/>
        </w:rPr>
        <w:t xml:space="preserve"> </w:t>
      </w:r>
      <w:r w:rsidRPr="001C249F">
        <w:rPr>
          <w:rFonts w:ascii="Cambria" w:eastAsia="Times New Roman" w:hAnsi="Cambria" w:cs="Times New Roman"/>
          <w:sz w:val="20"/>
          <w:szCs w:val="20"/>
        </w:rPr>
        <w:t>of the</w:t>
      </w:r>
      <w:r w:rsidRPr="001C249F">
        <w:rPr>
          <w:rFonts w:ascii="Cambria" w:eastAsia="Times New Roman" w:hAnsi="Cambria" w:cs="Segoe UI"/>
          <w:sz w:val="20"/>
          <w:szCs w:val="20"/>
        </w:rPr>
        <w:t xml:space="preserve"> </w:t>
      </w:r>
      <w:r w:rsidRPr="001C249F">
        <w:rPr>
          <w:rFonts w:ascii="Cambria" w:eastAsia="Times New Roman" w:hAnsi="Cambria" w:cs="Times New Roman"/>
          <w:sz w:val="20"/>
          <w:szCs w:val="20"/>
        </w:rPr>
        <w:t>fishing effort and of catches</w:t>
      </w:r>
      <w:r w:rsidRPr="001C249F">
        <w:rPr>
          <w:rFonts w:ascii="Cambria" w:eastAsia="Times New Roman" w:hAnsi="Cambria" w:cs="Segoe UI"/>
          <w:sz w:val="20"/>
          <w:szCs w:val="20"/>
        </w:rPr>
        <w:t xml:space="preserve"> </w:t>
      </w:r>
      <w:r w:rsidRPr="001C249F">
        <w:rPr>
          <w:rFonts w:ascii="Cambria" w:eastAsia="Times New Roman" w:hAnsi="Cambria" w:cs="Times New Roman"/>
          <w:sz w:val="20"/>
          <w:szCs w:val="20"/>
        </w:rPr>
        <w:t>it is important to ensure that the fishing capacity does not</w:t>
      </w:r>
      <w:r w:rsidRPr="001C249F">
        <w:rPr>
          <w:rFonts w:ascii="Cambria" w:eastAsia="Times New Roman" w:hAnsi="Cambria" w:cs="Segoe UI"/>
          <w:sz w:val="20"/>
          <w:szCs w:val="20"/>
        </w:rPr>
        <w:t xml:space="preserve"> </w:t>
      </w:r>
      <w:proofErr w:type="gramStart"/>
      <w:r w:rsidRPr="001C249F">
        <w:rPr>
          <w:rFonts w:ascii="Cambria" w:eastAsia="Times New Roman" w:hAnsi="Cambria" w:cs="Times New Roman"/>
          <w:sz w:val="20"/>
          <w:szCs w:val="20"/>
        </w:rPr>
        <w:t>increase;</w:t>
      </w:r>
      <w:proofErr w:type="gramEnd"/>
    </w:p>
    <w:p w14:paraId="48BE61E1" w14:textId="77777777" w:rsidR="009C7490" w:rsidRPr="001C249F" w:rsidRDefault="009C7490" w:rsidP="009C7490">
      <w:pPr>
        <w:spacing w:after="0" w:line="240" w:lineRule="auto"/>
        <w:jc w:val="both"/>
        <w:textAlignment w:val="baseline"/>
        <w:rPr>
          <w:rFonts w:ascii="Segoe UI" w:eastAsia="Times New Roman" w:hAnsi="Segoe UI" w:cs="Times New Roman"/>
          <w:sz w:val="20"/>
          <w:szCs w:val="20"/>
          <w:lang w:val="en-US"/>
        </w:rPr>
      </w:pPr>
      <w:r w:rsidRPr="001C249F">
        <w:rPr>
          <w:rFonts w:ascii="Cambria" w:eastAsia="Times New Roman" w:hAnsi="Cambria" w:cs="Times New Roman"/>
          <w:sz w:val="20"/>
          <w:szCs w:val="20"/>
          <w:lang w:val="en-US"/>
        </w:rPr>
        <w:t> </w:t>
      </w:r>
    </w:p>
    <w:p w14:paraId="4ABDE3A2" w14:textId="77777777" w:rsidR="009C7490" w:rsidRPr="001C249F" w:rsidRDefault="009C7490" w:rsidP="009C7490">
      <w:pPr>
        <w:spacing w:after="0" w:line="240" w:lineRule="auto"/>
        <w:ind w:firstLine="426"/>
        <w:jc w:val="both"/>
        <w:textAlignment w:val="baseline"/>
        <w:rPr>
          <w:rFonts w:ascii="Times New Roman" w:eastAsia="Times New Roman" w:hAnsi="Times New Roman" w:cs="Times New Roman"/>
          <w:bCs/>
          <w:sz w:val="20"/>
          <w:szCs w:val="20"/>
          <w:lang w:val="en-US"/>
        </w:rPr>
      </w:pPr>
      <w:r w:rsidRPr="001C249F">
        <w:rPr>
          <w:rFonts w:ascii="Cambria" w:eastAsia="Times New Roman" w:hAnsi="Cambria" w:cs="Times New Roman"/>
          <w:bCs/>
          <w:i/>
          <w:sz w:val="20"/>
          <w:szCs w:val="20"/>
        </w:rPr>
        <w:t>CONSIDERING</w:t>
      </w:r>
      <w:r w:rsidRPr="001C249F">
        <w:rPr>
          <w:rFonts w:ascii="Cambria" w:eastAsia="Times New Roman" w:hAnsi="Cambria" w:cs="Times New Roman"/>
          <w:bCs/>
          <w:i/>
          <w:sz w:val="20"/>
          <w:szCs w:val="20"/>
          <w:lang w:val="en-US"/>
        </w:rPr>
        <w:t xml:space="preserve"> </w:t>
      </w:r>
      <w:r w:rsidRPr="001C249F">
        <w:rPr>
          <w:rFonts w:ascii="Cambria" w:eastAsia="Times New Roman" w:hAnsi="Cambria" w:cs="Times New Roman"/>
          <w:bCs/>
          <w:sz w:val="20"/>
          <w:szCs w:val="20"/>
          <w:lang w:val="en-US"/>
        </w:rPr>
        <w:t xml:space="preserve">that the </w:t>
      </w:r>
      <w:r w:rsidRPr="001C249F">
        <w:rPr>
          <w:rFonts w:ascii="Cambria" w:eastAsia="Times New Roman" w:hAnsi="Cambria" w:cs="Segoe UI"/>
          <w:bCs/>
          <w:sz w:val="20"/>
          <w:szCs w:val="20"/>
          <w:lang w:val="en-US"/>
        </w:rPr>
        <w:t xml:space="preserve">obligation set out in paragraph 12 </w:t>
      </w:r>
      <w:r w:rsidRPr="001C249F">
        <w:rPr>
          <w:rFonts w:ascii="Cambria" w:eastAsia="Times New Roman" w:hAnsi="Cambria" w:cs="Times New Roman"/>
          <w:bCs/>
          <w:sz w:val="20"/>
          <w:szCs w:val="20"/>
          <w:lang w:val="en-US"/>
        </w:rPr>
        <w:t xml:space="preserve">of </w:t>
      </w:r>
      <w:r w:rsidRPr="001C249F">
        <w:rPr>
          <w:rFonts w:ascii="Cambria" w:eastAsia="Times New Roman" w:hAnsi="Cambria" w:cs="Segoe UI"/>
          <w:bCs/>
          <w:i/>
          <w:sz w:val="20"/>
          <w:szCs w:val="20"/>
          <w:lang w:val="en-US"/>
        </w:rPr>
        <w:t xml:space="preserve">Recommendation by ICCAT replacing the Recommendation 13-04 and establishing a multi-annual recovery plan for Mediterranean swordfish </w:t>
      </w:r>
      <w:r w:rsidRPr="001C249F">
        <w:rPr>
          <w:rFonts w:ascii="Cambria" w:eastAsia="Times New Roman" w:hAnsi="Cambria" w:cs="Times New Roman"/>
          <w:bCs/>
          <w:sz w:val="20"/>
          <w:szCs w:val="20"/>
          <w:lang w:val="en-US"/>
        </w:rPr>
        <w:t>(Rec. 16-05)</w:t>
      </w:r>
      <w:r w:rsidRPr="001C249F">
        <w:rPr>
          <w:rFonts w:ascii="Cambria" w:eastAsia="Times New Roman" w:hAnsi="Cambria" w:cs="Segoe UI"/>
          <w:bCs/>
          <w:i/>
          <w:sz w:val="20"/>
          <w:szCs w:val="20"/>
          <w:lang w:val="en-US"/>
        </w:rPr>
        <w:t xml:space="preserve"> </w:t>
      </w:r>
      <w:r w:rsidRPr="001C249F">
        <w:rPr>
          <w:rFonts w:ascii="Cambria" w:eastAsia="Times New Roman" w:hAnsi="Cambria" w:cs="Segoe UI"/>
          <w:bCs/>
          <w:sz w:val="20"/>
          <w:szCs w:val="20"/>
          <w:lang w:val="en-US"/>
        </w:rPr>
        <w:t>introducing</w:t>
      </w:r>
      <w:r w:rsidRPr="001C249F">
        <w:rPr>
          <w:rFonts w:ascii="Cambria" w:eastAsia="Times New Roman" w:hAnsi="Cambria" w:cs="Times New Roman"/>
          <w:bCs/>
          <w:sz w:val="20"/>
          <w:szCs w:val="20"/>
          <w:lang w:val="en-US"/>
        </w:rPr>
        <w:t xml:space="preserve"> a closure period </w:t>
      </w:r>
      <w:r w:rsidRPr="001C249F">
        <w:rPr>
          <w:rFonts w:ascii="Cambria" w:eastAsia="Times New Roman" w:hAnsi="Cambria" w:cs="Times New Roman"/>
          <w:bCs/>
          <w:sz w:val="20"/>
          <w:szCs w:val="20"/>
        </w:rPr>
        <w:t xml:space="preserve">from 1 October to 30 November </w:t>
      </w:r>
      <w:r w:rsidRPr="001C249F">
        <w:rPr>
          <w:rFonts w:ascii="Cambria" w:eastAsia="Times New Roman" w:hAnsi="Cambria" w:cs="Times New Roman"/>
          <w:bCs/>
          <w:sz w:val="20"/>
          <w:szCs w:val="20"/>
          <w:lang w:val="en-US"/>
        </w:rPr>
        <w:t>for the longline fisheries targeting Mediterranean albacore (</w:t>
      </w:r>
      <w:r w:rsidRPr="001C249F">
        <w:rPr>
          <w:rFonts w:ascii="Cambria" w:eastAsia="Times New Roman" w:hAnsi="Cambria" w:cs="Times New Roman"/>
          <w:bCs/>
          <w:i/>
          <w:sz w:val="20"/>
          <w:szCs w:val="20"/>
          <w:lang w:val="en-US"/>
        </w:rPr>
        <w:t>Thunnus</w:t>
      </w:r>
      <w:r w:rsidRPr="001C249F">
        <w:rPr>
          <w:rFonts w:ascii="Cambria" w:eastAsia="Times New Roman" w:hAnsi="Cambria" w:cs="Segoe UI"/>
          <w:bCs/>
          <w:i/>
          <w:iCs/>
          <w:sz w:val="20"/>
          <w:szCs w:val="20"/>
          <w:lang w:val="en-US"/>
        </w:rPr>
        <w:t xml:space="preserve"> </w:t>
      </w:r>
      <w:r w:rsidRPr="001C249F">
        <w:rPr>
          <w:rFonts w:ascii="Cambria" w:eastAsia="Times New Roman" w:hAnsi="Cambria" w:cs="Times New Roman"/>
          <w:bCs/>
          <w:i/>
          <w:sz w:val="20"/>
          <w:szCs w:val="20"/>
          <w:lang w:val="en-US"/>
        </w:rPr>
        <w:t>alalunga)</w:t>
      </w:r>
      <w:r w:rsidRPr="001C249F">
        <w:rPr>
          <w:rFonts w:ascii="Cambria" w:eastAsia="Times New Roman" w:hAnsi="Cambria" w:cs="Times New Roman"/>
          <w:bCs/>
          <w:sz w:val="20"/>
          <w:szCs w:val="20"/>
          <w:lang w:val="en-US"/>
        </w:rPr>
        <w:t>, with the aim of protecting juveniles of Mediterranean swordfish (</w:t>
      </w:r>
      <w:r w:rsidRPr="001C249F">
        <w:rPr>
          <w:rFonts w:ascii="Cambria" w:eastAsia="Times New Roman" w:hAnsi="Cambria" w:cs="Times New Roman"/>
          <w:bCs/>
          <w:i/>
          <w:sz w:val="20"/>
          <w:szCs w:val="20"/>
          <w:lang w:val="en-US"/>
        </w:rPr>
        <w:t>Xiphias</w:t>
      </w:r>
      <w:r w:rsidRPr="001C249F">
        <w:rPr>
          <w:rFonts w:ascii="Cambria" w:eastAsia="Times New Roman" w:hAnsi="Cambria" w:cs="Segoe UI"/>
          <w:bCs/>
          <w:i/>
          <w:iCs/>
          <w:sz w:val="20"/>
          <w:szCs w:val="20"/>
          <w:lang w:val="en-US"/>
        </w:rPr>
        <w:t xml:space="preserve"> </w:t>
      </w:r>
      <w:r w:rsidRPr="001C249F">
        <w:rPr>
          <w:rFonts w:ascii="Cambria" w:eastAsia="Times New Roman" w:hAnsi="Cambria" w:cs="Times New Roman"/>
          <w:bCs/>
          <w:i/>
          <w:sz w:val="20"/>
          <w:szCs w:val="20"/>
          <w:lang w:val="en-US"/>
        </w:rPr>
        <w:t>gladius</w:t>
      </w:r>
      <w:r w:rsidRPr="001C249F">
        <w:rPr>
          <w:rFonts w:ascii="Cambria" w:eastAsia="Times New Roman" w:hAnsi="Cambria" w:cs="Segoe UI"/>
          <w:bCs/>
          <w:i/>
          <w:iCs/>
          <w:sz w:val="20"/>
          <w:szCs w:val="20"/>
          <w:lang w:val="en-US"/>
        </w:rPr>
        <w:t xml:space="preserve">), </w:t>
      </w:r>
      <w:r w:rsidRPr="001C249F">
        <w:rPr>
          <w:rFonts w:ascii="Cambria" w:eastAsia="Times New Roman" w:hAnsi="Cambria" w:cs="Times New Roman"/>
          <w:bCs/>
          <w:sz w:val="20"/>
          <w:szCs w:val="20"/>
        </w:rPr>
        <w:t xml:space="preserve">should continue to be implemented by all </w:t>
      </w:r>
      <w:proofErr w:type="gramStart"/>
      <w:r w:rsidRPr="001C249F">
        <w:rPr>
          <w:rFonts w:ascii="Cambria" w:eastAsia="Times New Roman" w:hAnsi="Cambria" w:cs="Times New Roman"/>
          <w:bCs/>
          <w:sz w:val="20"/>
          <w:szCs w:val="20"/>
        </w:rPr>
        <w:t>CPCs</w:t>
      </w:r>
      <w:r w:rsidRPr="001C249F">
        <w:rPr>
          <w:rFonts w:ascii="Cambria" w:eastAsia="Times New Roman" w:hAnsi="Cambria" w:cs="Segoe UI"/>
          <w:bCs/>
          <w:sz w:val="20"/>
          <w:szCs w:val="20"/>
          <w:lang w:val="en-US"/>
        </w:rPr>
        <w:t>;</w:t>
      </w:r>
      <w:proofErr w:type="gramEnd"/>
    </w:p>
    <w:p w14:paraId="71D29118" w14:textId="77777777" w:rsidR="009C7490" w:rsidRPr="001C249F" w:rsidRDefault="009C7490" w:rsidP="009C7490">
      <w:pPr>
        <w:spacing w:after="0" w:line="240" w:lineRule="auto"/>
        <w:jc w:val="both"/>
        <w:textAlignment w:val="baseline"/>
        <w:rPr>
          <w:rFonts w:ascii="Segoe UI" w:eastAsia="Times New Roman" w:hAnsi="Segoe UI" w:cs="Times New Roman"/>
          <w:sz w:val="20"/>
          <w:szCs w:val="20"/>
          <w:lang w:val="en-US"/>
        </w:rPr>
      </w:pPr>
      <w:r w:rsidRPr="001C249F">
        <w:rPr>
          <w:rFonts w:ascii="Cambria" w:eastAsia="Times New Roman" w:hAnsi="Cambria" w:cs="Times New Roman"/>
          <w:sz w:val="20"/>
          <w:szCs w:val="20"/>
          <w:lang w:val="en-US"/>
        </w:rPr>
        <w:t> </w:t>
      </w:r>
    </w:p>
    <w:p w14:paraId="36153E5B" w14:textId="77777777" w:rsidR="009C7490" w:rsidRPr="001C249F" w:rsidRDefault="009C7490" w:rsidP="009C7490">
      <w:pPr>
        <w:spacing w:after="0" w:line="240" w:lineRule="auto"/>
        <w:ind w:firstLine="426"/>
        <w:jc w:val="both"/>
        <w:textAlignment w:val="baseline"/>
        <w:rPr>
          <w:rFonts w:ascii="Segoe UI" w:eastAsia="Times New Roman" w:hAnsi="Segoe UI" w:cs="Times New Roman"/>
          <w:sz w:val="20"/>
          <w:szCs w:val="20"/>
          <w:lang w:val="en-US"/>
        </w:rPr>
      </w:pPr>
      <w:r w:rsidRPr="001C249F">
        <w:rPr>
          <w:rFonts w:ascii="Cambria" w:eastAsia="Times New Roman" w:hAnsi="Cambria" w:cs="Times New Roman"/>
          <w:i/>
          <w:color w:val="000000"/>
          <w:sz w:val="20"/>
          <w:szCs w:val="20"/>
          <w:shd w:val="clear" w:color="auto" w:fill="FFFFFF"/>
          <w:lang w:val="en-US"/>
        </w:rPr>
        <w:t xml:space="preserve">ACKNOWLEDGING </w:t>
      </w:r>
      <w:r w:rsidRPr="001C249F">
        <w:rPr>
          <w:rFonts w:ascii="Cambria" w:eastAsia="Times New Roman" w:hAnsi="Cambria" w:cs="Times New Roman"/>
          <w:color w:val="000000"/>
          <w:sz w:val="20"/>
          <w:szCs w:val="20"/>
          <w:shd w:val="clear" w:color="auto" w:fill="FFFFFF"/>
          <w:lang w:val="en-US"/>
        </w:rPr>
        <w:t>that</w:t>
      </w:r>
      <w:r w:rsidRPr="001C249F">
        <w:rPr>
          <w:rFonts w:ascii="Cambria" w:eastAsia="Times New Roman" w:hAnsi="Cambria" w:cs="Segoe UI"/>
          <w:i/>
          <w:iCs/>
          <w:color w:val="000000"/>
          <w:sz w:val="20"/>
          <w:szCs w:val="20"/>
          <w:shd w:val="clear" w:color="auto" w:fill="FFFFFF"/>
          <w:lang w:val="en-US"/>
        </w:rPr>
        <w:t xml:space="preserve"> </w:t>
      </w:r>
      <w:r w:rsidRPr="001C249F">
        <w:rPr>
          <w:rFonts w:ascii="Cambria" w:eastAsia="Times New Roman" w:hAnsi="Cambria" w:cs="Times New Roman"/>
          <w:sz w:val="20"/>
          <w:szCs w:val="20"/>
          <w:lang w:val="en-US"/>
        </w:rPr>
        <w:t>paragraph 11 of</w:t>
      </w:r>
      <w:r w:rsidRPr="001C249F">
        <w:rPr>
          <w:rFonts w:ascii="Cambria" w:eastAsia="Times New Roman" w:hAnsi="Cambria" w:cs="Segoe UI"/>
          <w:sz w:val="20"/>
          <w:szCs w:val="20"/>
          <w:lang w:val="en-US"/>
        </w:rPr>
        <w:t xml:space="preserve"> ICCAT </w:t>
      </w:r>
      <w:r w:rsidRPr="001C249F">
        <w:rPr>
          <w:rFonts w:ascii="Cambria" w:eastAsia="Times New Roman" w:hAnsi="Cambria" w:cs="Segoe UI"/>
          <w:bCs/>
          <w:iCs/>
          <w:sz w:val="20"/>
          <w:szCs w:val="20"/>
          <w:lang w:val="en-US"/>
        </w:rPr>
        <w:t xml:space="preserve">Recommendation </w:t>
      </w:r>
      <w:r w:rsidRPr="001C249F">
        <w:rPr>
          <w:rFonts w:ascii="Cambria" w:eastAsia="Times New Roman" w:hAnsi="Cambria" w:cs="Times New Roman"/>
          <w:bCs/>
          <w:iCs/>
          <w:sz w:val="20"/>
          <w:szCs w:val="20"/>
          <w:lang w:val="en-US"/>
        </w:rPr>
        <w:t xml:space="preserve">16-05 </w:t>
      </w:r>
      <w:r w:rsidRPr="001C249F">
        <w:rPr>
          <w:rFonts w:ascii="Cambria" w:eastAsia="Times New Roman" w:hAnsi="Cambria" w:cs="Segoe UI"/>
          <w:bCs/>
          <w:iCs/>
          <w:sz w:val="20"/>
          <w:szCs w:val="20"/>
          <w:lang w:val="en-US"/>
        </w:rPr>
        <w:t>on Mediterranean swordfish</w:t>
      </w:r>
      <w:r w:rsidRPr="001C249F">
        <w:rPr>
          <w:rFonts w:ascii="Cambria" w:eastAsia="Times New Roman" w:hAnsi="Cambria" w:cs="Segoe UI"/>
          <w:bCs/>
          <w:i/>
          <w:sz w:val="20"/>
          <w:szCs w:val="20"/>
          <w:lang w:val="en-US"/>
        </w:rPr>
        <w:t xml:space="preserve"> </w:t>
      </w:r>
      <w:r w:rsidRPr="001C249F">
        <w:rPr>
          <w:rFonts w:ascii="Cambria" w:eastAsia="Times New Roman" w:hAnsi="Cambria" w:cs="Times New Roman"/>
          <w:sz w:val="20"/>
          <w:szCs w:val="20"/>
          <w:lang w:val="en-US"/>
        </w:rPr>
        <w:t xml:space="preserve">foresees two alternative closure periods for </w:t>
      </w:r>
      <w:r w:rsidRPr="001C249F">
        <w:rPr>
          <w:rFonts w:ascii="Cambria" w:eastAsia="Times New Roman" w:hAnsi="Cambria" w:cs="Segoe UI"/>
          <w:sz w:val="20"/>
          <w:szCs w:val="20"/>
          <w:lang w:val="en-US"/>
        </w:rPr>
        <w:t xml:space="preserve">this </w:t>
      </w:r>
      <w:r w:rsidRPr="001C249F">
        <w:rPr>
          <w:rFonts w:ascii="Cambria" w:eastAsia="Times New Roman" w:hAnsi="Cambria" w:cs="Times New Roman"/>
          <w:sz w:val="20"/>
          <w:szCs w:val="20"/>
          <w:lang w:val="en-US"/>
        </w:rPr>
        <w:t>fishery and these closures also affect albacore fisheries in the</w:t>
      </w:r>
      <w:r w:rsidRPr="001C249F">
        <w:rPr>
          <w:rFonts w:ascii="Cambria" w:eastAsia="Times New Roman" w:hAnsi="Cambria" w:cs="Segoe UI"/>
          <w:sz w:val="20"/>
          <w:szCs w:val="20"/>
          <w:lang w:val="en-US"/>
        </w:rPr>
        <w:t xml:space="preserve"> </w:t>
      </w:r>
      <w:proofErr w:type="gramStart"/>
      <w:r w:rsidRPr="001C249F">
        <w:rPr>
          <w:rFonts w:ascii="Cambria" w:eastAsia="Times New Roman" w:hAnsi="Cambria" w:cs="Times New Roman"/>
          <w:sz w:val="20"/>
          <w:szCs w:val="20"/>
          <w:lang w:val="en-US"/>
        </w:rPr>
        <w:t>Mediterranean;</w:t>
      </w:r>
      <w:proofErr w:type="gramEnd"/>
    </w:p>
    <w:p w14:paraId="6805ED9E" w14:textId="77777777" w:rsidR="009C7490" w:rsidRPr="001C249F" w:rsidRDefault="009C7490" w:rsidP="009C7490">
      <w:pPr>
        <w:spacing w:after="0" w:line="240" w:lineRule="auto"/>
        <w:ind w:firstLine="555"/>
        <w:jc w:val="both"/>
        <w:textAlignment w:val="baseline"/>
        <w:rPr>
          <w:rFonts w:ascii="Segoe UI" w:eastAsia="Times New Roman" w:hAnsi="Segoe UI" w:cs="Times New Roman"/>
          <w:sz w:val="20"/>
          <w:szCs w:val="20"/>
          <w:lang w:val="en-US"/>
        </w:rPr>
      </w:pPr>
      <w:r w:rsidRPr="001C249F">
        <w:rPr>
          <w:rFonts w:ascii="Cambria" w:eastAsia="Times New Roman" w:hAnsi="Cambria" w:cs="Times New Roman"/>
          <w:sz w:val="20"/>
          <w:szCs w:val="20"/>
          <w:lang w:val="en-US"/>
        </w:rPr>
        <w:t> </w:t>
      </w:r>
    </w:p>
    <w:p w14:paraId="4679A7F4" w14:textId="77777777" w:rsidR="009C7490" w:rsidRPr="001C249F" w:rsidRDefault="009C7490" w:rsidP="009C7490">
      <w:pPr>
        <w:spacing w:after="0" w:line="240" w:lineRule="auto"/>
        <w:ind w:firstLine="426"/>
        <w:jc w:val="both"/>
        <w:textAlignment w:val="baseline"/>
        <w:rPr>
          <w:rFonts w:ascii="Segoe UI" w:eastAsia="Times New Roman" w:hAnsi="Segoe UI" w:cs="Times New Roman"/>
          <w:sz w:val="20"/>
          <w:szCs w:val="20"/>
          <w:lang w:val="en-US"/>
        </w:rPr>
      </w:pPr>
      <w:r w:rsidRPr="001C249F">
        <w:rPr>
          <w:rFonts w:ascii="Cambria" w:eastAsia="Times New Roman" w:hAnsi="Cambria" w:cs="Times New Roman"/>
          <w:i/>
          <w:sz w:val="20"/>
          <w:szCs w:val="20"/>
          <w:lang w:val="en-US"/>
        </w:rPr>
        <w:t>ACKNOWLEDGING</w:t>
      </w:r>
      <w:r w:rsidRPr="001C249F">
        <w:rPr>
          <w:rFonts w:ascii="Cambria" w:eastAsia="Times New Roman" w:hAnsi="Cambria" w:cs="Segoe UI"/>
          <w:i/>
          <w:iCs/>
          <w:sz w:val="20"/>
          <w:szCs w:val="20"/>
          <w:lang w:val="en-US"/>
        </w:rPr>
        <w:t xml:space="preserve"> </w:t>
      </w:r>
      <w:r w:rsidRPr="001C249F">
        <w:rPr>
          <w:rFonts w:ascii="Cambria" w:eastAsia="Times New Roman" w:hAnsi="Cambria" w:cs="Times New Roman"/>
          <w:sz w:val="20"/>
          <w:szCs w:val="20"/>
          <w:lang w:val="en-US"/>
        </w:rPr>
        <w:t>the socio-economic dimension of small-scale Mediterranean fisheries and the need for a gradual approach and flexibility in managing these</w:t>
      </w:r>
      <w:r w:rsidRPr="001C249F">
        <w:rPr>
          <w:rFonts w:ascii="Cambria" w:eastAsia="Times New Roman" w:hAnsi="Cambria" w:cs="Segoe UI"/>
          <w:sz w:val="20"/>
          <w:szCs w:val="20"/>
          <w:lang w:val="en-US"/>
        </w:rPr>
        <w:t xml:space="preserve"> </w:t>
      </w:r>
      <w:proofErr w:type="gramStart"/>
      <w:r w:rsidRPr="001C249F">
        <w:rPr>
          <w:rFonts w:ascii="Cambria" w:eastAsia="Times New Roman" w:hAnsi="Cambria" w:cs="Times New Roman"/>
          <w:sz w:val="20"/>
          <w:szCs w:val="20"/>
          <w:lang w:val="en-US"/>
        </w:rPr>
        <w:t>fisheries;</w:t>
      </w:r>
      <w:proofErr w:type="gramEnd"/>
    </w:p>
    <w:p w14:paraId="442D2883" w14:textId="77777777" w:rsidR="009C7490" w:rsidRPr="001C249F" w:rsidRDefault="009C7490" w:rsidP="009C7490">
      <w:pPr>
        <w:spacing w:after="0" w:line="240" w:lineRule="auto"/>
        <w:jc w:val="both"/>
        <w:textAlignment w:val="baseline"/>
        <w:rPr>
          <w:rFonts w:ascii="Segoe UI" w:eastAsia="Times New Roman" w:hAnsi="Segoe UI" w:cs="Times New Roman"/>
          <w:sz w:val="20"/>
          <w:szCs w:val="20"/>
          <w:lang w:val="en-US"/>
        </w:rPr>
      </w:pPr>
      <w:r w:rsidRPr="001C249F">
        <w:rPr>
          <w:rFonts w:ascii="Cambria" w:eastAsia="Times New Roman" w:hAnsi="Cambria" w:cs="Times New Roman"/>
          <w:sz w:val="20"/>
          <w:szCs w:val="20"/>
          <w:lang w:val="en-US"/>
        </w:rPr>
        <w:t> </w:t>
      </w:r>
    </w:p>
    <w:p w14:paraId="13780082" w14:textId="40BFBC66" w:rsidR="009C7490" w:rsidRPr="001C249F" w:rsidRDefault="009C7490" w:rsidP="009C7490">
      <w:pPr>
        <w:spacing w:after="0" w:line="240" w:lineRule="auto"/>
        <w:ind w:firstLine="426"/>
        <w:jc w:val="both"/>
        <w:textAlignment w:val="baseline"/>
        <w:rPr>
          <w:rFonts w:ascii="Segoe UI" w:eastAsia="Times New Roman" w:hAnsi="Segoe UI" w:cs="Times New Roman"/>
          <w:sz w:val="20"/>
          <w:szCs w:val="20"/>
          <w:lang w:val="en-US"/>
        </w:rPr>
      </w:pPr>
      <w:r w:rsidRPr="001C249F">
        <w:rPr>
          <w:rFonts w:ascii="Cambria" w:eastAsia="Times New Roman" w:hAnsi="Cambria" w:cs="Times New Roman"/>
          <w:i/>
          <w:sz w:val="20"/>
          <w:szCs w:val="20"/>
          <w:lang w:val="en-US"/>
        </w:rPr>
        <w:t>RECALLING</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the importance that all fleets participating in</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Mediterranean</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albacore</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fisheries</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submit the required data (catch, effort and catch-at-size) on their fisheries for transmission to the</w:t>
      </w:r>
      <w:r w:rsidRPr="001C249F">
        <w:rPr>
          <w:rFonts w:ascii="Cambria" w:eastAsia="Times New Roman" w:hAnsi="Cambria" w:cs="Segoe UI"/>
          <w:sz w:val="20"/>
          <w:szCs w:val="20"/>
          <w:lang w:val="en-US"/>
        </w:rPr>
        <w:t xml:space="preserve"> </w:t>
      </w:r>
      <w:proofErr w:type="gramStart"/>
      <w:r w:rsidRPr="001C249F">
        <w:rPr>
          <w:rFonts w:ascii="Cambria" w:eastAsia="Times New Roman" w:hAnsi="Cambria" w:cs="Times New Roman"/>
          <w:sz w:val="20"/>
          <w:szCs w:val="20"/>
          <w:lang w:val="en-US"/>
        </w:rPr>
        <w:t>SCRS;</w:t>
      </w:r>
      <w:proofErr w:type="gramEnd"/>
    </w:p>
    <w:p w14:paraId="503BBE0A" w14:textId="77777777" w:rsidR="00F41101" w:rsidRPr="001C249F" w:rsidRDefault="00F41101" w:rsidP="00F41101">
      <w:pPr>
        <w:spacing w:after="0" w:line="240" w:lineRule="auto"/>
        <w:ind w:firstLine="555"/>
        <w:jc w:val="both"/>
        <w:textAlignment w:val="baseline"/>
        <w:rPr>
          <w:rFonts w:ascii="Cambria" w:eastAsia="Times New Roman" w:hAnsi="Cambria" w:cs="Segoe UI"/>
          <w:sz w:val="20"/>
          <w:szCs w:val="20"/>
          <w:lang w:val="en-US"/>
        </w:rPr>
      </w:pPr>
    </w:p>
    <w:p w14:paraId="21EF5282" w14:textId="2DBDDF02" w:rsidR="009C7490" w:rsidRPr="001C249F" w:rsidRDefault="00F41101" w:rsidP="00F41101">
      <w:pPr>
        <w:spacing w:after="0" w:line="240" w:lineRule="auto"/>
        <w:ind w:firstLine="426"/>
        <w:jc w:val="both"/>
        <w:textAlignment w:val="baseline"/>
        <w:rPr>
          <w:rFonts w:ascii="Cambria" w:eastAsia="Times New Roman" w:hAnsi="Cambria" w:cs="Segoe UI"/>
          <w:sz w:val="20"/>
          <w:szCs w:val="20"/>
          <w:lang w:val="en-US"/>
        </w:rPr>
      </w:pPr>
      <w:r w:rsidRPr="001C249F">
        <w:rPr>
          <w:rFonts w:ascii="Cambria" w:hAnsi="Cambria"/>
          <w:i/>
          <w:sz w:val="20"/>
          <w:lang w:val="en-US"/>
        </w:rPr>
        <w:t>CONSIDERING</w:t>
      </w:r>
      <w:r w:rsidRPr="001C249F">
        <w:rPr>
          <w:rFonts w:ascii="Cambria" w:hAnsi="Cambria"/>
          <w:sz w:val="20"/>
          <w:lang w:val="en-US"/>
        </w:rPr>
        <w:t xml:space="preserve"> the outcome of the </w:t>
      </w:r>
      <w:r w:rsidR="00B23D71" w:rsidRPr="001C249F">
        <w:rPr>
          <w:rFonts w:ascii="Cambria" w:hAnsi="Cambria"/>
          <w:sz w:val="20"/>
          <w:lang w:val="en-US"/>
        </w:rPr>
        <w:t xml:space="preserve">Ad Hoc Working Group on Mediterranean </w:t>
      </w:r>
      <w:r w:rsidR="00675D26" w:rsidRPr="001C249F">
        <w:rPr>
          <w:rFonts w:ascii="Cambria" w:hAnsi="Cambria"/>
          <w:sz w:val="20"/>
          <w:lang w:val="en-US"/>
        </w:rPr>
        <w:t>a</w:t>
      </w:r>
      <w:r w:rsidR="00B23D71" w:rsidRPr="001C249F">
        <w:rPr>
          <w:rFonts w:ascii="Cambria" w:hAnsi="Cambria"/>
          <w:sz w:val="20"/>
          <w:lang w:val="en-US"/>
        </w:rPr>
        <w:t xml:space="preserve">lbacore </w:t>
      </w:r>
      <w:r w:rsidRPr="001C249F">
        <w:rPr>
          <w:rFonts w:ascii="Cambria" w:hAnsi="Cambria"/>
          <w:sz w:val="20"/>
          <w:lang w:val="en-US"/>
        </w:rPr>
        <w:t>meeting held online on 9-10</w:t>
      </w:r>
      <w:r w:rsidR="00675D26" w:rsidRPr="001C249F">
        <w:rPr>
          <w:rFonts w:ascii="Cambria" w:hAnsi="Cambria"/>
          <w:sz w:val="20"/>
          <w:lang w:val="en-US"/>
        </w:rPr>
        <w:t xml:space="preserve"> February</w:t>
      </w:r>
      <w:r w:rsidRPr="001C249F">
        <w:rPr>
          <w:rFonts w:ascii="Cambria" w:hAnsi="Cambria"/>
          <w:sz w:val="20"/>
          <w:lang w:val="en-US"/>
        </w:rPr>
        <w:t xml:space="preserve"> </w:t>
      </w:r>
      <w:proofErr w:type="gramStart"/>
      <w:r w:rsidRPr="001C249F">
        <w:rPr>
          <w:rFonts w:ascii="Cambria" w:hAnsi="Cambria"/>
          <w:sz w:val="20"/>
          <w:lang w:val="en-US"/>
        </w:rPr>
        <w:t>2022</w:t>
      </w:r>
      <w:r w:rsidR="00840371" w:rsidRPr="001C249F">
        <w:rPr>
          <w:rFonts w:ascii="Cambria" w:eastAsia="Times New Roman" w:hAnsi="Cambria" w:cs="Segoe UI"/>
          <w:sz w:val="20"/>
          <w:szCs w:val="20"/>
          <w:lang w:val="en-US"/>
        </w:rPr>
        <w:t xml:space="preserve"> </w:t>
      </w:r>
      <w:r w:rsidRPr="001C249F">
        <w:rPr>
          <w:rFonts w:ascii="Cambria" w:eastAsia="Times New Roman" w:hAnsi="Cambria" w:cs="Segoe UI"/>
          <w:sz w:val="20"/>
          <w:szCs w:val="20"/>
          <w:lang w:val="en-US"/>
        </w:rPr>
        <w:t>;</w:t>
      </w:r>
      <w:proofErr w:type="gramEnd"/>
      <w:r w:rsidR="00A012E0" w:rsidRPr="001C249F">
        <w:rPr>
          <w:rFonts w:ascii="Cambria" w:eastAsia="Times New Roman" w:hAnsi="Cambria" w:cs="Segoe UI"/>
          <w:sz w:val="20"/>
          <w:szCs w:val="20"/>
          <w:lang w:val="en-US"/>
        </w:rPr>
        <w:t xml:space="preserve"> and</w:t>
      </w:r>
    </w:p>
    <w:p w14:paraId="498822E7" w14:textId="77777777" w:rsidR="00635DBE" w:rsidRPr="001C249F" w:rsidRDefault="00635DBE" w:rsidP="00F41101">
      <w:pPr>
        <w:spacing w:after="0" w:line="240" w:lineRule="auto"/>
        <w:ind w:firstLine="426"/>
        <w:jc w:val="both"/>
        <w:textAlignment w:val="baseline"/>
        <w:rPr>
          <w:rFonts w:ascii="Cambria" w:eastAsia="Times New Roman" w:hAnsi="Cambria" w:cs="Segoe UI"/>
          <w:sz w:val="20"/>
          <w:szCs w:val="20"/>
          <w:lang w:val="en-US"/>
        </w:rPr>
      </w:pPr>
    </w:p>
    <w:p w14:paraId="5889162E" w14:textId="0AF13FCF" w:rsidR="00840371" w:rsidRPr="001C249F" w:rsidRDefault="00840371" w:rsidP="00F41101">
      <w:pPr>
        <w:spacing w:after="0" w:line="240" w:lineRule="auto"/>
        <w:ind w:firstLine="426"/>
        <w:jc w:val="both"/>
        <w:textAlignment w:val="baseline"/>
        <w:rPr>
          <w:rFonts w:ascii="Cambria" w:eastAsia="Times New Roman" w:hAnsi="Cambria" w:cs="Segoe UI"/>
          <w:sz w:val="20"/>
          <w:szCs w:val="20"/>
          <w:lang w:val="en-US"/>
        </w:rPr>
      </w:pPr>
      <w:r w:rsidRPr="001C249F">
        <w:rPr>
          <w:rFonts w:ascii="Cambria" w:eastAsia="Times New Roman" w:hAnsi="Cambria" w:cs="Segoe UI"/>
          <w:i/>
          <w:iCs/>
          <w:sz w:val="20"/>
          <w:szCs w:val="20"/>
          <w:lang w:val="en-US"/>
        </w:rPr>
        <w:t>FURTHER CONSIDERING</w:t>
      </w:r>
      <w:r w:rsidRPr="001C249F">
        <w:rPr>
          <w:rFonts w:ascii="Cambria" w:eastAsia="Times New Roman" w:hAnsi="Cambria" w:cs="Segoe UI"/>
          <w:sz w:val="20"/>
          <w:szCs w:val="20"/>
          <w:lang w:val="en-US"/>
        </w:rPr>
        <w:t xml:space="preserve"> the trilateral discussions between European Union, Egypt and </w:t>
      </w:r>
      <w:proofErr w:type="spellStart"/>
      <w:r w:rsidRPr="001C249F">
        <w:rPr>
          <w:rFonts w:ascii="Cambria" w:eastAsia="Times New Roman" w:hAnsi="Cambria" w:cs="Segoe UI"/>
          <w:sz w:val="20"/>
          <w:szCs w:val="20"/>
          <w:lang w:val="en-US"/>
        </w:rPr>
        <w:t>Türkiye</w:t>
      </w:r>
      <w:proofErr w:type="spellEnd"/>
      <w:r w:rsidRPr="001C249F">
        <w:rPr>
          <w:rFonts w:ascii="Cambria" w:eastAsia="Times New Roman" w:hAnsi="Cambria" w:cs="Segoe UI"/>
          <w:sz w:val="20"/>
          <w:szCs w:val="20"/>
          <w:lang w:val="en-US"/>
        </w:rPr>
        <w:t xml:space="preserve"> at the 2022 ICCAT Annual </w:t>
      </w:r>
      <w:proofErr w:type="gramStart"/>
      <w:r w:rsidRPr="001C249F">
        <w:rPr>
          <w:rFonts w:ascii="Cambria" w:eastAsia="Times New Roman" w:hAnsi="Cambria" w:cs="Segoe UI"/>
          <w:sz w:val="20"/>
          <w:szCs w:val="20"/>
          <w:lang w:val="en-US"/>
        </w:rPr>
        <w:t>meeting;</w:t>
      </w:r>
      <w:proofErr w:type="gramEnd"/>
      <w:r w:rsidRPr="001C249F">
        <w:rPr>
          <w:rFonts w:ascii="Cambria" w:eastAsia="Times New Roman" w:hAnsi="Cambria" w:cs="Segoe UI"/>
          <w:sz w:val="20"/>
          <w:szCs w:val="20"/>
          <w:lang w:val="en-US"/>
        </w:rPr>
        <w:t xml:space="preserve"> </w:t>
      </w:r>
    </w:p>
    <w:p w14:paraId="46BB4DD6" w14:textId="2344C3CF" w:rsidR="00840371" w:rsidRPr="001C249F" w:rsidRDefault="00840371" w:rsidP="00F41101">
      <w:pPr>
        <w:spacing w:after="0" w:line="240" w:lineRule="auto"/>
        <w:ind w:firstLine="426"/>
        <w:jc w:val="both"/>
        <w:textAlignment w:val="baseline"/>
        <w:rPr>
          <w:rFonts w:ascii="Cambria" w:eastAsia="Times New Roman" w:hAnsi="Cambria" w:cs="Segoe UI"/>
          <w:sz w:val="20"/>
          <w:szCs w:val="20"/>
          <w:lang w:val="en-US"/>
        </w:rPr>
      </w:pPr>
      <w:r w:rsidRPr="001C249F">
        <w:rPr>
          <w:rFonts w:ascii="Cambria" w:eastAsia="Times New Roman" w:hAnsi="Cambria" w:cs="Segoe UI"/>
          <w:sz w:val="20"/>
          <w:szCs w:val="20"/>
          <w:lang w:val="en-US"/>
        </w:rPr>
        <w:t xml:space="preserve"> </w:t>
      </w:r>
    </w:p>
    <w:p w14:paraId="1386F70C" w14:textId="29EFE68B" w:rsidR="00840371" w:rsidRPr="001C249F" w:rsidRDefault="00840371" w:rsidP="00F41101">
      <w:pPr>
        <w:spacing w:after="0" w:line="240" w:lineRule="auto"/>
        <w:ind w:firstLine="426"/>
        <w:jc w:val="both"/>
        <w:textAlignment w:val="baseline"/>
        <w:rPr>
          <w:rFonts w:ascii="Segoe UI" w:eastAsia="Times New Roman" w:hAnsi="Segoe UI" w:cs="Segoe UI"/>
          <w:sz w:val="20"/>
          <w:szCs w:val="20"/>
          <w:lang w:val="en-US"/>
        </w:rPr>
      </w:pPr>
    </w:p>
    <w:p w14:paraId="736C3537" w14:textId="77777777" w:rsidR="00675D26" w:rsidRPr="001C249F" w:rsidRDefault="00675D26" w:rsidP="00F41101">
      <w:pPr>
        <w:spacing w:after="0" w:line="240" w:lineRule="auto"/>
        <w:ind w:firstLine="426"/>
        <w:jc w:val="both"/>
        <w:textAlignment w:val="baseline"/>
        <w:rPr>
          <w:rFonts w:ascii="Segoe UI" w:eastAsia="Times New Roman" w:hAnsi="Segoe UI" w:cs="Segoe UI"/>
          <w:sz w:val="20"/>
          <w:szCs w:val="20"/>
          <w:lang w:val="en-US"/>
        </w:rPr>
      </w:pPr>
    </w:p>
    <w:p w14:paraId="22F7A6AD" w14:textId="68B8E02B" w:rsidR="00635DBE" w:rsidRDefault="00635DBE" w:rsidP="009C7490">
      <w:pPr>
        <w:spacing w:after="0" w:line="240" w:lineRule="auto"/>
        <w:ind w:left="15"/>
        <w:jc w:val="center"/>
        <w:textAlignment w:val="baseline"/>
        <w:rPr>
          <w:rFonts w:ascii="Cambria" w:eastAsia="Times New Roman" w:hAnsi="Cambria" w:cs="Times New Roman"/>
          <w:sz w:val="20"/>
          <w:szCs w:val="20"/>
        </w:rPr>
      </w:pPr>
    </w:p>
    <w:p w14:paraId="177CD0DA" w14:textId="77777777" w:rsidR="00081AAC" w:rsidRPr="001C249F" w:rsidRDefault="00081AAC" w:rsidP="009C7490">
      <w:pPr>
        <w:spacing w:after="0" w:line="240" w:lineRule="auto"/>
        <w:ind w:left="15"/>
        <w:jc w:val="center"/>
        <w:textAlignment w:val="baseline"/>
        <w:rPr>
          <w:rFonts w:ascii="Cambria" w:eastAsia="Times New Roman" w:hAnsi="Cambria" w:cs="Times New Roman"/>
          <w:sz w:val="20"/>
          <w:szCs w:val="20"/>
        </w:rPr>
      </w:pPr>
    </w:p>
    <w:p w14:paraId="598744D0" w14:textId="77777777" w:rsidR="00635DBE" w:rsidRPr="001C249F" w:rsidRDefault="00635DBE" w:rsidP="009C7490">
      <w:pPr>
        <w:spacing w:after="0" w:line="240" w:lineRule="auto"/>
        <w:ind w:left="15"/>
        <w:jc w:val="center"/>
        <w:textAlignment w:val="baseline"/>
        <w:rPr>
          <w:rFonts w:ascii="Cambria" w:eastAsia="Times New Roman" w:hAnsi="Cambria" w:cs="Times New Roman"/>
          <w:sz w:val="20"/>
          <w:szCs w:val="20"/>
        </w:rPr>
      </w:pPr>
    </w:p>
    <w:p w14:paraId="753D04FD" w14:textId="30C6F0B4" w:rsidR="009C7490" w:rsidRPr="001C249F" w:rsidRDefault="009C7490" w:rsidP="009C7490">
      <w:pPr>
        <w:spacing w:after="0" w:line="240" w:lineRule="auto"/>
        <w:ind w:left="15"/>
        <w:jc w:val="center"/>
        <w:textAlignment w:val="baseline"/>
        <w:rPr>
          <w:rFonts w:ascii="Cambria" w:eastAsia="Times New Roman" w:hAnsi="Cambria" w:cs="Segoe UI"/>
          <w:sz w:val="20"/>
          <w:szCs w:val="20"/>
          <w:lang w:val="en-US"/>
        </w:rPr>
      </w:pPr>
      <w:r w:rsidRPr="001C249F">
        <w:rPr>
          <w:rFonts w:ascii="Cambria" w:eastAsia="Times New Roman" w:hAnsi="Cambria" w:cs="Times New Roman"/>
          <w:sz w:val="20"/>
          <w:szCs w:val="20"/>
        </w:rPr>
        <w:lastRenderedPageBreak/>
        <w:t>THE INTERNATIONAL COMMISSION FOR THE</w:t>
      </w:r>
    </w:p>
    <w:p w14:paraId="40F54DDA" w14:textId="77777777" w:rsidR="009C7490" w:rsidRPr="001C249F" w:rsidRDefault="009C7490" w:rsidP="009C7490">
      <w:pPr>
        <w:spacing w:after="0" w:line="240" w:lineRule="auto"/>
        <w:ind w:left="15"/>
        <w:jc w:val="center"/>
        <w:textAlignment w:val="baseline"/>
        <w:rPr>
          <w:rFonts w:ascii="Segoe UI" w:eastAsia="Times New Roman" w:hAnsi="Segoe UI" w:cs="Times New Roman"/>
          <w:sz w:val="20"/>
          <w:szCs w:val="20"/>
          <w:lang w:val="en-US"/>
        </w:rPr>
      </w:pPr>
      <w:r w:rsidRPr="001C249F">
        <w:rPr>
          <w:rFonts w:ascii="Cambria" w:eastAsia="Times New Roman" w:hAnsi="Cambria" w:cs="Times New Roman"/>
          <w:sz w:val="20"/>
          <w:szCs w:val="20"/>
        </w:rPr>
        <w:t>CONSERVATION OF ATLANTIC TUNA (ICCAT) RECOMMENDS THAT:</w:t>
      </w:r>
      <w:r w:rsidRPr="001C249F">
        <w:rPr>
          <w:rFonts w:ascii="Cambria" w:eastAsia="Times New Roman" w:hAnsi="Cambria" w:cs="Segoe UI"/>
          <w:sz w:val="20"/>
          <w:szCs w:val="20"/>
          <w:lang w:val="en-US"/>
        </w:rPr>
        <w:t> </w:t>
      </w:r>
    </w:p>
    <w:p w14:paraId="1DB88C6C" w14:textId="77777777" w:rsidR="009C7490" w:rsidRPr="001C249F" w:rsidRDefault="009C7490" w:rsidP="009C7490">
      <w:pPr>
        <w:spacing w:after="0" w:line="240" w:lineRule="auto"/>
        <w:ind w:left="375" w:hanging="375"/>
        <w:jc w:val="both"/>
        <w:textAlignment w:val="baseline"/>
        <w:rPr>
          <w:rFonts w:ascii="Segoe UI" w:eastAsia="Times New Roman" w:hAnsi="Segoe UI" w:cs="Times New Roman"/>
          <w:sz w:val="20"/>
          <w:szCs w:val="20"/>
          <w:lang w:val="en-US"/>
        </w:rPr>
      </w:pPr>
      <w:r w:rsidRPr="001C249F">
        <w:rPr>
          <w:rFonts w:ascii="Cambria" w:eastAsia="Times New Roman" w:hAnsi="Cambria" w:cs="Segoe UI"/>
          <w:sz w:val="20"/>
          <w:szCs w:val="20"/>
          <w:lang w:val="en-US"/>
        </w:rPr>
        <w:t> </w:t>
      </w:r>
    </w:p>
    <w:p w14:paraId="4BEFD81C" w14:textId="77777777" w:rsidR="009C7490" w:rsidRPr="001C249F" w:rsidRDefault="009C7490" w:rsidP="009C7490">
      <w:pPr>
        <w:numPr>
          <w:ilvl w:val="0"/>
          <w:numId w:val="3"/>
        </w:numPr>
        <w:spacing w:after="0" w:line="240" w:lineRule="auto"/>
        <w:ind w:left="426" w:hanging="426"/>
        <w:jc w:val="both"/>
        <w:textAlignment w:val="baseline"/>
        <w:rPr>
          <w:rFonts w:ascii="Cambria" w:eastAsia="Times New Roman" w:hAnsi="Cambria" w:cs="Times New Roman"/>
          <w:sz w:val="20"/>
          <w:szCs w:val="20"/>
          <w:lang w:val="en-US"/>
        </w:rPr>
      </w:pPr>
      <w:r w:rsidRPr="001C249F">
        <w:rPr>
          <w:rFonts w:ascii="Cambria" w:eastAsia="Times New Roman" w:hAnsi="Cambria" w:cs="Times New Roman"/>
          <w:sz w:val="20"/>
          <w:szCs w:val="20"/>
          <w:lang w:val="en-US"/>
        </w:rPr>
        <w:t>Contracting Parties,</w:t>
      </w:r>
      <w:r w:rsidRPr="001C249F">
        <w:rPr>
          <w:rFonts w:ascii="Cambria" w:eastAsia="Times New Roman" w:hAnsi="Cambria" w:cs="Segoe UI"/>
          <w:sz w:val="20"/>
          <w:szCs w:val="20"/>
          <w:lang w:val="en-US"/>
        </w:rPr>
        <w:t xml:space="preserve"> </w:t>
      </w:r>
      <w:proofErr w:type="gramStart"/>
      <w:r w:rsidRPr="001C249F">
        <w:rPr>
          <w:rFonts w:ascii="Cambria" w:eastAsia="Times New Roman" w:hAnsi="Cambria" w:cs="Times New Roman"/>
          <w:sz w:val="20"/>
          <w:szCs w:val="20"/>
          <w:lang w:val="en-US"/>
        </w:rPr>
        <w:t>Cooperating</w:t>
      </w:r>
      <w:proofErr w:type="gramEnd"/>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non-Contracting Parties, Entities or Fishing Entities (hereafter referred to as</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CPCs)</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whose</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vessels have been actively fishing for</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albacore tuna (</w:t>
      </w:r>
      <w:r w:rsidRPr="001C249F">
        <w:rPr>
          <w:rFonts w:ascii="Cambria" w:eastAsia="Times New Roman" w:hAnsi="Cambria" w:cs="Times New Roman"/>
          <w:i/>
          <w:sz w:val="20"/>
          <w:szCs w:val="20"/>
          <w:lang w:val="en-US"/>
        </w:rPr>
        <w:t>Thunnus</w:t>
      </w:r>
      <w:r w:rsidRPr="001C249F">
        <w:rPr>
          <w:rFonts w:ascii="Cambria" w:eastAsia="Times New Roman" w:hAnsi="Cambria" w:cs="Segoe UI"/>
          <w:i/>
          <w:sz w:val="20"/>
          <w:szCs w:val="20"/>
          <w:lang w:val="en-US"/>
        </w:rPr>
        <w:t xml:space="preserve"> </w:t>
      </w:r>
      <w:r w:rsidRPr="001C249F">
        <w:rPr>
          <w:rFonts w:ascii="Cambria" w:eastAsia="Times New Roman" w:hAnsi="Cambria" w:cs="Times New Roman"/>
          <w:i/>
          <w:sz w:val="20"/>
          <w:szCs w:val="20"/>
          <w:lang w:val="en-US"/>
        </w:rPr>
        <w:t>alalunga</w:t>
      </w:r>
      <w:r w:rsidRPr="001C249F">
        <w:rPr>
          <w:rFonts w:ascii="Cambria" w:eastAsia="Times New Roman" w:hAnsi="Cambria" w:cs="Times New Roman"/>
          <w:sz w:val="20"/>
          <w:szCs w:val="20"/>
          <w:lang w:val="en-US"/>
        </w:rPr>
        <w:t>) in the</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Mediterranean</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shall implement</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a</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15-year</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rebuilding plan</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starting in 2022</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and continuing through 2036</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with the goal of achieving</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B</w:t>
      </w:r>
      <w:r w:rsidRPr="001C249F">
        <w:rPr>
          <w:rFonts w:ascii="Cambria" w:eastAsia="Times New Roman" w:hAnsi="Cambria" w:cs="Times New Roman"/>
          <w:sz w:val="20"/>
          <w:szCs w:val="20"/>
          <w:vertAlign w:val="subscript"/>
          <w:lang w:val="en-US"/>
        </w:rPr>
        <w:t>MSY</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with</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at least 60% probability.</w:t>
      </w:r>
    </w:p>
    <w:p w14:paraId="4B4291F2" w14:textId="77777777" w:rsidR="009C7490" w:rsidRPr="001C249F" w:rsidRDefault="009C7490" w:rsidP="009C7490">
      <w:pPr>
        <w:spacing w:after="0" w:line="240" w:lineRule="auto"/>
        <w:jc w:val="both"/>
        <w:textAlignment w:val="baseline"/>
        <w:rPr>
          <w:rFonts w:ascii="Segoe UI" w:eastAsia="Times New Roman" w:hAnsi="Segoe UI" w:cs="Times New Roman"/>
          <w:sz w:val="20"/>
          <w:szCs w:val="20"/>
          <w:lang w:val="en-US"/>
        </w:rPr>
      </w:pPr>
      <w:r w:rsidRPr="001C249F">
        <w:rPr>
          <w:rFonts w:ascii="Cambria" w:eastAsia="Times New Roman" w:hAnsi="Cambria" w:cs="Times New Roman"/>
          <w:sz w:val="20"/>
          <w:szCs w:val="20"/>
          <w:lang w:val="en-US"/>
        </w:rPr>
        <w:t> </w:t>
      </w:r>
    </w:p>
    <w:p w14:paraId="34EA59E5" w14:textId="61F17FAB" w:rsidR="009C7490" w:rsidRPr="001C249F" w:rsidRDefault="009C7490" w:rsidP="007B3514">
      <w:pPr>
        <w:numPr>
          <w:ilvl w:val="0"/>
          <w:numId w:val="3"/>
        </w:numPr>
        <w:spacing w:after="0" w:line="240" w:lineRule="auto"/>
        <w:ind w:left="426" w:hanging="426"/>
        <w:jc w:val="both"/>
        <w:textAlignment w:val="baseline"/>
        <w:rPr>
          <w:rFonts w:ascii="Cambria" w:eastAsia="Times New Roman" w:hAnsi="Cambria" w:cs="Segoe UI"/>
          <w:sz w:val="20"/>
          <w:szCs w:val="20"/>
          <w:lang w:val="en-US"/>
        </w:rPr>
      </w:pPr>
      <w:r w:rsidRPr="001C249F">
        <w:rPr>
          <w:rFonts w:ascii="Cambria" w:eastAsia="Times New Roman" w:hAnsi="Cambria" w:cs="Times New Roman"/>
          <w:sz w:val="20"/>
          <w:szCs w:val="20"/>
          <w:lang w:val="en-US"/>
        </w:rPr>
        <w:t>For</w:t>
      </w:r>
      <w:r w:rsidRPr="001C249F">
        <w:rPr>
          <w:rFonts w:ascii="Cambria" w:eastAsia="Times New Roman" w:hAnsi="Cambria" w:cs="Times New Roman"/>
          <w:sz w:val="20"/>
          <w:szCs w:val="20"/>
        </w:rPr>
        <w:t xml:space="preserve"> 2022</w:t>
      </w:r>
      <w:r w:rsidR="005D5254" w:rsidRPr="001C249F">
        <w:rPr>
          <w:rFonts w:ascii="Cambria" w:eastAsia="Times New Roman" w:hAnsi="Cambria" w:cs="Times New Roman"/>
          <w:sz w:val="20"/>
          <w:szCs w:val="20"/>
        </w:rPr>
        <w:t>,</w:t>
      </w:r>
      <w:r w:rsidR="00B23D71" w:rsidRPr="001C249F">
        <w:rPr>
          <w:rFonts w:ascii="Cambria" w:eastAsia="Times New Roman" w:hAnsi="Cambria" w:cs="Times New Roman"/>
          <w:sz w:val="20"/>
          <w:szCs w:val="20"/>
        </w:rPr>
        <w:t xml:space="preserve"> 2023</w:t>
      </w:r>
      <w:r w:rsidR="005D5254" w:rsidRPr="001C249F">
        <w:rPr>
          <w:rFonts w:ascii="Cambria" w:hAnsi="Cambria"/>
          <w:sz w:val="20"/>
        </w:rPr>
        <w:t xml:space="preserve"> </w:t>
      </w:r>
      <w:r w:rsidR="005D5254" w:rsidRPr="001C249F">
        <w:rPr>
          <w:rFonts w:ascii="Cambria" w:hAnsi="Cambria"/>
          <w:bCs/>
          <w:sz w:val="20"/>
        </w:rPr>
        <w:t xml:space="preserve">and </w:t>
      </w:r>
      <w:r w:rsidR="005D5254" w:rsidRPr="001C249F">
        <w:rPr>
          <w:rFonts w:ascii="Cambria" w:eastAsia="Times New Roman" w:hAnsi="Cambria" w:cs="Times New Roman"/>
          <w:bCs/>
          <w:sz w:val="20"/>
          <w:szCs w:val="20"/>
        </w:rPr>
        <w:t>2024</w:t>
      </w:r>
      <w:r w:rsidR="005D5254" w:rsidRPr="001C249F">
        <w:rPr>
          <w:rFonts w:ascii="Cambria" w:hAnsi="Cambria"/>
          <w:sz w:val="20"/>
        </w:rPr>
        <w:t>,</w:t>
      </w:r>
      <w:r w:rsidRPr="001C249F">
        <w:rPr>
          <w:rFonts w:ascii="Cambria" w:hAnsi="Cambria"/>
          <w:sz w:val="20"/>
        </w:rPr>
        <w:t xml:space="preserve"> </w:t>
      </w:r>
      <w:r w:rsidRPr="001C249F">
        <w:rPr>
          <w:rFonts w:ascii="Cambria" w:eastAsia="Times New Roman" w:hAnsi="Cambria" w:cs="Times New Roman"/>
          <w:sz w:val="20"/>
          <w:szCs w:val="20"/>
        </w:rPr>
        <w:t>a</w:t>
      </w:r>
      <w:r w:rsidRPr="001C249F">
        <w:rPr>
          <w:rFonts w:ascii="Cambria" w:eastAsia="Times New Roman" w:hAnsi="Cambria" w:cs="Segoe UI"/>
          <w:sz w:val="20"/>
          <w:szCs w:val="20"/>
        </w:rPr>
        <w:t xml:space="preserve"> </w:t>
      </w:r>
      <w:r w:rsidRPr="001C249F">
        <w:rPr>
          <w:rFonts w:ascii="Cambria" w:eastAsia="Times New Roman" w:hAnsi="Cambria" w:cs="Times New Roman"/>
          <w:sz w:val="20"/>
          <w:szCs w:val="20"/>
        </w:rPr>
        <w:t>Total Allowable Catch (TAC)</w:t>
      </w:r>
      <w:r w:rsidRPr="001C249F">
        <w:rPr>
          <w:rFonts w:ascii="Cambria" w:eastAsia="Times New Roman" w:hAnsi="Cambria" w:cs="Segoe UI"/>
          <w:sz w:val="20"/>
          <w:szCs w:val="20"/>
        </w:rPr>
        <w:t xml:space="preserve"> </w:t>
      </w:r>
      <w:r w:rsidRPr="001C249F">
        <w:rPr>
          <w:rFonts w:ascii="Cambria" w:eastAsia="Times New Roman" w:hAnsi="Cambria" w:cs="Times New Roman"/>
          <w:sz w:val="20"/>
          <w:szCs w:val="20"/>
        </w:rPr>
        <w:t>shall be set</w:t>
      </w:r>
      <w:r w:rsidRPr="001C249F">
        <w:rPr>
          <w:rFonts w:ascii="Cambria" w:eastAsia="Times New Roman" w:hAnsi="Cambria" w:cs="Segoe UI"/>
          <w:sz w:val="20"/>
          <w:szCs w:val="20"/>
        </w:rPr>
        <w:t xml:space="preserve"> </w:t>
      </w:r>
      <w:r w:rsidRPr="001C249F">
        <w:rPr>
          <w:rFonts w:ascii="Cambria" w:eastAsia="Times New Roman" w:hAnsi="Cambria" w:cs="Times New Roman"/>
          <w:sz w:val="20"/>
          <w:szCs w:val="20"/>
        </w:rPr>
        <w:t>at</w:t>
      </w:r>
      <w:r w:rsidRPr="001C249F">
        <w:rPr>
          <w:rFonts w:ascii="Cambria" w:eastAsia="Times New Roman" w:hAnsi="Cambria" w:cs="Segoe UI"/>
          <w:sz w:val="20"/>
          <w:szCs w:val="20"/>
        </w:rPr>
        <w:t xml:space="preserve"> </w:t>
      </w:r>
      <w:r w:rsidRPr="001C249F">
        <w:rPr>
          <w:rFonts w:ascii="Cambria" w:eastAsia="Times New Roman" w:hAnsi="Cambria" w:cs="Times New Roman"/>
          <w:sz w:val="20"/>
          <w:szCs w:val="20"/>
        </w:rPr>
        <w:t>2,500</w:t>
      </w:r>
      <w:r w:rsidRPr="001C249F">
        <w:rPr>
          <w:rFonts w:ascii="Cambria" w:eastAsia="Times New Roman" w:hAnsi="Cambria" w:cs="Segoe UI"/>
          <w:sz w:val="20"/>
          <w:szCs w:val="20"/>
        </w:rPr>
        <w:t xml:space="preserve"> </w:t>
      </w:r>
      <w:r w:rsidRPr="001C249F">
        <w:rPr>
          <w:rFonts w:ascii="Cambria" w:eastAsia="Times New Roman" w:hAnsi="Cambria" w:cs="Times New Roman"/>
          <w:sz w:val="20"/>
          <w:szCs w:val="20"/>
        </w:rPr>
        <w:t>t</w:t>
      </w:r>
      <w:r w:rsidRPr="001C249F">
        <w:rPr>
          <w:rFonts w:ascii="Cambria" w:eastAsia="Times New Roman" w:hAnsi="Cambria" w:cs="Segoe UI"/>
          <w:sz w:val="20"/>
          <w:szCs w:val="20"/>
        </w:rPr>
        <w:t xml:space="preserve"> </w:t>
      </w:r>
      <w:r w:rsidRPr="001C249F">
        <w:rPr>
          <w:rFonts w:ascii="Cambria" w:eastAsia="Times New Roman" w:hAnsi="Cambria" w:cs="Times New Roman"/>
          <w:sz w:val="20"/>
          <w:szCs w:val="20"/>
        </w:rPr>
        <w:t>for albacore</w:t>
      </w:r>
      <w:r w:rsidRPr="001C249F">
        <w:rPr>
          <w:rFonts w:ascii="Cambria" w:eastAsia="Times New Roman" w:hAnsi="Cambria" w:cs="Segoe UI"/>
          <w:sz w:val="20"/>
          <w:szCs w:val="20"/>
        </w:rPr>
        <w:t xml:space="preserve"> </w:t>
      </w:r>
      <w:r w:rsidRPr="001C249F">
        <w:rPr>
          <w:rFonts w:ascii="Cambria" w:eastAsia="Times New Roman" w:hAnsi="Cambria" w:cs="Times New Roman"/>
          <w:sz w:val="20"/>
          <w:szCs w:val="20"/>
        </w:rPr>
        <w:t>tuna</w:t>
      </w:r>
      <w:r w:rsidRPr="001C249F">
        <w:rPr>
          <w:rFonts w:ascii="Cambria" w:eastAsia="Times New Roman" w:hAnsi="Cambria" w:cs="Segoe UI"/>
          <w:sz w:val="20"/>
          <w:szCs w:val="20"/>
        </w:rPr>
        <w:t xml:space="preserve"> </w:t>
      </w:r>
      <w:r w:rsidRPr="001C249F">
        <w:rPr>
          <w:rFonts w:ascii="Cambria" w:eastAsia="Times New Roman" w:hAnsi="Cambria" w:cs="Times New Roman"/>
          <w:sz w:val="20"/>
          <w:szCs w:val="20"/>
        </w:rPr>
        <w:t>(</w:t>
      </w:r>
      <w:r w:rsidRPr="001C249F">
        <w:rPr>
          <w:rFonts w:ascii="Cambria" w:eastAsia="Times New Roman" w:hAnsi="Cambria" w:cs="Times New Roman"/>
          <w:i/>
          <w:sz w:val="20"/>
          <w:szCs w:val="20"/>
        </w:rPr>
        <w:t>Thunnus alalunga</w:t>
      </w:r>
      <w:r w:rsidRPr="001C249F">
        <w:rPr>
          <w:rFonts w:ascii="Cambria" w:eastAsia="Times New Roman" w:hAnsi="Cambria" w:cs="Times New Roman"/>
          <w:sz w:val="20"/>
          <w:szCs w:val="20"/>
        </w:rPr>
        <w:t>) in the Mediterrane</w:t>
      </w:r>
      <w:r w:rsidRPr="001C249F">
        <w:rPr>
          <w:rFonts w:ascii="Cambria" w:hAnsi="Cambria"/>
          <w:sz w:val="20"/>
        </w:rPr>
        <w:t>an.</w:t>
      </w:r>
      <w:r w:rsidRPr="001C249F">
        <w:rPr>
          <w:rFonts w:ascii="Cambria" w:eastAsia="Times New Roman" w:hAnsi="Cambria" w:cs="Segoe UI"/>
          <w:sz w:val="20"/>
          <w:szCs w:val="20"/>
          <w:lang w:val="en-US"/>
        </w:rPr>
        <w:t> </w:t>
      </w:r>
    </w:p>
    <w:p w14:paraId="704341B1" w14:textId="77777777" w:rsidR="00D102F5" w:rsidRPr="001C249F" w:rsidRDefault="00D102F5" w:rsidP="00863148">
      <w:pPr>
        <w:spacing w:after="0" w:line="240" w:lineRule="auto"/>
        <w:jc w:val="both"/>
        <w:textAlignment w:val="baseline"/>
        <w:rPr>
          <w:rFonts w:ascii="Cambria" w:eastAsia="Times New Roman" w:hAnsi="Cambria" w:cs="Segoe UI"/>
          <w:sz w:val="20"/>
          <w:szCs w:val="20"/>
          <w:lang w:val="en-US"/>
        </w:rPr>
      </w:pPr>
    </w:p>
    <w:p w14:paraId="1305926D" w14:textId="4355C4D2" w:rsidR="009C7490" w:rsidRPr="001C249F" w:rsidRDefault="00F556FF" w:rsidP="009C7490">
      <w:pPr>
        <w:numPr>
          <w:ilvl w:val="0"/>
          <w:numId w:val="3"/>
        </w:numPr>
        <w:spacing w:after="0" w:line="240" w:lineRule="auto"/>
        <w:ind w:left="426" w:hanging="426"/>
        <w:jc w:val="both"/>
        <w:textAlignment w:val="baseline"/>
        <w:rPr>
          <w:rFonts w:ascii="Segoe UI" w:eastAsia="Times New Roman" w:hAnsi="Segoe UI" w:cs="Times New Roman"/>
          <w:sz w:val="20"/>
          <w:szCs w:val="20"/>
          <w:lang w:val="en-US"/>
        </w:rPr>
      </w:pPr>
      <w:r w:rsidRPr="001C249F">
        <w:rPr>
          <w:rFonts w:ascii="Cambria" w:hAnsi="Cambria"/>
          <w:sz w:val="20"/>
        </w:rPr>
        <w:t xml:space="preserve">a) </w:t>
      </w:r>
      <w:r w:rsidR="00A85A83" w:rsidRPr="001C249F">
        <w:rPr>
          <w:rFonts w:ascii="Cambria" w:hAnsi="Cambria"/>
          <w:sz w:val="20"/>
        </w:rPr>
        <w:t>For</w:t>
      </w:r>
      <w:r w:rsidR="009C7490" w:rsidRPr="001C249F">
        <w:rPr>
          <w:rFonts w:ascii="Cambria" w:hAnsi="Cambria"/>
          <w:sz w:val="20"/>
        </w:rPr>
        <w:t xml:space="preserve"> 2022</w:t>
      </w:r>
      <w:r w:rsidR="00F937FF" w:rsidRPr="001C249F">
        <w:rPr>
          <w:rFonts w:ascii="Cambria" w:hAnsi="Cambria"/>
          <w:sz w:val="20"/>
        </w:rPr>
        <w:t>, the following quotas shall be allocated</w:t>
      </w:r>
      <w:r w:rsidR="009C7490" w:rsidRPr="001C249F">
        <w:rPr>
          <w:rFonts w:ascii="Cambria" w:hAnsi="Cambria"/>
          <w:sz w:val="20"/>
        </w:rPr>
        <w:t>:</w:t>
      </w:r>
    </w:p>
    <w:p w14:paraId="0C842981" w14:textId="10AE7ADE" w:rsidR="00F556FF" w:rsidRPr="001C249F" w:rsidRDefault="00F556FF" w:rsidP="00F556FF">
      <w:pPr>
        <w:spacing w:after="0" w:line="240" w:lineRule="auto"/>
        <w:ind w:left="426"/>
        <w:jc w:val="both"/>
        <w:textAlignment w:val="baseline"/>
        <w:rPr>
          <w:rFonts w:ascii="Segoe UI" w:eastAsia="Times New Roman" w:hAnsi="Segoe UI" w:cs="Times New Roman"/>
          <w:sz w:val="20"/>
          <w:szCs w:val="20"/>
          <w:lang w:val="en-US"/>
        </w:rPr>
      </w:pPr>
    </w:p>
    <w:tbl>
      <w:tblPr>
        <w:tblStyle w:val="TableGrid1"/>
        <w:tblW w:w="0" w:type="auto"/>
        <w:jc w:val="center"/>
        <w:tblLook w:val="04A0" w:firstRow="1" w:lastRow="0" w:firstColumn="1" w:lastColumn="0" w:noHBand="0" w:noVBand="1"/>
      </w:tblPr>
      <w:tblGrid>
        <w:gridCol w:w="1700"/>
        <w:gridCol w:w="1560"/>
      </w:tblGrid>
      <w:tr w:rsidR="00E4341C" w:rsidRPr="001C249F" w14:paraId="17DB872A" w14:textId="77777777" w:rsidTr="00F556FF">
        <w:trPr>
          <w:jc w:val="center"/>
        </w:trPr>
        <w:tc>
          <w:tcPr>
            <w:tcW w:w="1700" w:type="dxa"/>
            <w:vAlign w:val="center"/>
          </w:tcPr>
          <w:p w14:paraId="567F1595" w14:textId="382F633D" w:rsidR="00E4341C" w:rsidRPr="001C249F" w:rsidRDefault="00635DBE" w:rsidP="00E4341C">
            <w:pPr>
              <w:widowControl w:val="0"/>
              <w:autoSpaceDE w:val="0"/>
              <w:autoSpaceDN w:val="0"/>
              <w:adjustRightInd w:val="0"/>
              <w:spacing w:before="120"/>
              <w:ind w:left="616"/>
              <w:rPr>
                <w:rFonts w:ascii="Cambria" w:hAnsi="Cambria"/>
                <w:i/>
                <w:iCs/>
                <w:color w:val="000000"/>
                <w:sz w:val="20"/>
              </w:rPr>
            </w:pPr>
            <w:r w:rsidRPr="001C249F">
              <w:rPr>
                <w:rFonts w:ascii="Cambria" w:hAnsi="Cambria"/>
                <w:i/>
                <w:iCs/>
                <w:color w:val="000000"/>
                <w:sz w:val="20"/>
              </w:rPr>
              <w:t>CPC</w:t>
            </w:r>
          </w:p>
        </w:tc>
        <w:tc>
          <w:tcPr>
            <w:tcW w:w="1560" w:type="dxa"/>
            <w:vAlign w:val="center"/>
          </w:tcPr>
          <w:p w14:paraId="646BD51C" w14:textId="67FE30B1" w:rsidR="00E4341C" w:rsidRPr="001C249F" w:rsidRDefault="00E4341C" w:rsidP="00635DBE">
            <w:pPr>
              <w:widowControl w:val="0"/>
              <w:autoSpaceDE w:val="0"/>
              <w:autoSpaceDN w:val="0"/>
              <w:adjustRightInd w:val="0"/>
              <w:spacing w:before="120"/>
              <w:ind w:leftChars="0" w:left="0" w:hanging="103"/>
              <w:jc w:val="center"/>
              <w:rPr>
                <w:rFonts w:ascii="Cambria" w:hAnsi="Cambria"/>
                <w:i/>
                <w:color w:val="000000"/>
                <w:sz w:val="20"/>
              </w:rPr>
            </w:pPr>
            <w:r w:rsidRPr="001C249F">
              <w:rPr>
                <w:rFonts w:ascii="Cambria" w:hAnsi="Cambria" w:hint="eastAsia"/>
                <w:i/>
                <w:color w:val="000000"/>
                <w:sz w:val="20"/>
              </w:rPr>
              <w:t>Q</w:t>
            </w:r>
            <w:r w:rsidRPr="001C249F">
              <w:rPr>
                <w:rFonts w:ascii="Cambria" w:hAnsi="Cambria"/>
                <w:i/>
                <w:color w:val="000000"/>
                <w:sz w:val="20"/>
              </w:rPr>
              <w:t>uota</w:t>
            </w:r>
            <w:r w:rsidR="00635DBE" w:rsidRPr="001C249F">
              <w:rPr>
                <w:rFonts w:ascii="Cambria" w:hAnsi="Cambria"/>
                <w:i/>
                <w:color w:val="000000"/>
                <w:sz w:val="20"/>
              </w:rPr>
              <w:t xml:space="preserve"> (t)</w:t>
            </w:r>
          </w:p>
        </w:tc>
      </w:tr>
      <w:tr w:rsidR="00E4341C" w:rsidRPr="001C249F" w14:paraId="37230B6D" w14:textId="77777777" w:rsidTr="00F556FF">
        <w:trPr>
          <w:jc w:val="center"/>
        </w:trPr>
        <w:tc>
          <w:tcPr>
            <w:tcW w:w="1700" w:type="dxa"/>
            <w:vAlign w:val="center"/>
          </w:tcPr>
          <w:p w14:paraId="5BDD10A0" w14:textId="77777777" w:rsidR="00E4341C" w:rsidRPr="001C249F" w:rsidRDefault="00E4341C" w:rsidP="00613CD9">
            <w:pPr>
              <w:widowControl w:val="0"/>
              <w:autoSpaceDE w:val="0"/>
              <w:autoSpaceDN w:val="0"/>
              <w:adjustRightInd w:val="0"/>
              <w:spacing w:before="120"/>
              <w:ind w:leftChars="0" w:left="0"/>
              <w:rPr>
                <w:rFonts w:ascii="Cambria" w:hAnsi="Cambria"/>
                <w:color w:val="000000"/>
                <w:sz w:val="20"/>
              </w:rPr>
            </w:pPr>
            <w:r w:rsidRPr="001C249F">
              <w:rPr>
                <w:rFonts w:ascii="Cambria" w:hAnsi="Cambria" w:hint="eastAsia"/>
                <w:color w:val="000000"/>
                <w:sz w:val="20"/>
              </w:rPr>
              <w:t>E</w:t>
            </w:r>
            <w:r w:rsidRPr="001C249F">
              <w:rPr>
                <w:rFonts w:ascii="Cambria" w:hAnsi="Cambria"/>
                <w:color w:val="000000"/>
                <w:sz w:val="20"/>
              </w:rPr>
              <w:t>U</w:t>
            </w:r>
          </w:p>
        </w:tc>
        <w:tc>
          <w:tcPr>
            <w:tcW w:w="1560" w:type="dxa"/>
            <w:vAlign w:val="center"/>
          </w:tcPr>
          <w:p w14:paraId="4AD3B712" w14:textId="6ED8CC20" w:rsidR="00E4341C" w:rsidRPr="001C249F" w:rsidRDefault="002476A6" w:rsidP="00635DBE">
            <w:pPr>
              <w:widowControl w:val="0"/>
              <w:autoSpaceDE w:val="0"/>
              <w:autoSpaceDN w:val="0"/>
              <w:adjustRightInd w:val="0"/>
              <w:spacing w:before="120"/>
              <w:ind w:leftChars="0" w:left="0" w:hanging="103"/>
              <w:jc w:val="center"/>
              <w:rPr>
                <w:rFonts w:ascii="Cambria" w:hAnsi="Cambria"/>
                <w:color w:val="000000"/>
                <w:sz w:val="20"/>
              </w:rPr>
            </w:pPr>
            <w:r w:rsidRPr="001C249F">
              <w:rPr>
                <w:rFonts w:ascii="Cambria" w:hAnsi="Cambria" w:hint="eastAsia"/>
                <w:color w:val="000000"/>
                <w:sz w:val="20"/>
              </w:rPr>
              <w:t>2</w:t>
            </w:r>
            <w:r w:rsidRPr="001C249F">
              <w:rPr>
                <w:rFonts w:ascii="Cambria" w:hAnsi="Cambria"/>
                <w:color w:val="000000"/>
                <w:sz w:val="20"/>
              </w:rPr>
              <w:t>,169.68</w:t>
            </w:r>
          </w:p>
        </w:tc>
      </w:tr>
      <w:tr w:rsidR="00E4341C" w:rsidRPr="001C249F" w14:paraId="1AAC1372" w14:textId="77777777" w:rsidTr="00F556FF">
        <w:trPr>
          <w:jc w:val="center"/>
        </w:trPr>
        <w:tc>
          <w:tcPr>
            <w:tcW w:w="1700" w:type="dxa"/>
            <w:vAlign w:val="center"/>
          </w:tcPr>
          <w:p w14:paraId="567A1EED" w14:textId="77777777" w:rsidR="00E4341C" w:rsidRPr="001C249F" w:rsidRDefault="00E4341C" w:rsidP="00613CD9">
            <w:pPr>
              <w:widowControl w:val="0"/>
              <w:autoSpaceDE w:val="0"/>
              <w:autoSpaceDN w:val="0"/>
              <w:adjustRightInd w:val="0"/>
              <w:spacing w:before="120"/>
              <w:ind w:leftChars="0" w:left="0"/>
              <w:rPr>
                <w:rFonts w:ascii="Cambria" w:hAnsi="Cambria"/>
                <w:color w:val="000000"/>
                <w:sz w:val="20"/>
              </w:rPr>
            </w:pPr>
            <w:r w:rsidRPr="001C249F">
              <w:rPr>
                <w:rFonts w:ascii="Cambria" w:hAnsi="Cambria" w:hint="eastAsia"/>
                <w:color w:val="000000"/>
                <w:sz w:val="20"/>
              </w:rPr>
              <w:t>E</w:t>
            </w:r>
            <w:r w:rsidRPr="001C249F">
              <w:rPr>
                <w:rFonts w:ascii="Cambria" w:hAnsi="Cambria"/>
                <w:color w:val="000000"/>
                <w:sz w:val="20"/>
              </w:rPr>
              <w:t>gypt</w:t>
            </w:r>
          </w:p>
        </w:tc>
        <w:tc>
          <w:tcPr>
            <w:tcW w:w="1560" w:type="dxa"/>
            <w:vAlign w:val="center"/>
          </w:tcPr>
          <w:p w14:paraId="26014B22" w14:textId="77777777" w:rsidR="00E4341C" w:rsidRPr="001C249F" w:rsidRDefault="00E4341C" w:rsidP="00635DBE">
            <w:pPr>
              <w:widowControl w:val="0"/>
              <w:autoSpaceDE w:val="0"/>
              <w:autoSpaceDN w:val="0"/>
              <w:adjustRightInd w:val="0"/>
              <w:spacing w:before="120"/>
              <w:ind w:leftChars="0" w:left="0" w:hanging="103"/>
              <w:jc w:val="center"/>
              <w:rPr>
                <w:rFonts w:ascii="Cambria" w:hAnsi="Cambria"/>
                <w:color w:val="000000"/>
                <w:sz w:val="20"/>
              </w:rPr>
            </w:pPr>
            <w:r w:rsidRPr="001C249F">
              <w:rPr>
                <w:rFonts w:ascii="Cambria" w:hAnsi="Cambria" w:hint="eastAsia"/>
                <w:color w:val="000000"/>
                <w:sz w:val="20"/>
              </w:rPr>
              <w:t>1</w:t>
            </w:r>
            <w:r w:rsidRPr="001C249F">
              <w:rPr>
                <w:rFonts w:ascii="Cambria" w:hAnsi="Cambria"/>
                <w:color w:val="000000"/>
                <w:sz w:val="20"/>
              </w:rPr>
              <w:t>77.27</w:t>
            </w:r>
          </w:p>
        </w:tc>
      </w:tr>
      <w:tr w:rsidR="00E4341C" w:rsidRPr="001C249F" w14:paraId="1C031910" w14:textId="77777777" w:rsidTr="00F556FF">
        <w:trPr>
          <w:jc w:val="center"/>
        </w:trPr>
        <w:tc>
          <w:tcPr>
            <w:tcW w:w="1700" w:type="dxa"/>
            <w:vAlign w:val="center"/>
          </w:tcPr>
          <w:p w14:paraId="5672C9D0" w14:textId="77777777" w:rsidR="00E4341C" w:rsidRPr="001C249F" w:rsidRDefault="00E4341C" w:rsidP="00613CD9">
            <w:pPr>
              <w:widowControl w:val="0"/>
              <w:autoSpaceDE w:val="0"/>
              <w:autoSpaceDN w:val="0"/>
              <w:adjustRightInd w:val="0"/>
              <w:spacing w:before="120"/>
              <w:ind w:leftChars="0" w:left="0"/>
              <w:rPr>
                <w:rFonts w:ascii="Cambria" w:hAnsi="Cambria"/>
                <w:color w:val="000000"/>
                <w:sz w:val="20"/>
              </w:rPr>
            </w:pPr>
            <w:r w:rsidRPr="001C249F">
              <w:rPr>
                <w:rFonts w:ascii="Cambria" w:hAnsi="Cambria" w:hint="eastAsia"/>
                <w:color w:val="000000"/>
                <w:sz w:val="20"/>
              </w:rPr>
              <w:t>L</w:t>
            </w:r>
            <w:r w:rsidRPr="001C249F">
              <w:rPr>
                <w:rFonts w:ascii="Cambria" w:hAnsi="Cambria"/>
                <w:color w:val="000000"/>
                <w:sz w:val="20"/>
              </w:rPr>
              <w:t>ibya</w:t>
            </w:r>
          </w:p>
        </w:tc>
        <w:tc>
          <w:tcPr>
            <w:tcW w:w="1560" w:type="dxa"/>
            <w:vAlign w:val="center"/>
          </w:tcPr>
          <w:p w14:paraId="0CB522C2" w14:textId="77777777" w:rsidR="00E4341C" w:rsidRPr="001C249F" w:rsidRDefault="00E4341C" w:rsidP="00635DBE">
            <w:pPr>
              <w:widowControl w:val="0"/>
              <w:autoSpaceDE w:val="0"/>
              <w:autoSpaceDN w:val="0"/>
              <w:adjustRightInd w:val="0"/>
              <w:spacing w:before="120"/>
              <w:ind w:leftChars="0" w:left="0" w:hanging="103"/>
              <w:jc w:val="center"/>
              <w:rPr>
                <w:rFonts w:ascii="Cambria" w:hAnsi="Cambria"/>
                <w:color w:val="000000"/>
                <w:sz w:val="20"/>
              </w:rPr>
            </w:pPr>
            <w:r w:rsidRPr="001C249F">
              <w:rPr>
                <w:rFonts w:ascii="Cambria" w:hAnsi="Cambria" w:hint="eastAsia"/>
                <w:color w:val="000000"/>
                <w:sz w:val="20"/>
              </w:rPr>
              <w:t>2</w:t>
            </w:r>
            <w:r w:rsidRPr="001C249F">
              <w:rPr>
                <w:rFonts w:ascii="Cambria" w:hAnsi="Cambria"/>
                <w:color w:val="000000"/>
                <w:sz w:val="20"/>
              </w:rPr>
              <w:t>3</w:t>
            </w:r>
          </w:p>
        </w:tc>
      </w:tr>
      <w:tr w:rsidR="00E4341C" w:rsidRPr="001C249F" w14:paraId="69E2A8B6" w14:textId="77777777" w:rsidTr="00F556FF">
        <w:trPr>
          <w:jc w:val="center"/>
        </w:trPr>
        <w:tc>
          <w:tcPr>
            <w:tcW w:w="1700" w:type="dxa"/>
            <w:vAlign w:val="center"/>
          </w:tcPr>
          <w:p w14:paraId="3DE53136" w14:textId="77777777" w:rsidR="00E4341C" w:rsidRPr="001C249F" w:rsidRDefault="00E4341C" w:rsidP="00613CD9">
            <w:pPr>
              <w:widowControl w:val="0"/>
              <w:autoSpaceDE w:val="0"/>
              <w:autoSpaceDN w:val="0"/>
              <w:adjustRightInd w:val="0"/>
              <w:spacing w:before="120"/>
              <w:ind w:leftChars="0" w:left="0"/>
              <w:rPr>
                <w:rFonts w:ascii="Cambria" w:hAnsi="Cambria"/>
                <w:color w:val="000000"/>
                <w:sz w:val="20"/>
              </w:rPr>
            </w:pPr>
            <w:r w:rsidRPr="001C249F">
              <w:rPr>
                <w:rFonts w:ascii="Cambria" w:hAnsi="Cambria" w:hint="eastAsia"/>
                <w:color w:val="000000"/>
                <w:sz w:val="20"/>
              </w:rPr>
              <w:t>M</w:t>
            </w:r>
            <w:r w:rsidRPr="001C249F">
              <w:rPr>
                <w:rFonts w:ascii="Cambria" w:hAnsi="Cambria"/>
                <w:color w:val="000000"/>
                <w:sz w:val="20"/>
              </w:rPr>
              <w:t>orocco</w:t>
            </w:r>
          </w:p>
        </w:tc>
        <w:tc>
          <w:tcPr>
            <w:tcW w:w="1560" w:type="dxa"/>
            <w:vAlign w:val="center"/>
          </w:tcPr>
          <w:p w14:paraId="1C9DB983" w14:textId="77777777" w:rsidR="00E4341C" w:rsidRPr="001C249F" w:rsidRDefault="00E4341C" w:rsidP="00635DBE">
            <w:pPr>
              <w:widowControl w:val="0"/>
              <w:autoSpaceDE w:val="0"/>
              <w:autoSpaceDN w:val="0"/>
              <w:adjustRightInd w:val="0"/>
              <w:spacing w:before="120"/>
              <w:ind w:leftChars="0" w:left="0" w:hanging="103"/>
              <w:jc w:val="center"/>
              <w:rPr>
                <w:rFonts w:ascii="Cambria" w:hAnsi="Cambria"/>
                <w:color w:val="000000"/>
                <w:sz w:val="20"/>
              </w:rPr>
            </w:pPr>
            <w:r w:rsidRPr="001C249F">
              <w:rPr>
                <w:rFonts w:ascii="Cambria" w:hAnsi="Cambria" w:hint="eastAsia"/>
                <w:color w:val="000000"/>
                <w:sz w:val="20"/>
              </w:rPr>
              <w:t>1</w:t>
            </w:r>
            <w:r w:rsidRPr="001C249F">
              <w:rPr>
                <w:rFonts w:ascii="Cambria" w:hAnsi="Cambria"/>
                <w:color w:val="000000"/>
                <w:sz w:val="20"/>
              </w:rPr>
              <w:t>0</w:t>
            </w:r>
          </w:p>
        </w:tc>
      </w:tr>
      <w:tr w:rsidR="00E4341C" w:rsidRPr="001C249F" w14:paraId="406658DD" w14:textId="77777777" w:rsidTr="00F556FF">
        <w:trPr>
          <w:jc w:val="center"/>
        </w:trPr>
        <w:tc>
          <w:tcPr>
            <w:tcW w:w="1700" w:type="dxa"/>
            <w:vAlign w:val="center"/>
          </w:tcPr>
          <w:p w14:paraId="376F2AF4" w14:textId="77777777" w:rsidR="00E4341C" w:rsidRPr="001C249F" w:rsidRDefault="00E4341C" w:rsidP="00613CD9">
            <w:pPr>
              <w:widowControl w:val="0"/>
              <w:autoSpaceDE w:val="0"/>
              <w:autoSpaceDN w:val="0"/>
              <w:adjustRightInd w:val="0"/>
              <w:spacing w:before="120"/>
              <w:ind w:leftChars="0" w:left="0"/>
              <w:rPr>
                <w:rFonts w:ascii="Cambria" w:hAnsi="Cambria"/>
                <w:color w:val="000000"/>
                <w:sz w:val="20"/>
              </w:rPr>
            </w:pPr>
            <w:r w:rsidRPr="001C249F">
              <w:rPr>
                <w:rFonts w:ascii="Cambria" w:hAnsi="Cambria" w:hint="eastAsia"/>
                <w:color w:val="000000"/>
                <w:sz w:val="20"/>
              </w:rPr>
              <w:t>S</w:t>
            </w:r>
            <w:r w:rsidRPr="001C249F">
              <w:rPr>
                <w:rFonts w:ascii="Cambria" w:hAnsi="Cambria"/>
                <w:color w:val="000000"/>
                <w:sz w:val="20"/>
              </w:rPr>
              <w:t>yria</w:t>
            </w:r>
          </w:p>
        </w:tc>
        <w:tc>
          <w:tcPr>
            <w:tcW w:w="1560" w:type="dxa"/>
            <w:vAlign w:val="center"/>
          </w:tcPr>
          <w:p w14:paraId="3ECFAE81" w14:textId="77777777" w:rsidR="00E4341C" w:rsidRPr="001C249F" w:rsidRDefault="00E4341C" w:rsidP="00635DBE">
            <w:pPr>
              <w:widowControl w:val="0"/>
              <w:autoSpaceDE w:val="0"/>
              <w:autoSpaceDN w:val="0"/>
              <w:adjustRightInd w:val="0"/>
              <w:spacing w:before="120"/>
              <w:ind w:leftChars="0" w:left="0" w:hanging="103"/>
              <w:jc w:val="center"/>
              <w:rPr>
                <w:rFonts w:ascii="Cambria" w:hAnsi="Cambria"/>
                <w:color w:val="000000"/>
                <w:sz w:val="20"/>
              </w:rPr>
            </w:pPr>
            <w:r w:rsidRPr="001C249F">
              <w:rPr>
                <w:rFonts w:ascii="Cambria" w:hAnsi="Cambria" w:hint="eastAsia"/>
                <w:color w:val="000000"/>
                <w:sz w:val="20"/>
              </w:rPr>
              <w:t>1</w:t>
            </w:r>
            <w:r w:rsidRPr="001C249F">
              <w:rPr>
                <w:rFonts w:ascii="Cambria" w:hAnsi="Cambria"/>
                <w:color w:val="000000"/>
                <w:sz w:val="20"/>
              </w:rPr>
              <w:t>.8</w:t>
            </w:r>
          </w:p>
        </w:tc>
      </w:tr>
      <w:tr w:rsidR="00E4341C" w:rsidRPr="001C249F" w14:paraId="7E1C5313" w14:textId="77777777" w:rsidTr="00F556FF">
        <w:trPr>
          <w:jc w:val="center"/>
        </w:trPr>
        <w:tc>
          <w:tcPr>
            <w:tcW w:w="1700" w:type="dxa"/>
            <w:vAlign w:val="center"/>
          </w:tcPr>
          <w:p w14:paraId="316BF37F" w14:textId="461E07D5" w:rsidR="00E4341C" w:rsidRPr="001C249F" w:rsidRDefault="00E4341C" w:rsidP="00613CD9">
            <w:pPr>
              <w:widowControl w:val="0"/>
              <w:autoSpaceDE w:val="0"/>
              <w:autoSpaceDN w:val="0"/>
              <w:adjustRightInd w:val="0"/>
              <w:spacing w:before="120"/>
              <w:ind w:leftChars="0" w:left="0"/>
              <w:rPr>
                <w:rFonts w:ascii="Cambria" w:hAnsi="Cambria"/>
                <w:color w:val="000000"/>
                <w:sz w:val="20"/>
              </w:rPr>
            </w:pPr>
            <w:proofErr w:type="spellStart"/>
            <w:r w:rsidRPr="001C249F">
              <w:rPr>
                <w:rFonts w:ascii="Cambria" w:hAnsi="Cambria" w:hint="eastAsia"/>
                <w:color w:val="000000"/>
                <w:sz w:val="20"/>
              </w:rPr>
              <w:t>T</w:t>
            </w:r>
            <w:r w:rsidRPr="001C249F">
              <w:rPr>
                <w:rFonts w:ascii="Cambria" w:hAnsi="Cambria"/>
                <w:color w:val="000000"/>
                <w:sz w:val="20"/>
              </w:rPr>
              <w:t>ürkiye</w:t>
            </w:r>
            <w:proofErr w:type="spellEnd"/>
          </w:p>
        </w:tc>
        <w:tc>
          <w:tcPr>
            <w:tcW w:w="1560" w:type="dxa"/>
            <w:vAlign w:val="center"/>
          </w:tcPr>
          <w:p w14:paraId="1569277B" w14:textId="77777777" w:rsidR="00E4341C" w:rsidRPr="001C249F" w:rsidRDefault="00E4341C" w:rsidP="00635DBE">
            <w:pPr>
              <w:widowControl w:val="0"/>
              <w:autoSpaceDE w:val="0"/>
              <w:autoSpaceDN w:val="0"/>
              <w:adjustRightInd w:val="0"/>
              <w:spacing w:before="120"/>
              <w:ind w:leftChars="0" w:left="0" w:hanging="103"/>
              <w:jc w:val="center"/>
              <w:rPr>
                <w:rFonts w:ascii="Cambria" w:hAnsi="Cambria"/>
                <w:color w:val="000000"/>
                <w:sz w:val="20"/>
              </w:rPr>
            </w:pPr>
            <w:r w:rsidRPr="001C249F">
              <w:rPr>
                <w:rFonts w:ascii="Cambria" w:hAnsi="Cambria" w:hint="eastAsia"/>
                <w:color w:val="000000"/>
                <w:sz w:val="20"/>
              </w:rPr>
              <w:t>1</w:t>
            </w:r>
            <w:r w:rsidRPr="001C249F">
              <w:rPr>
                <w:rFonts w:ascii="Cambria" w:hAnsi="Cambria"/>
                <w:color w:val="000000"/>
                <w:sz w:val="20"/>
              </w:rPr>
              <w:t>18.25</w:t>
            </w:r>
          </w:p>
        </w:tc>
      </w:tr>
      <w:tr w:rsidR="00E4341C" w:rsidRPr="001C249F" w14:paraId="725D654A" w14:textId="77777777" w:rsidTr="00F556FF">
        <w:trPr>
          <w:jc w:val="center"/>
        </w:trPr>
        <w:tc>
          <w:tcPr>
            <w:tcW w:w="1700" w:type="dxa"/>
            <w:vAlign w:val="center"/>
          </w:tcPr>
          <w:p w14:paraId="1FAC055A" w14:textId="77777777" w:rsidR="00E4341C" w:rsidRPr="001C249F" w:rsidRDefault="00E4341C" w:rsidP="00613CD9">
            <w:pPr>
              <w:widowControl w:val="0"/>
              <w:autoSpaceDE w:val="0"/>
              <w:autoSpaceDN w:val="0"/>
              <w:adjustRightInd w:val="0"/>
              <w:spacing w:before="120"/>
              <w:ind w:leftChars="0" w:left="0"/>
              <w:rPr>
                <w:rFonts w:ascii="Cambria" w:hAnsi="Cambria"/>
                <w:b/>
                <w:color w:val="000000"/>
                <w:sz w:val="20"/>
              </w:rPr>
            </w:pPr>
            <w:r w:rsidRPr="001C249F">
              <w:rPr>
                <w:rFonts w:ascii="Cambria" w:hAnsi="Cambria" w:hint="eastAsia"/>
                <w:b/>
                <w:color w:val="000000"/>
                <w:sz w:val="20"/>
              </w:rPr>
              <w:t>T</w:t>
            </w:r>
            <w:r w:rsidRPr="001C249F">
              <w:rPr>
                <w:rFonts w:ascii="Cambria" w:hAnsi="Cambria"/>
                <w:b/>
                <w:color w:val="000000"/>
                <w:sz w:val="20"/>
              </w:rPr>
              <w:t>otal</w:t>
            </w:r>
          </w:p>
        </w:tc>
        <w:tc>
          <w:tcPr>
            <w:tcW w:w="1560" w:type="dxa"/>
            <w:vAlign w:val="center"/>
          </w:tcPr>
          <w:p w14:paraId="25561481" w14:textId="1E262A35" w:rsidR="00E4341C" w:rsidRPr="001C249F" w:rsidRDefault="00E4341C" w:rsidP="00635DBE">
            <w:pPr>
              <w:widowControl w:val="0"/>
              <w:autoSpaceDE w:val="0"/>
              <w:autoSpaceDN w:val="0"/>
              <w:adjustRightInd w:val="0"/>
              <w:spacing w:before="120"/>
              <w:ind w:leftChars="0" w:left="0" w:hanging="103"/>
              <w:jc w:val="center"/>
              <w:rPr>
                <w:rFonts w:ascii="Cambria" w:hAnsi="Cambria"/>
                <w:b/>
                <w:color w:val="000000"/>
                <w:sz w:val="20"/>
              </w:rPr>
            </w:pPr>
            <w:r w:rsidRPr="001C249F">
              <w:rPr>
                <w:rFonts w:ascii="Cambria" w:hAnsi="Cambria" w:hint="eastAsia"/>
                <w:b/>
                <w:color w:val="000000"/>
                <w:sz w:val="20"/>
              </w:rPr>
              <w:t>2</w:t>
            </w:r>
            <w:r w:rsidR="00CA5931" w:rsidRPr="001C249F">
              <w:rPr>
                <w:rFonts w:ascii="Cambria" w:hAnsi="Cambria"/>
                <w:b/>
                <w:color w:val="000000"/>
                <w:sz w:val="20"/>
              </w:rPr>
              <w:t>,</w:t>
            </w:r>
            <w:r w:rsidRPr="001C249F">
              <w:rPr>
                <w:rFonts w:ascii="Cambria" w:hAnsi="Cambria"/>
                <w:b/>
                <w:color w:val="000000"/>
                <w:sz w:val="20"/>
              </w:rPr>
              <w:t>500</w:t>
            </w:r>
          </w:p>
        </w:tc>
      </w:tr>
    </w:tbl>
    <w:p w14:paraId="7EDF752B" w14:textId="7E48FCD1" w:rsidR="00287D7F" w:rsidRPr="001C249F" w:rsidRDefault="00287D7F" w:rsidP="00E4341C">
      <w:pPr>
        <w:spacing w:after="0" w:line="240" w:lineRule="auto"/>
        <w:jc w:val="both"/>
        <w:textAlignment w:val="baseline"/>
        <w:rPr>
          <w:rFonts w:ascii="Segoe UI" w:eastAsia="Times New Roman" w:hAnsi="Segoe UI" w:cs="Times New Roman"/>
          <w:sz w:val="20"/>
          <w:szCs w:val="20"/>
          <w:lang w:val="en-US"/>
        </w:rPr>
      </w:pPr>
    </w:p>
    <w:p w14:paraId="02C28197" w14:textId="0FBD774C" w:rsidR="009C7490" w:rsidRPr="001C249F" w:rsidRDefault="00E4341C" w:rsidP="00F556FF">
      <w:pPr>
        <w:spacing w:after="0" w:line="240" w:lineRule="auto"/>
        <w:ind w:firstLine="426"/>
        <w:jc w:val="both"/>
        <w:textAlignment w:val="baseline"/>
        <w:rPr>
          <w:rFonts w:ascii="Cambria" w:eastAsia="Times New Roman" w:hAnsi="Cambria" w:cs="Times New Roman"/>
          <w:sz w:val="20"/>
          <w:szCs w:val="20"/>
        </w:rPr>
      </w:pPr>
      <w:r w:rsidRPr="001C249F">
        <w:rPr>
          <w:rFonts w:ascii="Cambria" w:eastAsia="Times New Roman" w:hAnsi="Cambria" w:cs="Times New Roman"/>
          <w:sz w:val="20"/>
          <w:szCs w:val="20"/>
        </w:rPr>
        <w:t>b</w:t>
      </w:r>
      <w:r w:rsidR="00F556FF" w:rsidRPr="001C249F">
        <w:rPr>
          <w:rFonts w:ascii="Cambria" w:eastAsia="Times New Roman" w:hAnsi="Cambria" w:cs="Times New Roman"/>
          <w:sz w:val="20"/>
          <w:szCs w:val="20"/>
        </w:rPr>
        <w:t>)</w:t>
      </w:r>
      <w:r w:rsidRPr="001C249F">
        <w:rPr>
          <w:rFonts w:ascii="Cambria" w:eastAsia="Times New Roman" w:hAnsi="Cambria" w:cs="Times New Roman"/>
          <w:sz w:val="20"/>
          <w:szCs w:val="20"/>
        </w:rPr>
        <w:t xml:space="preserve">  </w:t>
      </w:r>
      <w:r w:rsidR="005D5254" w:rsidRPr="001C249F">
        <w:rPr>
          <w:rFonts w:ascii="Cambria" w:eastAsia="Times New Roman" w:hAnsi="Cambria" w:cs="Times New Roman"/>
          <w:sz w:val="20"/>
          <w:szCs w:val="20"/>
        </w:rPr>
        <w:t>As of 2023, the following quotas shall be allocated:</w:t>
      </w:r>
    </w:p>
    <w:p w14:paraId="616ECFD2" w14:textId="77777777" w:rsidR="005D5254" w:rsidRPr="001C249F" w:rsidRDefault="005D5254" w:rsidP="005D5254">
      <w:pPr>
        <w:pStyle w:val="ListParagraph"/>
        <w:spacing w:after="0" w:line="240" w:lineRule="auto"/>
        <w:jc w:val="both"/>
        <w:textAlignment w:val="baseline"/>
        <w:rPr>
          <w:rFonts w:ascii="Cambria" w:eastAsia="Times New Roman" w:hAnsi="Cambria" w:cs="Times New Roman"/>
          <w:sz w:val="20"/>
          <w:szCs w:val="20"/>
        </w:rPr>
      </w:pP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1838"/>
        <w:gridCol w:w="1559"/>
      </w:tblGrid>
      <w:tr w:rsidR="00E4341C" w:rsidRPr="001C249F" w14:paraId="72D3E1A3" w14:textId="291A1E28" w:rsidTr="00F556FF">
        <w:tc>
          <w:tcPr>
            <w:tcW w:w="1838" w:type="dxa"/>
          </w:tcPr>
          <w:p w14:paraId="6E122082" w14:textId="2D5743AC" w:rsidR="00E4341C" w:rsidRPr="001C249F" w:rsidRDefault="00635DBE" w:rsidP="004E05C6">
            <w:pPr>
              <w:widowControl w:val="0"/>
              <w:autoSpaceDE w:val="0"/>
              <w:autoSpaceDN w:val="0"/>
              <w:adjustRightInd w:val="0"/>
              <w:spacing w:before="120"/>
              <w:ind w:left="616"/>
              <w:rPr>
                <w:rFonts w:ascii="Cambria" w:hAnsi="Cambria" w:cs="Cambria"/>
                <w:i/>
                <w:iCs/>
                <w:color w:val="000000"/>
                <w:sz w:val="20"/>
                <w:szCs w:val="20"/>
              </w:rPr>
            </w:pPr>
            <w:r w:rsidRPr="001C249F">
              <w:rPr>
                <w:rFonts w:ascii="Cambria" w:hAnsi="Cambria"/>
                <w:i/>
                <w:iCs/>
                <w:color w:val="000000"/>
                <w:sz w:val="20"/>
              </w:rPr>
              <w:t>CPC</w:t>
            </w:r>
          </w:p>
        </w:tc>
        <w:tc>
          <w:tcPr>
            <w:tcW w:w="1559" w:type="dxa"/>
          </w:tcPr>
          <w:p w14:paraId="25071460" w14:textId="40703757" w:rsidR="00E4341C" w:rsidRPr="001C249F" w:rsidRDefault="00E4341C" w:rsidP="00635DBE">
            <w:pPr>
              <w:widowControl w:val="0"/>
              <w:autoSpaceDE w:val="0"/>
              <w:autoSpaceDN w:val="0"/>
              <w:adjustRightInd w:val="0"/>
              <w:spacing w:before="120"/>
              <w:ind w:leftChars="-51" w:left="-112" w:firstLine="11"/>
              <w:jc w:val="center"/>
              <w:rPr>
                <w:rFonts w:ascii="Cambria" w:hAnsi="Cambria" w:cs="Cambria"/>
                <w:i/>
                <w:iCs/>
                <w:color w:val="000000"/>
                <w:sz w:val="20"/>
                <w:szCs w:val="20"/>
              </w:rPr>
            </w:pPr>
            <w:r w:rsidRPr="001C249F">
              <w:rPr>
                <w:rFonts w:ascii="Cambria" w:hAnsi="Cambria" w:cs="Cambria"/>
                <w:i/>
                <w:iCs/>
                <w:color w:val="000000"/>
                <w:sz w:val="20"/>
                <w:szCs w:val="20"/>
              </w:rPr>
              <w:t>Quota</w:t>
            </w:r>
            <w:r w:rsidR="00635DBE" w:rsidRPr="001C249F">
              <w:rPr>
                <w:rFonts w:ascii="Cambria" w:hAnsi="Cambria" w:cs="Cambria"/>
                <w:i/>
                <w:iCs/>
                <w:color w:val="000000"/>
                <w:sz w:val="20"/>
                <w:szCs w:val="20"/>
              </w:rPr>
              <w:t xml:space="preserve"> (t)</w:t>
            </w:r>
          </w:p>
        </w:tc>
      </w:tr>
      <w:tr w:rsidR="00E4341C" w:rsidRPr="001C249F" w14:paraId="6818917C" w14:textId="2AED883B" w:rsidTr="00F556FF">
        <w:tc>
          <w:tcPr>
            <w:tcW w:w="1838" w:type="dxa"/>
          </w:tcPr>
          <w:p w14:paraId="45842925" w14:textId="2FED6F62" w:rsidR="00E4341C" w:rsidRPr="001C249F" w:rsidRDefault="00E4341C" w:rsidP="004E05C6">
            <w:pPr>
              <w:widowControl w:val="0"/>
              <w:autoSpaceDE w:val="0"/>
              <w:autoSpaceDN w:val="0"/>
              <w:adjustRightInd w:val="0"/>
              <w:spacing w:before="120"/>
              <w:ind w:leftChars="0" w:left="0"/>
              <w:rPr>
                <w:rFonts w:ascii="Cambria" w:hAnsi="Cambria" w:cs="Cambria"/>
                <w:color w:val="000000"/>
                <w:sz w:val="20"/>
                <w:szCs w:val="20"/>
              </w:rPr>
            </w:pPr>
            <w:r w:rsidRPr="001C249F">
              <w:rPr>
                <w:rFonts w:ascii="Cambria" w:hAnsi="Cambria" w:cs="Cambria" w:hint="eastAsia"/>
                <w:color w:val="000000"/>
                <w:sz w:val="20"/>
                <w:szCs w:val="20"/>
              </w:rPr>
              <w:t>E</w:t>
            </w:r>
            <w:r w:rsidRPr="001C249F">
              <w:rPr>
                <w:rFonts w:ascii="Cambria" w:hAnsi="Cambria" w:cs="Cambria"/>
                <w:color w:val="000000"/>
                <w:sz w:val="20"/>
                <w:szCs w:val="20"/>
              </w:rPr>
              <w:t>U</w:t>
            </w:r>
          </w:p>
        </w:tc>
        <w:tc>
          <w:tcPr>
            <w:tcW w:w="1559" w:type="dxa"/>
          </w:tcPr>
          <w:p w14:paraId="367027DA" w14:textId="790C9BE6" w:rsidR="00E4341C" w:rsidRPr="00EB663F" w:rsidRDefault="002476A6" w:rsidP="00635DBE">
            <w:pPr>
              <w:widowControl w:val="0"/>
              <w:autoSpaceDE w:val="0"/>
              <w:autoSpaceDN w:val="0"/>
              <w:adjustRightInd w:val="0"/>
              <w:spacing w:before="120"/>
              <w:ind w:leftChars="-51" w:left="-112" w:firstLine="11"/>
              <w:jc w:val="center"/>
              <w:rPr>
                <w:rFonts w:ascii="Cambria" w:hAnsi="Cambria" w:cs="Cambria"/>
                <w:color w:val="000000"/>
                <w:sz w:val="20"/>
                <w:szCs w:val="20"/>
              </w:rPr>
            </w:pPr>
            <w:r w:rsidRPr="00EB663F">
              <w:rPr>
                <w:rFonts w:ascii="Cambria" w:hAnsi="Cambria"/>
                <w:color w:val="000000"/>
                <w:sz w:val="20"/>
              </w:rPr>
              <w:t>2,089.93</w:t>
            </w:r>
          </w:p>
        </w:tc>
      </w:tr>
      <w:tr w:rsidR="00E4341C" w:rsidRPr="001C249F" w14:paraId="629BDF2C" w14:textId="32129C07" w:rsidTr="00F556FF">
        <w:tc>
          <w:tcPr>
            <w:tcW w:w="1838" w:type="dxa"/>
          </w:tcPr>
          <w:p w14:paraId="1192282D" w14:textId="77777777" w:rsidR="00E4341C" w:rsidRPr="001C249F" w:rsidRDefault="00E4341C" w:rsidP="004E05C6">
            <w:pPr>
              <w:widowControl w:val="0"/>
              <w:autoSpaceDE w:val="0"/>
              <w:autoSpaceDN w:val="0"/>
              <w:adjustRightInd w:val="0"/>
              <w:spacing w:before="120"/>
              <w:ind w:leftChars="0" w:left="0"/>
              <w:rPr>
                <w:rFonts w:ascii="Cambria" w:hAnsi="Cambria" w:cs="Cambria"/>
                <w:color w:val="000000"/>
                <w:sz w:val="20"/>
                <w:szCs w:val="20"/>
              </w:rPr>
            </w:pPr>
            <w:r w:rsidRPr="001C249F">
              <w:rPr>
                <w:rFonts w:ascii="Cambria" w:hAnsi="Cambria" w:cs="Cambria" w:hint="eastAsia"/>
                <w:color w:val="000000"/>
                <w:sz w:val="20"/>
                <w:szCs w:val="20"/>
              </w:rPr>
              <w:t>E</w:t>
            </w:r>
            <w:r w:rsidRPr="001C249F">
              <w:rPr>
                <w:rFonts w:ascii="Cambria" w:hAnsi="Cambria" w:cs="Cambria"/>
                <w:color w:val="000000"/>
                <w:sz w:val="20"/>
                <w:szCs w:val="20"/>
              </w:rPr>
              <w:t>gypt</w:t>
            </w:r>
          </w:p>
        </w:tc>
        <w:tc>
          <w:tcPr>
            <w:tcW w:w="1559" w:type="dxa"/>
          </w:tcPr>
          <w:p w14:paraId="607137F7" w14:textId="287A1FDF" w:rsidR="00E4341C" w:rsidRPr="001C249F" w:rsidRDefault="00E4341C" w:rsidP="00635DBE">
            <w:pPr>
              <w:widowControl w:val="0"/>
              <w:autoSpaceDE w:val="0"/>
              <w:autoSpaceDN w:val="0"/>
              <w:adjustRightInd w:val="0"/>
              <w:spacing w:before="120"/>
              <w:ind w:leftChars="-51" w:left="-112" w:firstLine="11"/>
              <w:jc w:val="center"/>
              <w:rPr>
                <w:rFonts w:ascii="Cambria" w:hAnsi="Cambria" w:cs="Cambria"/>
                <w:color w:val="000000"/>
                <w:sz w:val="20"/>
                <w:szCs w:val="20"/>
              </w:rPr>
            </w:pPr>
            <w:r w:rsidRPr="00E052A7">
              <w:rPr>
                <w:rFonts w:ascii="Cambria" w:hAnsi="Cambria" w:cs="Cambria"/>
                <w:color w:val="000000"/>
                <w:sz w:val="20"/>
                <w:szCs w:val="20"/>
              </w:rPr>
              <w:t>150</w:t>
            </w:r>
            <w:r w:rsidR="00FE2DCA" w:rsidRPr="00E052A7">
              <w:rPr>
                <w:rFonts w:ascii="Cambria" w:hAnsi="Cambria" w:cs="Cambria"/>
                <w:color w:val="000000"/>
                <w:sz w:val="20"/>
                <w:szCs w:val="20"/>
              </w:rPr>
              <w:t>.</w:t>
            </w:r>
            <w:r w:rsidRPr="00E052A7">
              <w:rPr>
                <w:rFonts w:ascii="Cambria" w:hAnsi="Cambria" w:cs="Cambria"/>
                <w:color w:val="000000"/>
                <w:sz w:val="20"/>
                <w:szCs w:val="20"/>
              </w:rPr>
              <w:t>27</w:t>
            </w:r>
          </w:p>
        </w:tc>
      </w:tr>
      <w:tr w:rsidR="00E4341C" w:rsidRPr="001C249F" w14:paraId="66E756D0" w14:textId="704B5453" w:rsidTr="00F556FF">
        <w:tc>
          <w:tcPr>
            <w:tcW w:w="1838" w:type="dxa"/>
          </w:tcPr>
          <w:p w14:paraId="10CD804A" w14:textId="77777777" w:rsidR="00E4341C" w:rsidRPr="001C249F" w:rsidRDefault="00E4341C" w:rsidP="004E05C6">
            <w:pPr>
              <w:widowControl w:val="0"/>
              <w:autoSpaceDE w:val="0"/>
              <w:autoSpaceDN w:val="0"/>
              <w:adjustRightInd w:val="0"/>
              <w:spacing w:before="120"/>
              <w:ind w:leftChars="0" w:left="0"/>
              <w:rPr>
                <w:rFonts w:ascii="Cambria" w:hAnsi="Cambria" w:cs="Cambria"/>
                <w:color w:val="000000"/>
                <w:sz w:val="20"/>
                <w:szCs w:val="20"/>
              </w:rPr>
            </w:pPr>
            <w:r w:rsidRPr="001C249F">
              <w:rPr>
                <w:rFonts w:ascii="Cambria" w:hAnsi="Cambria" w:cs="Cambria" w:hint="eastAsia"/>
                <w:color w:val="000000"/>
                <w:sz w:val="20"/>
                <w:szCs w:val="20"/>
              </w:rPr>
              <w:t>L</w:t>
            </w:r>
            <w:r w:rsidRPr="001C249F">
              <w:rPr>
                <w:rFonts w:ascii="Cambria" w:hAnsi="Cambria" w:cs="Cambria"/>
                <w:color w:val="000000"/>
                <w:sz w:val="20"/>
                <w:szCs w:val="20"/>
              </w:rPr>
              <w:t>ibya</w:t>
            </w:r>
          </w:p>
        </w:tc>
        <w:tc>
          <w:tcPr>
            <w:tcW w:w="1559" w:type="dxa"/>
          </w:tcPr>
          <w:p w14:paraId="3D86E871" w14:textId="5BCEA70C" w:rsidR="00E4341C" w:rsidRPr="001C249F" w:rsidRDefault="00E4341C" w:rsidP="00635DBE">
            <w:pPr>
              <w:widowControl w:val="0"/>
              <w:autoSpaceDE w:val="0"/>
              <w:autoSpaceDN w:val="0"/>
              <w:adjustRightInd w:val="0"/>
              <w:spacing w:before="120"/>
              <w:ind w:leftChars="-51" w:left="-112" w:firstLine="11"/>
              <w:jc w:val="center"/>
              <w:rPr>
                <w:rFonts w:ascii="Cambria" w:hAnsi="Cambria" w:cs="Cambria"/>
                <w:color w:val="000000"/>
                <w:sz w:val="20"/>
                <w:szCs w:val="20"/>
              </w:rPr>
            </w:pPr>
            <w:r w:rsidRPr="001C249F">
              <w:rPr>
                <w:rFonts w:ascii="Cambria" w:hAnsi="Cambria" w:cs="Cambria"/>
                <w:color w:val="000000"/>
                <w:sz w:val="20"/>
                <w:szCs w:val="20"/>
              </w:rPr>
              <w:t>23</w:t>
            </w:r>
          </w:p>
        </w:tc>
      </w:tr>
      <w:tr w:rsidR="00E4341C" w:rsidRPr="001C249F" w14:paraId="0CE40D09" w14:textId="2B4CB966" w:rsidTr="00F556FF">
        <w:tc>
          <w:tcPr>
            <w:tcW w:w="1838" w:type="dxa"/>
          </w:tcPr>
          <w:p w14:paraId="53FA4ABE" w14:textId="77777777" w:rsidR="00E4341C" w:rsidRPr="001C249F" w:rsidRDefault="00E4341C" w:rsidP="004E05C6">
            <w:pPr>
              <w:widowControl w:val="0"/>
              <w:autoSpaceDE w:val="0"/>
              <w:autoSpaceDN w:val="0"/>
              <w:adjustRightInd w:val="0"/>
              <w:spacing w:before="120"/>
              <w:ind w:leftChars="0" w:left="0"/>
              <w:rPr>
                <w:rFonts w:ascii="Cambria" w:hAnsi="Cambria" w:cs="Cambria"/>
                <w:color w:val="000000"/>
                <w:sz w:val="20"/>
                <w:szCs w:val="20"/>
              </w:rPr>
            </w:pPr>
            <w:r w:rsidRPr="001C249F">
              <w:rPr>
                <w:rFonts w:ascii="Cambria" w:hAnsi="Cambria" w:cs="Cambria" w:hint="eastAsia"/>
                <w:color w:val="000000"/>
                <w:sz w:val="20"/>
                <w:szCs w:val="20"/>
              </w:rPr>
              <w:t>M</w:t>
            </w:r>
            <w:r w:rsidRPr="001C249F">
              <w:rPr>
                <w:rFonts w:ascii="Cambria" w:hAnsi="Cambria" w:cs="Cambria"/>
                <w:color w:val="000000"/>
                <w:sz w:val="20"/>
                <w:szCs w:val="20"/>
              </w:rPr>
              <w:t>orocco</w:t>
            </w:r>
          </w:p>
        </w:tc>
        <w:tc>
          <w:tcPr>
            <w:tcW w:w="1559" w:type="dxa"/>
          </w:tcPr>
          <w:p w14:paraId="5E276C0E" w14:textId="0041D3DF" w:rsidR="00E4341C" w:rsidRPr="001C249F" w:rsidRDefault="00E4341C" w:rsidP="00635DBE">
            <w:pPr>
              <w:widowControl w:val="0"/>
              <w:autoSpaceDE w:val="0"/>
              <w:autoSpaceDN w:val="0"/>
              <w:adjustRightInd w:val="0"/>
              <w:spacing w:before="120"/>
              <w:ind w:leftChars="-51" w:left="-112" w:firstLine="11"/>
              <w:jc w:val="center"/>
              <w:rPr>
                <w:rFonts w:ascii="Cambria" w:hAnsi="Cambria" w:cs="Cambria"/>
                <w:color w:val="000000"/>
                <w:sz w:val="20"/>
                <w:szCs w:val="20"/>
              </w:rPr>
            </w:pPr>
            <w:r w:rsidRPr="001C249F">
              <w:rPr>
                <w:rFonts w:ascii="Cambria" w:hAnsi="Cambria" w:cs="Cambria"/>
                <w:color w:val="000000"/>
                <w:sz w:val="20"/>
                <w:szCs w:val="20"/>
              </w:rPr>
              <w:t>10</w:t>
            </w:r>
          </w:p>
        </w:tc>
      </w:tr>
      <w:tr w:rsidR="00E4341C" w:rsidRPr="001C249F" w14:paraId="13B39C32" w14:textId="47E7902C" w:rsidTr="00F556FF">
        <w:tc>
          <w:tcPr>
            <w:tcW w:w="1838" w:type="dxa"/>
          </w:tcPr>
          <w:p w14:paraId="23D4B87C" w14:textId="77777777" w:rsidR="00E4341C" w:rsidRPr="001C249F" w:rsidRDefault="00E4341C" w:rsidP="004E05C6">
            <w:pPr>
              <w:widowControl w:val="0"/>
              <w:autoSpaceDE w:val="0"/>
              <w:autoSpaceDN w:val="0"/>
              <w:adjustRightInd w:val="0"/>
              <w:spacing w:before="120"/>
              <w:ind w:leftChars="0" w:left="0"/>
              <w:rPr>
                <w:rFonts w:ascii="Cambria" w:hAnsi="Cambria" w:cs="Cambria"/>
                <w:color w:val="000000"/>
                <w:sz w:val="20"/>
                <w:szCs w:val="20"/>
              </w:rPr>
            </w:pPr>
            <w:r w:rsidRPr="001C249F">
              <w:rPr>
                <w:rFonts w:ascii="Cambria" w:hAnsi="Cambria" w:cs="Cambria" w:hint="eastAsia"/>
                <w:color w:val="000000"/>
                <w:sz w:val="20"/>
                <w:szCs w:val="20"/>
              </w:rPr>
              <w:t>S</w:t>
            </w:r>
            <w:r w:rsidRPr="001C249F">
              <w:rPr>
                <w:rFonts w:ascii="Cambria" w:hAnsi="Cambria" w:cs="Cambria"/>
                <w:color w:val="000000"/>
                <w:sz w:val="20"/>
                <w:szCs w:val="20"/>
              </w:rPr>
              <w:t>yria</w:t>
            </w:r>
          </w:p>
        </w:tc>
        <w:tc>
          <w:tcPr>
            <w:tcW w:w="1559" w:type="dxa"/>
          </w:tcPr>
          <w:p w14:paraId="4464FE52" w14:textId="239EB01A" w:rsidR="00E4341C" w:rsidRPr="001C249F" w:rsidRDefault="00E4341C" w:rsidP="00635DBE">
            <w:pPr>
              <w:widowControl w:val="0"/>
              <w:autoSpaceDE w:val="0"/>
              <w:autoSpaceDN w:val="0"/>
              <w:adjustRightInd w:val="0"/>
              <w:spacing w:before="120"/>
              <w:ind w:leftChars="-51" w:left="-112" w:firstLine="11"/>
              <w:jc w:val="center"/>
              <w:rPr>
                <w:rFonts w:ascii="Cambria" w:hAnsi="Cambria" w:cs="Cambria"/>
                <w:color w:val="000000"/>
                <w:sz w:val="20"/>
                <w:szCs w:val="20"/>
              </w:rPr>
            </w:pPr>
            <w:r w:rsidRPr="001C249F">
              <w:rPr>
                <w:rFonts w:ascii="Cambria" w:hAnsi="Cambria" w:cs="Cambria"/>
                <w:color w:val="000000"/>
                <w:sz w:val="20"/>
                <w:szCs w:val="20"/>
              </w:rPr>
              <w:t>1.8</w:t>
            </w:r>
          </w:p>
        </w:tc>
      </w:tr>
      <w:tr w:rsidR="00E4341C" w:rsidRPr="001C249F" w14:paraId="22AD088A" w14:textId="2CD7FC33" w:rsidTr="00F556FF">
        <w:tc>
          <w:tcPr>
            <w:tcW w:w="1838" w:type="dxa"/>
          </w:tcPr>
          <w:p w14:paraId="6C7BDC70" w14:textId="208D3E18" w:rsidR="00E4341C" w:rsidRPr="001C249F" w:rsidRDefault="00E4341C" w:rsidP="00AA62BE">
            <w:pPr>
              <w:widowControl w:val="0"/>
              <w:autoSpaceDE w:val="0"/>
              <w:autoSpaceDN w:val="0"/>
              <w:adjustRightInd w:val="0"/>
              <w:spacing w:before="120"/>
              <w:ind w:leftChars="0" w:left="0"/>
              <w:rPr>
                <w:rFonts w:ascii="Cambria" w:hAnsi="Cambria" w:cs="Cambria"/>
                <w:color w:val="000000"/>
                <w:sz w:val="20"/>
                <w:szCs w:val="20"/>
              </w:rPr>
            </w:pPr>
            <w:proofErr w:type="spellStart"/>
            <w:proofErr w:type="gramStart"/>
            <w:r w:rsidRPr="001C249F">
              <w:rPr>
                <w:rFonts w:ascii="Cambria" w:hAnsi="Cambria" w:cs="Cambria" w:hint="eastAsia"/>
                <w:color w:val="000000"/>
                <w:sz w:val="20"/>
                <w:szCs w:val="20"/>
              </w:rPr>
              <w:t>T</w:t>
            </w:r>
            <w:r w:rsidRPr="001C249F">
              <w:rPr>
                <w:rFonts w:ascii="Cambria" w:hAnsi="Cambria" w:cs="Cambria"/>
                <w:color w:val="000000"/>
                <w:sz w:val="20"/>
                <w:szCs w:val="20"/>
              </w:rPr>
              <w:t>ürkiye</w:t>
            </w:r>
            <w:proofErr w:type="spellEnd"/>
            <w:r w:rsidRPr="001C249F">
              <w:rPr>
                <w:rFonts w:ascii="Cambria" w:hAnsi="Cambria" w:cs="Cambria"/>
                <w:color w:val="000000"/>
                <w:sz w:val="20"/>
                <w:szCs w:val="20"/>
                <w:vertAlign w:val="superscript"/>
              </w:rPr>
              <w:t>(</w:t>
            </w:r>
            <w:proofErr w:type="gramEnd"/>
            <w:r w:rsidRPr="001C249F">
              <w:rPr>
                <w:rFonts w:ascii="Cambria" w:hAnsi="Cambria" w:cs="Cambria"/>
                <w:color w:val="000000"/>
                <w:sz w:val="20"/>
                <w:szCs w:val="20"/>
                <w:vertAlign w:val="superscript"/>
              </w:rPr>
              <w:t>*)</w:t>
            </w:r>
          </w:p>
        </w:tc>
        <w:tc>
          <w:tcPr>
            <w:tcW w:w="1559" w:type="dxa"/>
          </w:tcPr>
          <w:p w14:paraId="723BE350" w14:textId="4BA44BB6" w:rsidR="00E4341C" w:rsidRPr="001C249F" w:rsidRDefault="00E4341C" w:rsidP="00635DBE">
            <w:pPr>
              <w:widowControl w:val="0"/>
              <w:autoSpaceDE w:val="0"/>
              <w:autoSpaceDN w:val="0"/>
              <w:adjustRightInd w:val="0"/>
              <w:spacing w:before="120"/>
              <w:ind w:leftChars="-51" w:left="-112" w:firstLine="11"/>
              <w:jc w:val="center"/>
              <w:rPr>
                <w:rFonts w:ascii="Cambria" w:hAnsi="Cambria" w:cs="Cambria"/>
                <w:color w:val="000000"/>
                <w:sz w:val="20"/>
                <w:szCs w:val="20"/>
              </w:rPr>
            </w:pPr>
            <w:r w:rsidRPr="001C249F">
              <w:rPr>
                <w:rFonts w:ascii="Cambria" w:hAnsi="Cambria" w:cs="Cambria"/>
                <w:color w:val="000000"/>
                <w:sz w:val="20"/>
                <w:szCs w:val="20"/>
              </w:rPr>
              <w:t>225</w:t>
            </w:r>
          </w:p>
        </w:tc>
      </w:tr>
      <w:tr w:rsidR="00E4341C" w:rsidRPr="001C249F" w14:paraId="0C7907BD" w14:textId="2718D568" w:rsidTr="00F556FF">
        <w:tc>
          <w:tcPr>
            <w:tcW w:w="1838" w:type="dxa"/>
          </w:tcPr>
          <w:p w14:paraId="632D6C4C" w14:textId="77777777" w:rsidR="00E4341C" w:rsidRPr="001C249F" w:rsidRDefault="00E4341C" w:rsidP="004E05C6">
            <w:pPr>
              <w:widowControl w:val="0"/>
              <w:autoSpaceDE w:val="0"/>
              <w:autoSpaceDN w:val="0"/>
              <w:adjustRightInd w:val="0"/>
              <w:spacing w:before="120"/>
              <w:ind w:leftChars="0" w:left="0"/>
              <w:rPr>
                <w:rFonts w:ascii="Cambria" w:hAnsi="Cambria" w:cs="Cambria"/>
                <w:b/>
                <w:color w:val="000000"/>
                <w:sz w:val="20"/>
                <w:szCs w:val="20"/>
              </w:rPr>
            </w:pPr>
            <w:r w:rsidRPr="001C249F">
              <w:rPr>
                <w:rFonts w:ascii="Cambria" w:hAnsi="Cambria" w:cs="Cambria" w:hint="eastAsia"/>
                <w:b/>
                <w:color w:val="000000"/>
                <w:sz w:val="20"/>
                <w:szCs w:val="20"/>
              </w:rPr>
              <w:t>T</w:t>
            </w:r>
            <w:r w:rsidRPr="001C249F">
              <w:rPr>
                <w:rFonts w:ascii="Cambria" w:hAnsi="Cambria" w:cs="Cambria"/>
                <w:b/>
                <w:color w:val="000000"/>
                <w:sz w:val="20"/>
                <w:szCs w:val="20"/>
              </w:rPr>
              <w:t>otal</w:t>
            </w:r>
          </w:p>
        </w:tc>
        <w:tc>
          <w:tcPr>
            <w:tcW w:w="1559" w:type="dxa"/>
          </w:tcPr>
          <w:p w14:paraId="6DD3A0C2" w14:textId="392DE289" w:rsidR="00E4341C" w:rsidRPr="001C249F" w:rsidRDefault="00E4341C" w:rsidP="00635DBE">
            <w:pPr>
              <w:widowControl w:val="0"/>
              <w:autoSpaceDE w:val="0"/>
              <w:autoSpaceDN w:val="0"/>
              <w:adjustRightInd w:val="0"/>
              <w:spacing w:before="120"/>
              <w:ind w:leftChars="-51" w:left="-112" w:firstLine="11"/>
              <w:jc w:val="center"/>
              <w:rPr>
                <w:rFonts w:ascii="Cambria" w:hAnsi="Cambria" w:cs="Cambria"/>
                <w:b/>
                <w:color w:val="000000"/>
                <w:sz w:val="20"/>
                <w:szCs w:val="20"/>
              </w:rPr>
            </w:pPr>
            <w:r w:rsidRPr="001C249F">
              <w:rPr>
                <w:rFonts w:ascii="Cambria" w:hAnsi="Cambria" w:cs="Cambria"/>
                <w:b/>
                <w:color w:val="000000"/>
                <w:sz w:val="20"/>
                <w:szCs w:val="20"/>
              </w:rPr>
              <w:t>2</w:t>
            </w:r>
            <w:r w:rsidR="00CA5931" w:rsidRPr="001C249F">
              <w:rPr>
                <w:rFonts w:ascii="Cambria" w:hAnsi="Cambria" w:cs="Cambria"/>
                <w:b/>
                <w:color w:val="000000"/>
                <w:sz w:val="20"/>
                <w:szCs w:val="20"/>
              </w:rPr>
              <w:t>,</w:t>
            </w:r>
            <w:r w:rsidRPr="001C249F">
              <w:rPr>
                <w:rFonts w:ascii="Cambria" w:hAnsi="Cambria" w:cs="Cambria"/>
                <w:b/>
                <w:color w:val="000000"/>
                <w:sz w:val="20"/>
                <w:szCs w:val="20"/>
              </w:rPr>
              <w:t>500</w:t>
            </w:r>
          </w:p>
        </w:tc>
      </w:tr>
    </w:tbl>
    <w:p w14:paraId="1E7428F7" w14:textId="60460335" w:rsidR="00635DBE" w:rsidRPr="001C249F" w:rsidRDefault="004E05C6" w:rsidP="00635DBE">
      <w:pPr>
        <w:spacing w:after="0" w:line="240" w:lineRule="auto"/>
        <w:ind w:left="2880"/>
        <w:jc w:val="both"/>
        <w:textAlignment w:val="baseline"/>
        <w:rPr>
          <w:rFonts w:ascii="Cambria" w:eastAsia="Yu Mincho" w:hAnsi="Cambria" w:cs="Cambria"/>
          <w:color w:val="000000"/>
          <w:kern w:val="2"/>
          <w:sz w:val="16"/>
          <w:szCs w:val="16"/>
          <w:lang w:val="en-US" w:eastAsia="ja-JP"/>
        </w:rPr>
      </w:pPr>
      <w:r w:rsidRPr="001C249F">
        <w:rPr>
          <w:rFonts w:ascii="Segoe UI" w:eastAsia="Times New Roman" w:hAnsi="Segoe UI" w:cs="Times New Roman"/>
          <w:sz w:val="20"/>
          <w:szCs w:val="20"/>
          <w:lang w:val="en-US"/>
        </w:rPr>
        <w:br w:type="textWrapping" w:clear="all"/>
      </w:r>
      <w:r w:rsidR="004E76B4" w:rsidRPr="001C249F">
        <w:rPr>
          <w:rFonts w:ascii="Cambria" w:eastAsia="Yu Mincho" w:hAnsi="Cambria" w:cs="Cambria"/>
          <w:color w:val="000000"/>
          <w:kern w:val="2"/>
          <w:sz w:val="16"/>
          <w:szCs w:val="16"/>
          <w:lang w:val="en-US" w:eastAsia="ja-JP"/>
        </w:rPr>
        <w:t xml:space="preserve">(*) </w:t>
      </w:r>
      <w:proofErr w:type="spellStart"/>
      <w:r w:rsidR="002D01FB" w:rsidRPr="001C249F">
        <w:rPr>
          <w:rFonts w:ascii="Cambria" w:hAnsi="Cambria" w:cs="Cambria" w:hint="eastAsia"/>
          <w:color w:val="000000"/>
          <w:sz w:val="16"/>
          <w:szCs w:val="16"/>
        </w:rPr>
        <w:t>T</w:t>
      </w:r>
      <w:r w:rsidR="002D01FB" w:rsidRPr="001C249F">
        <w:rPr>
          <w:rFonts w:ascii="Cambria" w:hAnsi="Cambria" w:cs="Cambria"/>
          <w:color w:val="000000"/>
          <w:sz w:val="16"/>
          <w:szCs w:val="16"/>
        </w:rPr>
        <w:t>ürkiye</w:t>
      </w:r>
      <w:proofErr w:type="spellEnd"/>
      <w:r w:rsidR="00AA62BE" w:rsidRPr="001C249F">
        <w:rPr>
          <w:rFonts w:ascii="Cambria" w:eastAsia="Yu Mincho" w:hAnsi="Cambria" w:cs="Cambria"/>
          <w:color w:val="000000"/>
          <w:kern w:val="2"/>
          <w:sz w:val="16"/>
          <w:szCs w:val="16"/>
          <w:lang w:val="en-US" w:eastAsia="ja-JP"/>
        </w:rPr>
        <w:t xml:space="preserve"> transfers to EU 75</w:t>
      </w:r>
      <w:r w:rsidR="00635DBE" w:rsidRPr="001C249F">
        <w:rPr>
          <w:rFonts w:ascii="Cambria" w:eastAsia="Yu Mincho" w:hAnsi="Cambria" w:cs="Cambria"/>
          <w:color w:val="000000"/>
          <w:kern w:val="2"/>
          <w:sz w:val="16"/>
          <w:szCs w:val="16"/>
          <w:lang w:val="en-US" w:eastAsia="ja-JP"/>
        </w:rPr>
        <w:t xml:space="preserve"> </w:t>
      </w:r>
      <w:r w:rsidR="00AA62BE" w:rsidRPr="001C249F">
        <w:rPr>
          <w:rFonts w:ascii="Cambria" w:eastAsia="Yu Mincho" w:hAnsi="Cambria" w:cs="Cambria"/>
          <w:color w:val="000000"/>
          <w:kern w:val="2"/>
          <w:sz w:val="16"/>
          <w:szCs w:val="16"/>
          <w:lang w:val="en-US" w:eastAsia="ja-JP"/>
        </w:rPr>
        <w:t>t in 2023, 75</w:t>
      </w:r>
      <w:r w:rsidR="00635DBE" w:rsidRPr="001C249F">
        <w:rPr>
          <w:rFonts w:ascii="Cambria" w:eastAsia="Yu Mincho" w:hAnsi="Cambria" w:cs="Cambria"/>
          <w:color w:val="000000"/>
          <w:kern w:val="2"/>
          <w:sz w:val="16"/>
          <w:szCs w:val="16"/>
          <w:lang w:val="en-US" w:eastAsia="ja-JP"/>
        </w:rPr>
        <w:t xml:space="preserve"> </w:t>
      </w:r>
      <w:r w:rsidR="00AA62BE" w:rsidRPr="001C249F">
        <w:rPr>
          <w:rFonts w:ascii="Cambria" w:eastAsia="Yu Mincho" w:hAnsi="Cambria" w:cs="Cambria"/>
          <w:color w:val="000000"/>
          <w:kern w:val="2"/>
          <w:sz w:val="16"/>
          <w:szCs w:val="16"/>
          <w:lang w:val="en-US" w:eastAsia="ja-JP"/>
        </w:rPr>
        <w:t xml:space="preserve">t in 2024 and for the </w:t>
      </w:r>
    </w:p>
    <w:p w14:paraId="0FFA3CA2" w14:textId="63B7D506" w:rsidR="004E76B4" w:rsidRPr="001C249F" w:rsidRDefault="00AA62BE" w:rsidP="00635DBE">
      <w:pPr>
        <w:spacing w:after="0" w:line="240" w:lineRule="auto"/>
        <w:ind w:left="2880"/>
        <w:jc w:val="both"/>
        <w:textAlignment w:val="baseline"/>
        <w:rPr>
          <w:rFonts w:ascii="Segoe UI" w:eastAsia="Times New Roman" w:hAnsi="Segoe UI" w:cs="Times New Roman"/>
          <w:sz w:val="16"/>
          <w:szCs w:val="16"/>
          <w:lang w:val="en-US"/>
        </w:rPr>
      </w:pPr>
      <w:r w:rsidRPr="001C249F">
        <w:rPr>
          <w:rFonts w:ascii="Cambria" w:eastAsia="Yu Mincho" w:hAnsi="Cambria" w:cs="Cambria"/>
          <w:color w:val="000000"/>
          <w:kern w:val="2"/>
          <w:sz w:val="16"/>
          <w:szCs w:val="16"/>
          <w:lang w:val="en-US" w:eastAsia="ja-JP"/>
        </w:rPr>
        <w:t xml:space="preserve">following years, any part of the unused quota up to </w:t>
      </w:r>
      <w:r w:rsidR="002D01FB" w:rsidRPr="001C249F">
        <w:rPr>
          <w:rFonts w:ascii="Cambria" w:eastAsia="Yu Mincho" w:hAnsi="Cambria" w:cs="Cambria"/>
          <w:color w:val="000000"/>
          <w:kern w:val="2"/>
          <w:sz w:val="16"/>
          <w:szCs w:val="16"/>
          <w:lang w:val="en-US" w:eastAsia="ja-JP"/>
        </w:rPr>
        <w:t xml:space="preserve">maximum of </w:t>
      </w:r>
      <w:r w:rsidRPr="001C249F">
        <w:rPr>
          <w:rFonts w:ascii="Cambria" w:eastAsia="Yu Mincho" w:hAnsi="Cambria" w:cs="Cambria"/>
          <w:color w:val="000000"/>
          <w:kern w:val="2"/>
          <w:sz w:val="16"/>
          <w:szCs w:val="16"/>
          <w:lang w:val="en-US" w:eastAsia="ja-JP"/>
        </w:rPr>
        <w:t>75</w:t>
      </w:r>
      <w:r w:rsidR="00635DBE" w:rsidRPr="001C249F">
        <w:rPr>
          <w:rFonts w:ascii="Cambria" w:eastAsia="Yu Mincho" w:hAnsi="Cambria" w:cs="Cambria"/>
          <w:color w:val="000000"/>
          <w:kern w:val="2"/>
          <w:sz w:val="16"/>
          <w:szCs w:val="16"/>
          <w:lang w:val="en-US" w:eastAsia="ja-JP"/>
        </w:rPr>
        <w:t xml:space="preserve"> </w:t>
      </w:r>
      <w:r w:rsidRPr="001C249F">
        <w:rPr>
          <w:rFonts w:ascii="Cambria" w:eastAsia="Yu Mincho" w:hAnsi="Cambria" w:cs="Cambria"/>
          <w:color w:val="000000"/>
          <w:kern w:val="2"/>
          <w:sz w:val="16"/>
          <w:szCs w:val="16"/>
          <w:lang w:val="en-US" w:eastAsia="ja-JP"/>
        </w:rPr>
        <w:t xml:space="preserve">t. </w:t>
      </w:r>
    </w:p>
    <w:p w14:paraId="4AE313E2" w14:textId="77777777" w:rsidR="008977DF" w:rsidRPr="001C249F" w:rsidRDefault="008977DF" w:rsidP="009C7490">
      <w:pPr>
        <w:spacing w:after="0" w:line="240" w:lineRule="auto"/>
        <w:jc w:val="both"/>
        <w:textAlignment w:val="baseline"/>
        <w:rPr>
          <w:rFonts w:ascii="Segoe UI" w:eastAsia="Times New Roman" w:hAnsi="Segoe UI" w:cs="Times New Roman"/>
          <w:sz w:val="20"/>
          <w:szCs w:val="20"/>
          <w:lang w:val="en-US"/>
        </w:rPr>
      </w:pPr>
    </w:p>
    <w:p w14:paraId="222B76D8" w14:textId="37B0D241" w:rsidR="009C7490" w:rsidRPr="001C249F" w:rsidRDefault="009C7490" w:rsidP="009C7490">
      <w:pPr>
        <w:numPr>
          <w:ilvl w:val="0"/>
          <w:numId w:val="3"/>
        </w:numPr>
        <w:spacing w:after="0" w:line="240" w:lineRule="auto"/>
        <w:ind w:left="426" w:hanging="426"/>
        <w:jc w:val="both"/>
        <w:textAlignment w:val="baseline"/>
        <w:rPr>
          <w:rFonts w:ascii="Cambria" w:eastAsia="Times New Roman" w:hAnsi="Cambria" w:cs="Times New Roman"/>
          <w:sz w:val="20"/>
          <w:szCs w:val="20"/>
          <w:lang w:val="en-US"/>
        </w:rPr>
      </w:pPr>
      <w:bookmarkStart w:id="0" w:name="_Hlk120542258"/>
      <w:r w:rsidRPr="001C249F">
        <w:rPr>
          <w:rFonts w:ascii="Cambria" w:eastAsia="Times New Roman" w:hAnsi="Cambria" w:cs="Times New Roman"/>
          <w:sz w:val="20"/>
          <w:szCs w:val="20"/>
          <w:lang w:val="en-US"/>
        </w:rPr>
        <w:t xml:space="preserve">Each CPC shall limit the number of their fishing vessels </w:t>
      </w:r>
      <w:proofErr w:type="spellStart"/>
      <w:r w:rsidRPr="001C249F">
        <w:rPr>
          <w:rFonts w:ascii="Cambria" w:eastAsia="Times New Roman" w:hAnsi="Cambria" w:cs="Times New Roman"/>
          <w:sz w:val="20"/>
          <w:szCs w:val="20"/>
          <w:lang w:val="en-US"/>
        </w:rPr>
        <w:t>authorised</w:t>
      </w:r>
      <w:proofErr w:type="spellEnd"/>
      <w:r w:rsidRPr="001C249F">
        <w:rPr>
          <w:rFonts w:ascii="Cambria" w:eastAsia="Times New Roman" w:hAnsi="Cambria" w:cs="Times New Roman"/>
          <w:sz w:val="20"/>
          <w:szCs w:val="20"/>
          <w:lang w:val="en-US"/>
        </w:rPr>
        <w:t xml:space="preserve"> to fish for Mediterranean albacore to the number of vessels that were authorized to fish for Mediterranean albacore in 2017 under paragraph 28 of Recommendation 16-05; alternatively, in 2018 for CPCs which started to issue licenses for their fishing vessels</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in</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2018 following the adoption of Recommendation 17-05. The CPCs shall communicate to the Commission, by 15 January 202</w:t>
      </w:r>
      <w:r w:rsidR="007D2921" w:rsidRPr="001C249F">
        <w:rPr>
          <w:rFonts w:ascii="Cambria" w:eastAsia="Times New Roman" w:hAnsi="Cambria" w:cs="Times New Roman"/>
          <w:sz w:val="20"/>
          <w:szCs w:val="20"/>
          <w:lang w:val="en-US"/>
        </w:rPr>
        <w:t>2</w:t>
      </w:r>
      <w:r w:rsidRPr="001C249F">
        <w:rPr>
          <w:rFonts w:ascii="Cambria" w:eastAsia="Times New Roman" w:hAnsi="Cambria" w:cs="Times New Roman"/>
          <w:sz w:val="20"/>
          <w:szCs w:val="20"/>
          <w:lang w:val="en-US"/>
        </w:rPr>
        <w:t xml:space="preserve">, the year of reference applying to them. CPCs, which used 2017 as the year of reference, may apply a tolerance of 10% to this capacity limit. </w:t>
      </w:r>
    </w:p>
    <w:bookmarkEnd w:id="0"/>
    <w:p w14:paraId="787AF0C4" w14:textId="77777777" w:rsidR="009C7490" w:rsidRPr="001C249F" w:rsidRDefault="009C7490" w:rsidP="009C7490">
      <w:pPr>
        <w:spacing w:after="0" w:line="240" w:lineRule="auto"/>
        <w:ind w:left="720"/>
        <w:jc w:val="both"/>
        <w:textAlignment w:val="baseline"/>
        <w:rPr>
          <w:rFonts w:ascii="Cambria" w:eastAsia="Times New Roman" w:hAnsi="Cambria" w:cs="Times New Roman"/>
          <w:sz w:val="16"/>
          <w:szCs w:val="16"/>
          <w:lang w:val="en-US"/>
        </w:rPr>
      </w:pPr>
    </w:p>
    <w:p w14:paraId="1F73872A" w14:textId="1F8E13C8" w:rsidR="009C7490" w:rsidRPr="001C249F" w:rsidRDefault="009C7490" w:rsidP="009C7490">
      <w:pPr>
        <w:numPr>
          <w:ilvl w:val="0"/>
          <w:numId w:val="3"/>
        </w:numPr>
        <w:spacing w:after="0" w:line="240" w:lineRule="auto"/>
        <w:ind w:left="426" w:hanging="426"/>
        <w:jc w:val="both"/>
        <w:textAlignment w:val="baseline"/>
        <w:rPr>
          <w:rFonts w:ascii="Cambria" w:eastAsia="Times New Roman" w:hAnsi="Cambria" w:cs="Times New Roman"/>
          <w:sz w:val="20"/>
          <w:szCs w:val="20"/>
          <w:lang w:val="en-US"/>
        </w:rPr>
      </w:pPr>
      <w:r w:rsidRPr="001C249F">
        <w:rPr>
          <w:rFonts w:ascii="Cambria" w:eastAsia="Times New Roman" w:hAnsi="Cambria" w:cs="Times New Roman"/>
          <w:sz w:val="20"/>
          <w:szCs w:val="20"/>
          <w:lang w:val="en-US"/>
        </w:rPr>
        <w:t>CPCs shall provide to the ICCAT Secretariat the list of all sport and recreational vessels authorized to catch albacore in the Mediterranean Sea, at least 15 days before the exercise of the activities. Vessels not introduced on this list shall not be authorized to catch Mediterranean albacore.</w:t>
      </w:r>
    </w:p>
    <w:p w14:paraId="7CC94D6D" w14:textId="77777777" w:rsidR="009C7490" w:rsidRPr="001C249F" w:rsidRDefault="009C7490" w:rsidP="009C7490">
      <w:pPr>
        <w:numPr>
          <w:ilvl w:val="0"/>
          <w:numId w:val="3"/>
        </w:numPr>
        <w:spacing w:after="0" w:line="240" w:lineRule="auto"/>
        <w:ind w:left="426" w:hanging="426"/>
        <w:jc w:val="both"/>
        <w:textAlignment w:val="baseline"/>
        <w:rPr>
          <w:rFonts w:ascii="Cambria" w:eastAsia="Times New Roman" w:hAnsi="Cambria" w:cs="Times New Roman"/>
          <w:sz w:val="20"/>
          <w:szCs w:val="20"/>
          <w:lang w:val="en-US"/>
        </w:rPr>
      </w:pPr>
      <w:r w:rsidRPr="001C249F">
        <w:rPr>
          <w:rFonts w:ascii="Cambria" w:eastAsia="Times New Roman" w:hAnsi="Cambria" w:cs="Times New Roman"/>
          <w:sz w:val="20"/>
          <w:szCs w:val="20"/>
          <w:lang w:val="en-US"/>
        </w:rPr>
        <w:lastRenderedPageBreak/>
        <w:t>CPCs shall take the necessary measures to prohibit the catch and retention on board, transshipment or landing of more than three Mediterranean albacore specimens per vessel per day for sport and recreational fisheries.</w:t>
      </w:r>
    </w:p>
    <w:p w14:paraId="51AC3C38" w14:textId="77777777" w:rsidR="009C7490" w:rsidRPr="001C249F" w:rsidRDefault="009C7490" w:rsidP="009C7490">
      <w:pPr>
        <w:spacing w:after="0" w:line="240" w:lineRule="auto"/>
        <w:ind w:left="720"/>
        <w:jc w:val="both"/>
        <w:textAlignment w:val="baseline"/>
        <w:rPr>
          <w:rFonts w:ascii="Calibri" w:eastAsia="Calibri" w:hAnsi="Calibri" w:cs="Calibri"/>
          <w:sz w:val="20"/>
          <w:szCs w:val="20"/>
          <w:lang w:val="en-US"/>
        </w:rPr>
      </w:pPr>
    </w:p>
    <w:p w14:paraId="578F004B" w14:textId="77777777" w:rsidR="009C7490" w:rsidRPr="001C249F" w:rsidRDefault="009C7490" w:rsidP="00DA6C0B">
      <w:pPr>
        <w:numPr>
          <w:ilvl w:val="0"/>
          <w:numId w:val="3"/>
        </w:numPr>
        <w:tabs>
          <w:tab w:val="clear" w:pos="360"/>
        </w:tabs>
        <w:spacing w:after="0" w:line="240" w:lineRule="auto"/>
        <w:ind w:left="426" w:hanging="426"/>
        <w:jc w:val="both"/>
        <w:textAlignment w:val="baseline"/>
        <w:rPr>
          <w:rFonts w:ascii="Cambria" w:eastAsia="Times New Roman" w:hAnsi="Cambria" w:cs="Times New Roman"/>
          <w:sz w:val="20"/>
          <w:szCs w:val="20"/>
          <w:lang w:val="en-US"/>
        </w:rPr>
      </w:pPr>
      <w:r w:rsidRPr="001C249F">
        <w:rPr>
          <w:rFonts w:ascii="Cambria" w:eastAsia="Times New Roman" w:hAnsi="Cambria" w:cs="Times New Roman"/>
          <w:sz w:val="20"/>
          <w:szCs w:val="20"/>
          <w:lang w:val="en-US"/>
        </w:rPr>
        <w:t>The marketing of Mediterranean albacore caught in sport and recreational fishing shall be prohibited.</w:t>
      </w:r>
    </w:p>
    <w:p w14:paraId="240B0FD2" w14:textId="77777777" w:rsidR="009C7490" w:rsidRPr="001C249F" w:rsidRDefault="009C7490" w:rsidP="009C7490">
      <w:pPr>
        <w:spacing w:after="0" w:line="240" w:lineRule="auto"/>
        <w:ind w:left="720"/>
        <w:jc w:val="both"/>
        <w:textAlignment w:val="baseline"/>
        <w:rPr>
          <w:rFonts w:ascii="Cambria" w:eastAsia="Times New Roman" w:hAnsi="Cambria" w:cs="Times New Roman"/>
          <w:sz w:val="20"/>
          <w:szCs w:val="20"/>
          <w:lang w:val="en-US"/>
        </w:rPr>
      </w:pPr>
    </w:p>
    <w:p w14:paraId="576AA535" w14:textId="77777777" w:rsidR="009C7490" w:rsidRPr="001C249F" w:rsidRDefault="009C7490" w:rsidP="00DA6C0B">
      <w:pPr>
        <w:numPr>
          <w:ilvl w:val="0"/>
          <w:numId w:val="3"/>
        </w:numPr>
        <w:tabs>
          <w:tab w:val="clear" w:pos="360"/>
        </w:tabs>
        <w:spacing w:after="0" w:line="240" w:lineRule="auto"/>
        <w:ind w:left="426" w:hanging="426"/>
        <w:jc w:val="both"/>
        <w:textAlignment w:val="baseline"/>
        <w:rPr>
          <w:rFonts w:ascii="Cambria" w:eastAsia="Times New Roman" w:hAnsi="Cambria" w:cs="Times New Roman"/>
          <w:sz w:val="20"/>
          <w:szCs w:val="20"/>
          <w:lang w:val="en-US"/>
        </w:rPr>
      </w:pPr>
      <w:r w:rsidRPr="001C249F">
        <w:rPr>
          <w:rFonts w:ascii="Cambria" w:eastAsia="Times New Roman" w:hAnsi="Cambria" w:cs="Segoe UI"/>
          <w:bCs/>
          <w:sz w:val="20"/>
          <w:szCs w:val="20"/>
          <w:lang w:val="en-US"/>
        </w:rPr>
        <w:t xml:space="preserve">Without prejudice to the obligation set out in paragraph 12 of </w:t>
      </w:r>
      <w:r w:rsidRPr="001C249F">
        <w:rPr>
          <w:rFonts w:ascii="Cambria" w:eastAsia="Times New Roman" w:hAnsi="Cambria" w:cs="Segoe UI"/>
          <w:bCs/>
          <w:i/>
          <w:sz w:val="20"/>
          <w:szCs w:val="20"/>
          <w:lang w:val="en-US"/>
        </w:rPr>
        <w:t xml:space="preserve">Recommendation by ICCAT replacing the Recommendation 13-04 and establishing a multi-annual recovery plan for Mediterranean swordfish </w:t>
      </w:r>
      <w:r w:rsidRPr="001C249F">
        <w:rPr>
          <w:rFonts w:ascii="Cambria" w:eastAsia="Times New Roman" w:hAnsi="Cambria" w:cs="Segoe UI"/>
          <w:bCs/>
          <w:iCs/>
          <w:sz w:val="20"/>
          <w:szCs w:val="20"/>
          <w:lang w:val="en-US"/>
        </w:rPr>
        <w:t>(</w:t>
      </w:r>
      <w:r w:rsidRPr="001C249F">
        <w:rPr>
          <w:rFonts w:ascii="Cambria" w:eastAsia="Times New Roman" w:hAnsi="Cambria" w:cs="Segoe UI"/>
          <w:bCs/>
          <w:sz w:val="20"/>
          <w:szCs w:val="20"/>
          <w:lang w:val="en-US"/>
        </w:rPr>
        <w:t>Rec. 16-05),</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 xml:space="preserve">Mediterranean albacore shall not be caught (either as a targeted species or as bycatch), retained on board, </w:t>
      </w:r>
      <w:proofErr w:type="spellStart"/>
      <w:proofErr w:type="gramStart"/>
      <w:r w:rsidRPr="001C249F">
        <w:rPr>
          <w:rFonts w:ascii="Cambria" w:eastAsia="Times New Roman" w:hAnsi="Cambria" w:cs="Times New Roman"/>
          <w:sz w:val="20"/>
          <w:szCs w:val="20"/>
          <w:lang w:val="en-US"/>
        </w:rPr>
        <w:t>transhipped</w:t>
      </w:r>
      <w:proofErr w:type="spellEnd"/>
      <w:proofErr w:type="gramEnd"/>
      <w:r w:rsidRPr="001C249F">
        <w:rPr>
          <w:rFonts w:ascii="Cambria" w:eastAsia="Times New Roman" w:hAnsi="Cambria" w:cs="Times New Roman"/>
          <w:sz w:val="20"/>
          <w:szCs w:val="20"/>
          <w:lang w:val="en-US"/>
        </w:rPr>
        <w:t xml:space="preserve"> or landed during either: </w:t>
      </w:r>
    </w:p>
    <w:p w14:paraId="3150CBC1" w14:textId="77777777" w:rsidR="009C7490" w:rsidRPr="001C249F" w:rsidRDefault="009C7490" w:rsidP="009C7490">
      <w:pPr>
        <w:spacing w:after="0" w:line="240" w:lineRule="auto"/>
        <w:ind w:left="720"/>
        <w:jc w:val="both"/>
        <w:textAlignment w:val="baseline"/>
        <w:rPr>
          <w:rFonts w:ascii="Cambria" w:eastAsia="Times New Roman" w:hAnsi="Cambria" w:cs="Times New Roman"/>
          <w:sz w:val="20"/>
          <w:szCs w:val="20"/>
          <w:lang w:val="en-US"/>
        </w:rPr>
      </w:pPr>
    </w:p>
    <w:p w14:paraId="03A57B5E" w14:textId="666FFD96" w:rsidR="009C7490" w:rsidRPr="001C249F" w:rsidRDefault="009C7490" w:rsidP="009C7490">
      <w:pPr>
        <w:tabs>
          <w:tab w:val="left" w:pos="851"/>
        </w:tabs>
        <w:spacing w:after="0" w:line="240" w:lineRule="auto"/>
        <w:ind w:left="851" w:hanging="425"/>
        <w:jc w:val="both"/>
        <w:textAlignment w:val="baseline"/>
        <w:rPr>
          <w:rFonts w:ascii="Cambria" w:eastAsia="Times New Roman" w:hAnsi="Cambria" w:cs="Times New Roman"/>
          <w:sz w:val="20"/>
          <w:szCs w:val="20"/>
          <w:lang w:val="en-US"/>
        </w:rPr>
      </w:pPr>
      <w:r w:rsidRPr="001C249F">
        <w:rPr>
          <w:rFonts w:ascii="Cambria" w:eastAsia="Times New Roman" w:hAnsi="Cambria" w:cs="Times New Roman"/>
          <w:sz w:val="20"/>
          <w:szCs w:val="20"/>
          <w:lang w:val="en-US"/>
        </w:rPr>
        <w:t>a)</w:t>
      </w:r>
      <w:r w:rsidRPr="001C249F">
        <w:rPr>
          <w:rFonts w:ascii="Times New Roman" w:eastAsia="Times New Roman" w:hAnsi="Times New Roman" w:cs="Times New Roman"/>
          <w:sz w:val="20"/>
          <w:szCs w:val="20"/>
          <w:lang w:val="en-US"/>
        </w:rPr>
        <w:tab/>
      </w:r>
      <w:r w:rsidRPr="001C249F">
        <w:rPr>
          <w:rFonts w:ascii="Cambria" w:eastAsia="Times New Roman" w:hAnsi="Cambria" w:cs="Times New Roman"/>
          <w:sz w:val="20"/>
          <w:szCs w:val="20"/>
          <w:lang w:val="en-US"/>
        </w:rPr>
        <w:t xml:space="preserve">the period from 1 October to 30 November and during an additional period of one month between 15 February and 31 </w:t>
      </w:r>
      <w:proofErr w:type="gramStart"/>
      <w:r w:rsidRPr="001C249F">
        <w:rPr>
          <w:rFonts w:ascii="Cambria" w:eastAsia="Times New Roman" w:hAnsi="Cambria" w:cs="Times New Roman"/>
          <w:sz w:val="20"/>
          <w:szCs w:val="20"/>
          <w:lang w:val="en-US"/>
        </w:rPr>
        <w:t>March;</w:t>
      </w:r>
      <w:proofErr w:type="gramEnd"/>
      <w:r w:rsidRPr="001C249F">
        <w:rPr>
          <w:rFonts w:ascii="Cambria" w:eastAsia="Times New Roman" w:hAnsi="Cambria" w:cs="Times New Roman"/>
          <w:sz w:val="20"/>
          <w:szCs w:val="20"/>
          <w:lang w:val="en-US"/>
        </w:rPr>
        <w:t xml:space="preserve"> </w:t>
      </w:r>
    </w:p>
    <w:p w14:paraId="71605B3A" w14:textId="77777777" w:rsidR="002F2C57" w:rsidRPr="001C249F" w:rsidRDefault="002F2C57" w:rsidP="009C7490">
      <w:pPr>
        <w:tabs>
          <w:tab w:val="left" w:pos="851"/>
        </w:tabs>
        <w:spacing w:after="0" w:line="240" w:lineRule="auto"/>
        <w:ind w:left="851" w:hanging="425"/>
        <w:jc w:val="both"/>
        <w:textAlignment w:val="baseline"/>
        <w:rPr>
          <w:rFonts w:ascii="Cambria" w:eastAsia="Times New Roman" w:hAnsi="Cambria" w:cs="Times New Roman"/>
          <w:sz w:val="20"/>
          <w:szCs w:val="20"/>
          <w:lang w:val="en-US"/>
        </w:rPr>
      </w:pPr>
    </w:p>
    <w:p w14:paraId="38C92273" w14:textId="77777777" w:rsidR="009C7490" w:rsidRPr="001C249F" w:rsidRDefault="009C7490" w:rsidP="009C7490">
      <w:pPr>
        <w:tabs>
          <w:tab w:val="left" w:pos="851"/>
        </w:tabs>
        <w:spacing w:after="0" w:line="240" w:lineRule="auto"/>
        <w:ind w:left="851" w:hanging="425"/>
        <w:jc w:val="both"/>
        <w:textAlignment w:val="baseline"/>
        <w:rPr>
          <w:rFonts w:ascii="Cambria" w:eastAsia="Times New Roman" w:hAnsi="Cambria" w:cs="Times New Roman"/>
          <w:sz w:val="20"/>
          <w:szCs w:val="20"/>
          <w:lang w:val="en-US"/>
        </w:rPr>
      </w:pPr>
      <w:r w:rsidRPr="001C249F">
        <w:rPr>
          <w:rFonts w:ascii="Cambria" w:eastAsia="Times New Roman" w:hAnsi="Cambria" w:cs="Times New Roman"/>
          <w:sz w:val="20"/>
          <w:szCs w:val="20"/>
          <w:lang w:val="en-US"/>
        </w:rPr>
        <w:t>b)</w:t>
      </w:r>
      <w:r w:rsidRPr="001C249F">
        <w:rPr>
          <w:rFonts w:ascii="Cambria" w:eastAsia="Times New Roman" w:hAnsi="Cambria" w:cs="Times New Roman"/>
          <w:sz w:val="20"/>
          <w:szCs w:val="20"/>
          <w:lang w:val="en-US"/>
        </w:rPr>
        <w:tab/>
        <w:t xml:space="preserve">or, alternatively, during the period from 1 January to 31 March each year. </w:t>
      </w:r>
    </w:p>
    <w:p w14:paraId="173B5A7D" w14:textId="77777777" w:rsidR="009C7490" w:rsidRPr="001C249F" w:rsidRDefault="009C7490" w:rsidP="009C7490">
      <w:pPr>
        <w:spacing w:after="0" w:line="240" w:lineRule="auto"/>
        <w:ind w:left="567"/>
        <w:jc w:val="both"/>
        <w:textAlignment w:val="baseline"/>
        <w:rPr>
          <w:rFonts w:ascii="Cambria" w:eastAsia="Times New Roman" w:hAnsi="Cambria" w:cs="Times New Roman"/>
          <w:sz w:val="20"/>
          <w:szCs w:val="20"/>
          <w:lang w:val="en-US"/>
        </w:rPr>
      </w:pPr>
    </w:p>
    <w:p w14:paraId="5B0B368A" w14:textId="582B36D1" w:rsidR="009C7490" w:rsidRPr="001C249F" w:rsidRDefault="009C7490" w:rsidP="009C7490">
      <w:pPr>
        <w:spacing w:after="0" w:line="240" w:lineRule="auto"/>
        <w:ind w:left="426"/>
        <w:jc w:val="both"/>
        <w:textAlignment w:val="baseline"/>
        <w:rPr>
          <w:rFonts w:ascii="Cambria" w:eastAsia="Times New Roman" w:hAnsi="Cambria" w:cs="Times New Roman"/>
          <w:sz w:val="20"/>
          <w:szCs w:val="20"/>
          <w:lang w:val="en-US"/>
        </w:rPr>
      </w:pPr>
      <w:r w:rsidRPr="001C249F">
        <w:rPr>
          <w:rFonts w:ascii="Cambria" w:eastAsia="Times New Roman" w:hAnsi="Cambria" w:cs="Times New Roman"/>
          <w:sz w:val="20"/>
          <w:szCs w:val="20"/>
          <w:lang w:val="en-US"/>
        </w:rPr>
        <w:t>The CPCs shall communicate to the Commission, by 15 January 202</w:t>
      </w:r>
      <w:r w:rsidR="003669B4" w:rsidRPr="001C249F">
        <w:rPr>
          <w:rFonts w:ascii="Cambria" w:eastAsia="Times New Roman" w:hAnsi="Cambria" w:cs="Times New Roman"/>
          <w:sz w:val="20"/>
          <w:szCs w:val="20"/>
          <w:lang w:val="en-US"/>
        </w:rPr>
        <w:t>2</w:t>
      </w:r>
      <w:r w:rsidRPr="001C249F">
        <w:rPr>
          <w:rFonts w:ascii="Cambria" w:eastAsia="Times New Roman" w:hAnsi="Cambria" w:cs="Times New Roman"/>
          <w:sz w:val="20"/>
          <w:szCs w:val="20"/>
          <w:lang w:val="en-US"/>
        </w:rPr>
        <w:t>, the closure periods of their choice.</w:t>
      </w:r>
    </w:p>
    <w:p w14:paraId="7A07415D" w14:textId="77777777" w:rsidR="00CA5931" w:rsidRPr="001C249F" w:rsidRDefault="00CA5931" w:rsidP="009C7490">
      <w:pPr>
        <w:spacing w:after="0" w:line="240" w:lineRule="auto"/>
        <w:ind w:left="426"/>
        <w:jc w:val="both"/>
        <w:textAlignment w:val="baseline"/>
        <w:rPr>
          <w:rFonts w:ascii="Cambria" w:eastAsia="Times New Roman" w:hAnsi="Cambria" w:cs="Times New Roman"/>
          <w:sz w:val="20"/>
          <w:szCs w:val="20"/>
          <w:lang w:val="en-US"/>
        </w:rPr>
      </w:pPr>
    </w:p>
    <w:p w14:paraId="7EB38081" w14:textId="28C64FBE" w:rsidR="009C7490" w:rsidRPr="001C249F" w:rsidRDefault="009C7490" w:rsidP="00DA6C0B">
      <w:pPr>
        <w:numPr>
          <w:ilvl w:val="0"/>
          <w:numId w:val="3"/>
        </w:numPr>
        <w:tabs>
          <w:tab w:val="clear" w:pos="360"/>
        </w:tabs>
        <w:spacing w:after="0" w:line="240" w:lineRule="auto"/>
        <w:ind w:left="426" w:hanging="426"/>
        <w:jc w:val="both"/>
        <w:textAlignment w:val="baseline"/>
        <w:rPr>
          <w:rFonts w:ascii="Cambria" w:eastAsia="Times New Roman" w:hAnsi="Cambria" w:cs="Times New Roman"/>
          <w:sz w:val="20"/>
          <w:szCs w:val="20"/>
          <w:lang w:val="en-US"/>
        </w:rPr>
      </w:pPr>
      <w:r w:rsidRPr="001C249F">
        <w:rPr>
          <w:rFonts w:ascii="Cambria" w:eastAsia="Times New Roman" w:hAnsi="Cambria" w:cs="Times New Roman"/>
          <w:sz w:val="20"/>
          <w:szCs w:val="20"/>
          <w:lang w:val="en-US"/>
        </w:rPr>
        <w:t xml:space="preserve">CPCs shall monitor the Mediterranean albacore stock and shall submit to the Commission, at least two months before the Annual </w:t>
      </w:r>
      <w:r w:rsidR="00DA6C0B" w:rsidRPr="001C249F">
        <w:rPr>
          <w:rFonts w:ascii="Cambria" w:eastAsia="Times New Roman" w:hAnsi="Cambria" w:cs="Times New Roman"/>
          <w:sz w:val="20"/>
          <w:szCs w:val="20"/>
          <w:lang w:val="en-US"/>
        </w:rPr>
        <w:t>m</w:t>
      </w:r>
      <w:r w:rsidRPr="001C249F">
        <w:rPr>
          <w:rFonts w:ascii="Cambria" w:eastAsia="Times New Roman" w:hAnsi="Cambria" w:cs="Times New Roman"/>
          <w:sz w:val="20"/>
          <w:szCs w:val="20"/>
          <w:lang w:val="en-US"/>
        </w:rPr>
        <w:t>eeting of the Commission, all relevant scientific information on catch, size and age at maturity, habitat, impact of longline fisheries in terms of catch composition, CPUE series, size distribution of the catches, and monthly estimation of spawner and recruit proportion in the catches. These data shall be submitted to the SCRS in the format required by ICCAT. </w:t>
      </w:r>
    </w:p>
    <w:p w14:paraId="4755C2A2" w14:textId="77777777" w:rsidR="009C7490" w:rsidRPr="001C249F" w:rsidRDefault="009C7490" w:rsidP="009C7490">
      <w:pPr>
        <w:spacing w:after="0" w:line="240" w:lineRule="auto"/>
        <w:ind w:left="426"/>
        <w:jc w:val="both"/>
        <w:textAlignment w:val="baseline"/>
        <w:rPr>
          <w:rFonts w:ascii="Cambria" w:eastAsia="Times New Roman" w:hAnsi="Cambria" w:cs="Times New Roman"/>
          <w:sz w:val="20"/>
          <w:szCs w:val="20"/>
          <w:lang w:val="en-US"/>
        </w:rPr>
      </w:pPr>
    </w:p>
    <w:p w14:paraId="40189EBD" w14:textId="0EF8450B" w:rsidR="009C7490" w:rsidRPr="001C249F" w:rsidRDefault="009C7490" w:rsidP="00DA6C0B">
      <w:pPr>
        <w:numPr>
          <w:ilvl w:val="0"/>
          <w:numId w:val="3"/>
        </w:numPr>
        <w:tabs>
          <w:tab w:val="clear" w:pos="360"/>
        </w:tabs>
        <w:spacing w:after="0" w:line="240" w:lineRule="auto"/>
        <w:ind w:left="426" w:hanging="426"/>
        <w:jc w:val="both"/>
        <w:textAlignment w:val="baseline"/>
        <w:rPr>
          <w:rFonts w:ascii="Cambria" w:eastAsia="Times New Roman" w:hAnsi="Cambria" w:cs="Times New Roman"/>
          <w:sz w:val="20"/>
          <w:szCs w:val="20"/>
          <w:lang w:val="en-US"/>
        </w:rPr>
      </w:pPr>
      <w:r w:rsidRPr="001C249F">
        <w:rPr>
          <w:rFonts w:ascii="Cambria" w:eastAsia="Times New Roman" w:hAnsi="Cambria" w:cs="Times New Roman"/>
          <w:sz w:val="20"/>
          <w:szCs w:val="20"/>
          <w:lang w:val="en-US"/>
        </w:rPr>
        <w:t>In 202</w:t>
      </w:r>
      <w:r w:rsidR="00840371" w:rsidRPr="001C249F">
        <w:rPr>
          <w:rFonts w:ascii="Cambria" w:eastAsia="Times New Roman" w:hAnsi="Cambria" w:cs="Times New Roman"/>
          <w:sz w:val="20"/>
          <w:szCs w:val="20"/>
          <w:lang w:val="en-US"/>
        </w:rPr>
        <w:t>4</w:t>
      </w:r>
      <w:r w:rsidRPr="001C249F">
        <w:rPr>
          <w:rFonts w:ascii="Cambria" w:eastAsia="Times New Roman" w:hAnsi="Cambria" w:cs="Times New Roman"/>
          <w:sz w:val="20"/>
          <w:szCs w:val="20"/>
          <w:lang w:val="en-US"/>
        </w:rPr>
        <w:t>,</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the SCRS shall provide an updated assessment of the state of the stock</w:t>
      </w:r>
      <w:r w:rsidRPr="001C249F">
        <w:rPr>
          <w:rFonts w:ascii="Cambria" w:eastAsia="Times New Roman" w:hAnsi="Cambria" w:cs="Segoe UI"/>
          <w:sz w:val="20"/>
          <w:szCs w:val="20"/>
          <w:lang w:val="en-US"/>
        </w:rPr>
        <w:t xml:space="preserve"> </w:t>
      </w:r>
      <w:proofErr w:type="gramStart"/>
      <w:r w:rsidRPr="001C249F">
        <w:rPr>
          <w:rFonts w:ascii="Cambria" w:eastAsia="Times New Roman" w:hAnsi="Cambria" w:cs="Times New Roman"/>
          <w:sz w:val="20"/>
          <w:szCs w:val="20"/>
          <w:lang w:val="en-US"/>
        </w:rPr>
        <w:t>on the basis of</w:t>
      </w:r>
      <w:proofErr w:type="gramEnd"/>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the most recent data available. It shall assess the</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effectiveness of this</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rebuilding</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 xml:space="preserve">plan and provide advice on possible amendments to the various measures within this plan. The SCRS shall </w:t>
      </w:r>
      <w:r w:rsidRPr="001C249F">
        <w:rPr>
          <w:rFonts w:ascii="Cambria" w:eastAsia="Times New Roman" w:hAnsi="Cambria" w:cs="Segoe UI"/>
          <w:sz w:val="20"/>
          <w:szCs w:val="20"/>
          <w:lang w:val="en-US"/>
        </w:rPr>
        <w:t>advise</w:t>
      </w:r>
      <w:r w:rsidRPr="001C249F">
        <w:rPr>
          <w:rFonts w:ascii="Cambria" w:eastAsia="Times New Roman" w:hAnsi="Cambria" w:cs="Times New Roman"/>
          <w:sz w:val="20"/>
          <w:szCs w:val="20"/>
          <w:lang w:val="en-US"/>
        </w:rPr>
        <w:t xml:space="preserve"> the Commission on the</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appropriate characteristics of the fishing</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gear, the closure period in</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 xml:space="preserve">paragraph </w:t>
      </w:r>
      <w:r w:rsidR="00625A4C" w:rsidRPr="001C249F">
        <w:rPr>
          <w:rFonts w:ascii="Cambria" w:eastAsia="Times New Roman" w:hAnsi="Cambria" w:cs="Times New Roman"/>
          <w:sz w:val="20"/>
          <w:szCs w:val="20"/>
          <w:lang w:val="en-US"/>
        </w:rPr>
        <w:t>8</w:t>
      </w:r>
      <w:r w:rsidRPr="001C249F">
        <w:rPr>
          <w:rFonts w:ascii="Cambria" w:eastAsia="Times New Roman" w:hAnsi="Cambria" w:cs="Times New Roman"/>
          <w:sz w:val="20"/>
          <w:szCs w:val="20"/>
          <w:lang w:val="en-US"/>
        </w:rPr>
        <w:t>, as well as the minimum size to be implemented for Mediterranean albacore.</w:t>
      </w:r>
      <w:r w:rsidRPr="001C249F">
        <w:rPr>
          <w:rFonts w:ascii="Cambria" w:eastAsia="Times New Roman" w:hAnsi="Cambria" w:cs="Segoe UI"/>
          <w:sz w:val="20"/>
          <w:szCs w:val="20"/>
          <w:lang w:val="en-US"/>
        </w:rPr>
        <w:t> </w:t>
      </w:r>
    </w:p>
    <w:p w14:paraId="0B8E82FE" w14:textId="77777777" w:rsidR="009C7490" w:rsidRPr="001C249F" w:rsidRDefault="009C7490" w:rsidP="009C7490">
      <w:pPr>
        <w:spacing w:after="0" w:line="240" w:lineRule="auto"/>
        <w:ind w:left="426"/>
        <w:jc w:val="both"/>
        <w:textAlignment w:val="baseline"/>
        <w:rPr>
          <w:rFonts w:ascii="Cambria" w:eastAsia="Times New Roman" w:hAnsi="Cambria" w:cs="Times New Roman"/>
          <w:sz w:val="20"/>
          <w:szCs w:val="20"/>
          <w:lang w:val="en-US"/>
        </w:rPr>
      </w:pPr>
    </w:p>
    <w:p w14:paraId="754404F0" w14:textId="6A8B3EFA" w:rsidR="009C7490" w:rsidRPr="001C249F" w:rsidRDefault="005D5254" w:rsidP="00DA6C0B">
      <w:pPr>
        <w:numPr>
          <w:ilvl w:val="0"/>
          <w:numId w:val="3"/>
        </w:numPr>
        <w:tabs>
          <w:tab w:val="clear" w:pos="360"/>
        </w:tabs>
        <w:spacing w:after="0" w:line="240" w:lineRule="auto"/>
        <w:ind w:left="426" w:hanging="426"/>
        <w:jc w:val="both"/>
        <w:textAlignment w:val="baseline"/>
        <w:rPr>
          <w:rFonts w:ascii="Cambria" w:eastAsia="Times New Roman" w:hAnsi="Cambria" w:cs="Times New Roman"/>
          <w:sz w:val="20"/>
          <w:szCs w:val="20"/>
          <w:lang w:val="en-US"/>
        </w:rPr>
      </w:pPr>
      <w:r w:rsidRPr="001C249F">
        <w:rPr>
          <w:rFonts w:ascii="Cambria" w:eastAsia="Times New Roman" w:hAnsi="Cambria" w:cs="Times New Roman"/>
          <w:sz w:val="20"/>
          <w:szCs w:val="20"/>
          <w:lang w:val="en-US"/>
        </w:rPr>
        <w:t xml:space="preserve">By the end of </w:t>
      </w:r>
      <w:r w:rsidR="002D01FB" w:rsidRPr="001C249F">
        <w:rPr>
          <w:rFonts w:ascii="Cambria" w:eastAsia="Times New Roman" w:hAnsi="Cambria" w:cs="Times New Roman"/>
          <w:sz w:val="20"/>
          <w:szCs w:val="20"/>
          <w:lang w:val="en-US"/>
        </w:rPr>
        <w:t>20</w:t>
      </w:r>
      <w:r w:rsidR="00CA5931" w:rsidRPr="001C249F">
        <w:rPr>
          <w:rFonts w:ascii="Cambria" w:eastAsia="Times New Roman" w:hAnsi="Cambria" w:cs="Times New Roman"/>
          <w:sz w:val="20"/>
          <w:szCs w:val="20"/>
          <w:lang w:val="en-US"/>
        </w:rPr>
        <w:t>2</w:t>
      </w:r>
      <w:r w:rsidR="002D01FB" w:rsidRPr="001C249F">
        <w:rPr>
          <w:rFonts w:ascii="Cambria" w:eastAsia="Times New Roman" w:hAnsi="Cambria" w:cs="Times New Roman"/>
          <w:sz w:val="20"/>
          <w:szCs w:val="20"/>
          <w:lang w:val="en-US"/>
        </w:rPr>
        <w:t>4</w:t>
      </w:r>
      <w:r w:rsidR="009C7490" w:rsidRPr="001C249F">
        <w:rPr>
          <w:rFonts w:ascii="Cambria" w:eastAsia="Times New Roman" w:hAnsi="Cambria" w:cs="Times New Roman"/>
          <w:sz w:val="20"/>
          <w:szCs w:val="20"/>
          <w:lang w:val="en-US"/>
        </w:rPr>
        <w:t>, based</w:t>
      </w:r>
      <w:r w:rsidR="009C7490" w:rsidRPr="001C249F">
        <w:rPr>
          <w:rFonts w:ascii="Cambria" w:eastAsia="Times New Roman" w:hAnsi="Cambria" w:cs="Segoe UI"/>
          <w:sz w:val="20"/>
          <w:szCs w:val="20"/>
          <w:lang w:val="en-US"/>
        </w:rPr>
        <w:t xml:space="preserve"> </w:t>
      </w:r>
      <w:r w:rsidR="009C7490" w:rsidRPr="001C249F">
        <w:rPr>
          <w:rFonts w:ascii="Cambria" w:eastAsia="Times New Roman" w:hAnsi="Cambria" w:cs="Times New Roman"/>
          <w:sz w:val="20"/>
          <w:szCs w:val="20"/>
          <w:lang w:val="en-US"/>
        </w:rPr>
        <w:t>on</w:t>
      </w:r>
      <w:r w:rsidR="009C7490" w:rsidRPr="001C249F">
        <w:rPr>
          <w:rFonts w:ascii="Cambria" w:eastAsia="Times New Roman" w:hAnsi="Cambria" w:cs="Segoe UI"/>
          <w:sz w:val="20"/>
          <w:szCs w:val="20"/>
          <w:lang w:val="en-US"/>
        </w:rPr>
        <w:t xml:space="preserve"> </w:t>
      </w:r>
      <w:r w:rsidR="009C7490" w:rsidRPr="001C249F">
        <w:rPr>
          <w:rFonts w:ascii="Cambria" w:eastAsia="Times New Roman" w:hAnsi="Cambria" w:cs="Times New Roman"/>
          <w:sz w:val="20"/>
          <w:szCs w:val="20"/>
          <w:lang w:val="en-US"/>
        </w:rPr>
        <w:t>this scientific advice, ICCAT shall adopt, where necessary to comply with the management objectives, amendments to the management</w:t>
      </w:r>
      <w:r w:rsidR="009C7490" w:rsidRPr="001C249F">
        <w:rPr>
          <w:rFonts w:ascii="Cambria" w:eastAsia="Times New Roman" w:hAnsi="Cambria" w:cs="Segoe UI"/>
          <w:sz w:val="20"/>
          <w:szCs w:val="20"/>
          <w:lang w:val="en-US"/>
        </w:rPr>
        <w:t xml:space="preserve"> </w:t>
      </w:r>
      <w:r w:rsidR="009C7490" w:rsidRPr="001C249F">
        <w:rPr>
          <w:rFonts w:ascii="Cambria" w:eastAsia="Times New Roman" w:hAnsi="Cambria" w:cs="Times New Roman"/>
          <w:sz w:val="20"/>
          <w:szCs w:val="20"/>
          <w:lang w:val="en-US"/>
        </w:rPr>
        <w:t>framework for Mediterranean albacore, including</w:t>
      </w:r>
      <w:r w:rsidR="009C7490" w:rsidRPr="001C249F">
        <w:rPr>
          <w:rFonts w:ascii="Cambria" w:eastAsia="Times New Roman" w:hAnsi="Cambria" w:cs="Segoe UI"/>
          <w:sz w:val="20"/>
          <w:szCs w:val="20"/>
          <w:lang w:val="en-US"/>
        </w:rPr>
        <w:t xml:space="preserve"> </w:t>
      </w:r>
      <w:r w:rsidR="009C7490" w:rsidRPr="001C249F">
        <w:rPr>
          <w:rFonts w:ascii="Cambria" w:eastAsia="Times New Roman" w:hAnsi="Cambria" w:cs="Times New Roman"/>
          <w:sz w:val="20"/>
          <w:szCs w:val="20"/>
          <w:lang w:val="en-US"/>
        </w:rPr>
        <w:t>the revision of the catch limits and alternative management scenarios.</w:t>
      </w:r>
    </w:p>
    <w:p w14:paraId="4D7E7402" w14:textId="77777777" w:rsidR="009C7490" w:rsidRPr="001C249F" w:rsidRDefault="009C7490" w:rsidP="009C7490">
      <w:pPr>
        <w:spacing w:after="0" w:line="240" w:lineRule="auto"/>
        <w:ind w:left="567"/>
        <w:jc w:val="both"/>
        <w:textAlignment w:val="baseline"/>
        <w:rPr>
          <w:rFonts w:ascii="Cambria" w:eastAsia="Times New Roman" w:hAnsi="Cambria" w:cs="Times New Roman"/>
          <w:sz w:val="20"/>
          <w:szCs w:val="20"/>
          <w:lang w:val="en-US"/>
        </w:rPr>
      </w:pPr>
    </w:p>
    <w:p w14:paraId="07353E48" w14:textId="77777777" w:rsidR="009C7490" w:rsidRPr="001C249F" w:rsidRDefault="009C7490" w:rsidP="00DA6C0B">
      <w:pPr>
        <w:numPr>
          <w:ilvl w:val="0"/>
          <w:numId w:val="3"/>
        </w:numPr>
        <w:tabs>
          <w:tab w:val="clear" w:pos="360"/>
        </w:tabs>
        <w:spacing w:after="0" w:line="240" w:lineRule="auto"/>
        <w:ind w:left="426" w:hanging="426"/>
        <w:jc w:val="both"/>
        <w:textAlignment w:val="baseline"/>
        <w:rPr>
          <w:rFonts w:ascii="Cambria" w:eastAsia="Times New Roman" w:hAnsi="Cambria" w:cs="Times New Roman"/>
          <w:sz w:val="20"/>
          <w:szCs w:val="20"/>
          <w:lang w:val="en-US"/>
        </w:rPr>
      </w:pPr>
      <w:r w:rsidRPr="001C249F">
        <w:rPr>
          <w:rFonts w:ascii="Cambria" w:eastAsia="Times New Roman" w:hAnsi="Cambria" w:cs="Times New Roman"/>
          <w:sz w:val="20"/>
          <w:szCs w:val="20"/>
          <w:lang w:val="en-US"/>
        </w:rPr>
        <w:t xml:space="preserve">Notwithstanding the provisions of Article VIII, paragraph 2 of the Convention, CPCs are strongly encouraged to implement, in accordance with their regulatory procedures, this Recommendation as soon as possible and before the date of its entry into force. </w:t>
      </w:r>
    </w:p>
    <w:p w14:paraId="20A3038F" w14:textId="77777777" w:rsidR="009C7490" w:rsidRPr="001C249F" w:rsidRDefault="009C7490" w:rsidP="009C7490">
      <w:pPr>
        <w:spacing w:after="0" w:line="240" w:lineRule="auto"/>
        <w:ind w:left="567"/>
        <w:jc w:val="both"/>
        <w:textAlignment w:val="baseline"/>
        <w:rPr>
          <w:rFonts w:ascii="Cambria" w:eastAsia="Times New Roman" w:hAnsi="Cambria" w:cs="Segoe UI"/>
          <w:sz w:val="20"/>
          <w:szCs w:val="20"/>
          <w:lang w:val="en-US"/>
        </w:rPr>
      </w:pPr>
    </w:p>
    <w:p w14:paraId="28CC4FA8" w14:textId="57044583" w:rsidR="009C7490" w:rsidRPr="001C249F" w:rsidRDefault="009C7490" w:rsidP="00DA6C0B">
      <w:pPr>
        <w:numPr>
          <w:ilvl w:val="0"/>
          <w:numId w:val="3"/>
        </w:numPr>
        <w:tabs>
          <w:tab w:val="clear" w:pos="360"/>
        </w:tabs>
        <w:spacing w:after="0" w:line="240" w:lineRule="auto"/>
        <w:ind w:left="426" w:hanging="426"/>
        <w:jc w:val="both"/>
        <w:textAlignment w:val="baseline"/>
        <w:rPr>
          <w:rFonts w:ascii="Cambria" w:eastAsia="Times New Roman" w:hAnsi="Cambria" w:cs="Times New Roman"/>
          <w:sz w:val="20"/>
          <w:szCs w:val="20"/>
          <w:lang w:val="en-US"/>
        </w:rPr>
      </w:pPr>
      <w:r w:rsidRPr="001C249F">
        <w:rPr>
          <w:rFonts w:ascii="Cambria" w:eastAsia="Times New Roman" w:hAnsi="Cambria" w:cs="Segoe UI"/>
          <w:sz w:val="20"/>
          <w:szCs w:val="20"/>
          <w:lang w:val="en-US"/>
        </w:rPr>
        <w:t xml:space="preserve">This Recommendation </w:t>
      </w:r>
      <w:r w:rsidRPr="001C249F">
        <w:rPr>
          <w:rFonts w:ascii="Cambria" w:eastAsia="Times New Roman" w:hAnsi="Cambria" w:cs="Times New Roman"/>
          <w:sz w:val="20"/>
          <w:szCs w:val="20"/>
          <w:lang w:val="en-US"/>
        </w:rPr>
        <w:t>repeals and replaces</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sz w:val="20"/>
          <w:szCs w:val="20"/>
          <w:lang w:val="en-US"/>
        </w:rPr>
        <w:t>the</w:t>
      </w:r>
      <w:r w:rsidRPr="001C249F">
        <w:rPr>
          <w:rFonts w:ascii="Cambria" w:eastAsia="Times New Roman" w:hAnsi="Cambria" w:cs="Segoe UI"/>
          <w:sz w:val="20"/>
          <w:szCs w:val="20"/>
          <w:lang w:val="en-US"/>
        </w:rPr>
        <w:t xml:space="preserve"> </w:t>
      </w:r>
      <w:r w:rsidRPr="001C249F">
        <w:rPr>
          <w:rFonts w:ascii="Cambria" w:eastAsia="Times New Roman" w:hAnsi="Cambria" w:cs="Times New Roman"/>
          <w:i/>
          <w:iCs/>
          <w:sz w:val="20"/>
          <w:szCs w:val="20"/>
          <w:lang w:val="en-US"/>
        </w:rPr>
        <w:t>Recommendation by ICCAT</w:t>
      </w:r>
      <w:r w:rsidR="008977DF" w:rsidRPr="001C249F">
        <w:rPr>
          <w:rFonts w:ascii="Cambria" w:eastAsia="Times New Roman" w:hAnsi="Cambria" w:cs="Times New Roman"/>
          <w:i/>
          <w:iCs/>
          <w:sz w:val="20"/>
          <w:szCs w:val="20"/>
          <w:lang w:val="en-US"/>
        </w:rPr>
        <w:t xml:space="preserve"> </w:t>
      </w:r>
      <w:r w:rsidR="008977DF" w:rsidRPr="001C249F">
        <w:rPr>
          <w:rFonts w:ascii="Cambria" w:hAnsi="Cambria"/>
          <w:i/>
          <w:sz w:val="20"/>
          <w:lang w:val="en-US"/>
        </w:rPr>
        <w:t>to</w:t>
      </w:r>
      <w:r w:rsidRPr="001C249F">
        <w:rPr>
          <w:rFonts w:ascii="Cambria" w:eastAsia="Times New Roman" w:hAnsi="Cambria" w:cs="Times New Roman"/>
          <w:i/>
          <w:iCs/>
          <w:sz w:val="20"/>
          <w:szCs w:val="20"/>
          <w:lang w:val="en-US"/>
        </w:rPr>
        <w:t xml:space="preserve"> establi</w:t>
      </w:r>
      <w:r w:rsidRPr="001C249F">
        <w:rPr>
          <w:rFonts w:ascii="Cambria" w:hAnsi="Cambria"/>
          <w:i/>
          <w:sz w:val="20"/>
          <w:lang w:val="en-US"/>
        </w:rPr>
        <w:t>sh</w:t>
      </w:r>
      <w:r w:rsidR="00BB2098" w:rsidRPr="001C249F">
        <w:rPr>
          <w:rFonts w:ascii="Cambria" w:hAnsi="Cambria"/>
          <w:i/>
          <w:sz w:val="20"/>
          <w:lang w:val="en-US"/>
        </w:rPr>
        <w:t xml:space="preserve"> a rebuilding plan</w:t>
      </w:r>
      <w:r w:rsidRPr="001C249F">
        <w:rPr>
          <w:rFonts w:ascii="Cambria" w:eastAsia="Times New Roman" w:hAnsi="Cambria" w:cs="Times New Roman"/>
          <w:i/>
          <w:iCs/>
          <w:sz w:val="20"/>
          <w:szCs w:val="20"/>
          <w:lang w:val="en-US"/>
        </w:rPr>
        <w:t xml:space="preserve"> f</w:t>
      </w:r>
      <w:r w:rsidRPr="001C249F">
        <w:rPr>
          <w:rFonts w:ascii="Cambria" w:hAnsi="Cambria"/>
          <w:i/>
          <w:sz w:val="20"/>
          <w:lang w:val="en-US"/>
        </w:rPr>
        <w:t xml:space="preserve">or </w:t>
      </w:r>
      <w:r w:rsidRPr="001C249F">
        <w:rPr>
          <w:rFonts w:ascii="Cambria" w:eastAsia="Times New Roman" w:hAnsi="Cambria" w:cs="Times New Roman"/>
          <w:i/>
          <w:iCs/>
          <w:sz w:val="20"/>
          <w:szCs w:val="20"/>
          <w:lang w:val="en-US"/>
        </w:rPr>
        <w:t>Mediterranean albacore</w:t>
      </w:r>
      <w:r w:rsidRPr="001C249F">
        <w:rPr>
          <w:rFonts w:ascii="Cambria" w:eastAsia="Times New Roman" w:hAnsi="Cambria" w:cs="Times New Roman"/>
          <w:sz w:val="20"/>
          <w:szCs w:val="20"/>
          <w:lang w:val="en-US"/>
        </w:rPr>
        <w:t xml:space="preserve"> </w:t>
      </w:r>
      <w:r w:rsidRPr="001C249F">
        <w:rPr>
          <w:rFonts w:ascii="Cambria" w:eastAsia="Times New Roman" w:hAnsi="Cambria" w:cs="Segoe UI"/>
          <w:sz w:val="20"/>
          <w:szCs w:val="20"/>
          <w:lang w:val="en-US"/>
        </w:rPr>
        <w:t>(</w:t>
      </w:r>
      <w:r w:rsidRPr="001C249F">
        <w:rPr>
          <w:rFonts w:ascii="Cambria" w:eastAsia="Times New Roman" w:hAnsi="Cambria" w:cs="Times New Roman"/>
          <w:sz w:val="20"/>
          <w:szCs w:val="20"/>
          <w:lang w:val="en-US"/>
        </w:rPr>
        <w:t xml:space="preserve">Rec. </w:t>
      </w:r>
      <w:r w:rsidR="00BB2098" w:rsidRPr="001C249F">
        <w:rPr>
          <w:rFonts w:ascii="Cambria" w:hAnsi="Cambria"/>
          <w:sz w:val="20"/>
          <w:lang w:val="en-US"/>
        </w:rPr>
        <w:t>21</w:t>
      </w:r>
      <w:r w:rsidRPr="001C249F">
        <w:rPr>
          <w:rFonts w:ascii="Cambria" w:hAnsi="Cambria"/>
          <w:sz w:val="20"/>
          <w:lang w:val="en-US"/>
        </w:rPr>
        <w:t>-0</w:t>
      </w:r>
      <w:r w:rsidR="00BB2098" w:rsidRPr="001C249F">
        <w:rPr>
          <w:rFonts w:ascii="Cambria" w:hAnsi="Cambria"/>
          <w:sz w:val="20"/>
          <w:lang w:val="en-US"/>
        </w:rPr>
        <w:t>6</w:t>
      </w:r>
      <w:r w:rsidRPr="001C249F">
        <w:rPr>
          <w:rFonts w:ascii="Cambria" w:eastAsia="Times New Roman" w:hAnsi="Cambria" w:cs="Segoe UI"/>
          <w:sz w:val="20"/>
          <w:szCs w:val="20"/>
          <w:lang w:val="en-US"/>
        </w:rPr>
        <w:t>).</w:t>
      </w:r>
    </w:p>
    <w:p w14:paraId="4118972E" w14:textId="77777777" w:rsidR="009C7490" w:rsidRPr="001C249F" w:rsidRDefault="009C7490" w:rsidP="009C7490">
      <w:pPr>
        <w:rPr>
          <w:rFonts w:ascii="Calibri" w:eastAsia="Calibri" w:hAnsi="Calibri" w:cs="Calibri"/>
          <w:sz w:val="20"/>
          <w:szCs w:val="20"/>
          <w:lang w:val="en-US"/>
        </w:rPr>
      </w:pPr>
    </w:p>
    <w:p w14:paraId="5CC339CC" w14:textId="77777777" w:rsidR="001C1873" w:rsidRPr="001C249F" w:rsidRDefault="001C1873" w:rsidP="001C1873">
      <w:pPr>
        <w:spacing w:after="0" w:line="240" w:lineRule="auto"/>
        <w:jc w:val="both"/>
        <w:rPr>
          <w:rFonts w:ascii="Cambria" w:hAnsi="Cambria"/>
          <w:sz w:val="20"/>
          <w:szCs w:val="20"/>
        </w:rPr>
      </w:pPr>
    </w:p>
    <w:sectPr w:rsidR="001C1873" w:rsidRPr="001C249F" w:rsidSect="00BF5C75">
      <w:footerReference w:type="default" r:id="rId7"/>
      <w:pgSz w:w="12240" w:h="15840"/>
      <w:pgMar w:top="1440" w:right="1440" w:bottom="1440" w:left="1440" w:header="85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6BE88" w14:textId="77777777" w:rsidR="00157839" w:rsidRDefault="00157839" w:rsidP="002E4DBC">
      <w:pPr>
        <w:spacing w:after="0" w:line="240" w:lineRule="auto"/>
      </w:pPr>
      <w:r>
        <w:separator/>
      </w:r>
    </w:p>
  </w:endnote>
  <w:endnote w:type="continuationSeparator" w:id="0">
    <w:p w14:paraId="114EE4CB" w14:textId="77777777" w:rsidR="00157839" w:rsidRDefault="00157839" w:rsidP="002E4DBC">
      <w:pPr>
        <w:spacing w:after="0" w:line="240" w:lineRule="auto"/>
      </w:pPr>
      <w:r>
        <w:continuationSeparator/>
      </w:r>
    </w:p>
  </w:endnote>
  <w:endnote w:type="continuationNotice" w:id="1">
    <w:p w14:paraId="503193CD" w14:textId="77777777" w:rsidR="00157839" w:rsidRDefault="001578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02602"/>
      <w:docPartObj>
        <w:docPartGallery w:val="Page Numbers (Bottom of Page)"/>
        <w:docPartUnique/>
      </w:docPartObj>
    </w:sdtPr>
    <w:sdtEndPr>
      <w:rPr>
        <w:rFonts w:ascii="Cambria" w:hAnsi="Cambria"/>
        <w:noProof/>
      </w:rPr>
    </w:sdtEndPr>
    <w:sdtContent>
      <w:p w14:paraId="169E6EC4" w14:textId="19A5A8C4" w:rsidR="00081AAC" w:rsidRPr="00081AAC" w:rsidRDefault="00081AAC">
        <w:pPr>
          <w:pStyle w:val="Footer"/>
          <w:jc w:val="center"/>
          <w:rPr>
            <w:rFonts w:ascii="Cambria" w:hAnsi="Cambria"/>
          </w:rPr>
        </w:pPr>
        <w:r w:rsidRPr="00081AAC">
          <w:rPr>
            <w:rFonts w:ascii="Cambria" w:hAnsi="Cambria"/>
          </w:rPr>
          <w:fldChar w:fldCharType="begin"/>
        </w:r>
        <w:r w:rsidRPr="00081AAC">
          <w:rPr>
            <w:rFonts w:ascii="Cambria" w:hAnsi="Cambria"/>
          </w:rPr>
          <w:instrText xml:space="preserve"> PAGE   \* MERGEFORMAT </w:instrText>
        </w:r>
        <w:r w:rsidRPr="00081AAC">
          <w:rPr>
            <w:rFonts w:ascii="Cambria" w:hAnsi="Cambria"/>
          </w:rPr>
          <w:fldChar w:fldCharType="separate"/>
        </w:r>
        <w:r w:rsidRPr="00081AAC">
          <w:rPr>
            <w:rFonts w:ascii="Cambria" w:hAnsi="Cambria"/>
            <w:noProof/>
          </w:rPr>
          <w:t>2</w:t>
        </w:r>
        <w:r w:rsidRPr="00081AAC">
          <w:rPr>
            <w:rFonts w:ascii="Cambria" w:hAnsi="Cambria"/>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DC4DB" w14:textId="77777777" w:rsidR="00157839" w:rsidRDefault="00157839" w:rsidP="002E4DBC">
      <w:pPr>
        <w:spacing w:after="0" w:line="240" w:lineRule="auto"/>
      </w:pPr>
      <w:r>
        <w:separator/>
      </w:r>
    </w:p>
  </w:footnote>
  <w:footnote w:type="continuationSeparator" w:id="0">
    <w:p w14:paraId="4C4F56EE" w14:textId="77777777" w:rsidR="00157839" w:rsidRDefault="00157839" w:rsidP="002E4DBC">
      <w:pPr>
        <w:spacing w:after="0" w:line="240" w:lineRule="auto"/>
      </w:pPr>
      <w:r>
        <w:continuationSeparator/>
      </w:r>
    </w:p>
  </w:footnote>
  <w:footnote w:type="continuationNotice" w:id="1">
    <w:p w14:paraId="57D66199" w14:textId="77777777" w:rsidR="00157839" w:rsidRDefault="0015783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D2B4D"/>
    <w:multiLevelType w:val="hybridMultilevel"/>
    <w:tmpl w:val="25AEF916"/>
    <w:lvl w:ilvl="0" w:tplc="689E01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39965BB"/>
    <w:multiLevelType w:val="multilevel"/>
    <w:tmpl w:val="85F21B4A"/>
    <w:lvl w:ilvl="0">
      <w:start w:val="1"/>
      <w:numFmt w:val="decimal"/>
      <w:lvlText w:val="%1."/>
      <w:lvlJc w:val="left"/>
      <w:pPr>
        <w:ind w:left="720" w:hanging="360"/>
      </w:pPr>
      <w:rPr>
        <w:rFonts w:ascii="Cambria" w:hAnsi="Cambria" w:hint="default"/>
        <w:sz w:val="20"/>
        <w:szCs w:val="2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AF53201"/>
    <w:multiLevelType w:val="multilevel"/>
    <w:tmpl w:val="B002C11C"/>
    <w:lvl w:ilvl="0">
      <w:start w:val="1"/>
      <w:numFmt w:val="decimal"/>
      <w:lvlText w:val="%1."/>
      <w:lvlJc w:val="left"/>
      <w:pPr>
        <w:tabs>
          <w:tab w:val="num" w:pos="360"/>
        </w:tabs>
        <w:ind w:left="360" w:hanging="360"/>
      </w:pPr>
      <w:rPr>
        <w:rFonts w:ascii="Cambria" w:hAnsi="Cambria"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9715562">
    <w:abstractNumId w:val="1"/>
  </w:num>
  <w:num w:numId="2" w16cid:durableId="576860028">
    <w:abstractNumId w:val="0"/>
  </w:num>
  <w:num w:numId="3" w16cid:durableId="971517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DBC"/>
    <w:rsid w:val="00081AAC"/>
    <w:rsid w:val="000922E0"/>
    <w:rsid w:val="001277D9"/>
    <w:rsid w:val="00133190"/>
    <w:rsid w:val="00133320"/>
    <w:rsid w:val="00135DA9"/>
    <w:rsid w:val="00157839"/>
    <w:rsid w:val="001B1349"/>
    <w:rsid w:val="001C1873"/>
    <w:rsid w:val="001C249F"/>
    <w:rsid w:val="001C5448"/>
    <w:rsid w:val="001D1703"/>
    <w:rsid w:val="001F1209"/>
    <w:rsid w:val="001F7BEF"/>
    <w:rsid w:val="00214BC8"/>
    <w:rsid w:val="0022270F"/>
    <w:rsid w:val="00242673"/>
    <w:rsid w:val="002476A6"/>
    <w:rsid w:val="002640CE"/>
    <w:rsid w:val="00272D74"/>
    <w:rsid w:val="00287D7F"/>
    <w:rsid w:val="002D01FB"/>
    <w:rsid w:val="002E4DBC"/>
    <w:rsid w:val="002F2C57"/>
    <w:rsid w:val="003069A3"/>
    <w:rsid w:val="00316E24"/>
    <w:rsid w:val="00330CF5"/>
    <w:rsid w:val="003463BF"/>
    <w:rsid w:val="00357072"/>
    <w:rsid w:val="003633F6"/>
    <w:rsid w:val="003669B4"/>
    <w:rsid w:val="003959CB"/>
    <w:rsid w:val="00411132"/>
    <w:rsid w:val="004771CC"/>
    <w:rsid w:val="004A171A"/>
    <w:rsid w:val="004A736E"/>
    <w:rsid w:val="004D3E47"/>
    <w:rsid w:val="004E05C6"/>
    <w:rsid w:val="004E31F7"/>
    <w:rsid w:val="004E76B4"/>
    <w:rsid w:val="00502568"/>
    <w:rsid w:val="00511E5A"/>
    <w:rsid w:val="00544B4A"/>
    <w:rsid w:val="005534B8"/>
    <w:rsid w:val="005B2781"/>
    <w:rsid w:val="005D5254"/>
    <w:rsid w:val="00613CD9"/>
    <w:rsid w:val="00625A4C"/>
    <w:rsid w:val="00635265"/>
    <w:rsid w:val="00635DBE"/>
    <w:rsid w:val="0066137F"/>
    <w:rsid w:val="00674726"/>
    <w:rsid w:val="00675D26"/>
    <w:rsid w:val="0067734D"/>
    <w:rsid w:val="006927A8"/>
    <w:rsid w:val="006965FC"/>
    <w:rsid w:val="006A1E8B"/>
    <w:rsid w:val="006A4E87"/>
    <w:rsid w:val="006B539D"/>
    <w:rsid w:val="006C531C"/>
    <w:rsid w:val="006D1E59"/>
    <w:rsid w:val="00721953"/>
    <w:rsid w:val="00746A1E"/>
    <w:rsid w:val="00767D4D"/>
    <w:rsid w:val="00792409"/>
    <w:rsid w:val="00793729"/>
    <w:rsid w:val="007B2E82"/>
    <w:rsid w:val="007B3514"/>
    <w:rsid w:val="007D2921"/>
    <w:rsid w:val="007F3F78"/>
    <w:rsid w:val="0080031F"/>
    <w:rsid w:val="00811948"/>
    <w:rsid w:val="00813D50"/>
    <w:rsid w:val="00840371"/>
    <w:rsid w:val="00851FBC"/>
    <w:rsid w:val="00863148"/>
    <w:rsid w:val="008638DE"/>
    <w:rsid w:val="0088528C"/>
    <w:rsid w:val="008977DF"/>
    <w:rsid w:val="008A0A68"/>
    <w:rsid w:val="00950AC5"/>
    <w:rsid w:val="00990EAF"/>
    <w:rsid w:val="009B1485"/>
    <w:rsid w:val="009B42C6"/>
    <w:rsid w:val="009C7490"/>
    <w:rsid w:val="00A012E0"/>
    <w:rsid w:val="00A14A7A"/>
    <w:rsid w:val="00A406B1"/>
    <w:rsid w:val="00A66354"/>
    <w:rsid w:val="00A71AAC"/>
    <w:rsid w:val="00A82B9F"/>
    <w:rsid w:val="00A85A83"/>
    <w:rsid w:val="00AA62BE"/>
    <w:rsid w:val="00AB3E95"/>
    <w:rsid w:val="00AC2246"/>
    <w:rsid w:val="00B02A5F"/>
    <w:rsid w:val="00B052D7"/>
    <w:rsid w:val="00B11467"/>
    <w:rsid w:val="00B23D71"/>
    <w:rsid w:val="00B46AB3"/>
    <w:rsid w:val="00B70C6E"/>
    <w:rsid w:val="00BB2098"/>
    <w:rsid w:val="00BE1DFE"/>
    <w:rsid w:val="00BF5C75"/>
    <w:rsid w:val="00C0625B"/>
    <w:rsid w:val="00C176E3"/>
    <w:rsid w:val="00C35CCC"/>
    <w:rsid w:val="00C535F2"/>
    <w:rsid w:val="00C80B3E"/>
    <w:rsid w:val="00CA5931"/>
    <w:rsid w:val="00CB0922"/>
    <w:rsid w:val="00D06E58"/>
    <w:rsid w:val="00D102F5"/>
    <w:rsid w:val="00D4246D"/>
    <w:rsid w:val="00D81487"/>
    <w:rsid w:val="00DA6C0B"/>
    <w:rsid w:val="00DE7106"/>
    <w:rsid w:val="00E052A7"/>
    <w:rsid w:val="00E17FEA"/>
    <w:rsid w:val="00E20B16"/>
    <w:rsid w:val="00E25559"/>
    <w:rsid w:val="00E42CAE"/>
    <w:rsid w:val="00E4341C"/>
    <w:rsid w:val="00E965F6"/>
    <w:rsid w:val="00EA24A0"/>
    <w:rsid w:val="00EB57A4"/>
    <w:rsid w:val="00EB663F"/>
    <w:rsid w:val="00F325EC"/>
    <w:rsid w:val="00F374C1"/>
    <w:rsid w:val="00F41101"/>
    <w:rsid w:val="00F41EAD"/>
    <w:rsid w:val="00F556FF"/>
    <w:rsid w:val="00F70307"/>
    <w:rsid w:val="00F75C19"/>
    <w:rsid w:val="00F82C2F"/>
    <w:rsid w:val="00F937FF"/>
    <w:rsid w:val="00F96C33"/>
    <w:rsid w:val="00FB4F61"/>
    <w:rsid w:val="00FE2D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9B1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3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D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4DBC"/>
  </w:style>
  <w:style w:type="paragraph" w:styleId="Footer">
    <w:name w:val="footer"/>
    <w:basedOn w:val="Normal"/>
    <w:link w:val="FooterChar"/>
    <w:uiPriority w:val="99"/>
    <w:unhideWhenUsed/>
    <w:rsid w:val="002E4D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4DBC"/>
  </w:style>
  <w:style w:type="paragraph" w:customStyle="1" w:styleId="Default">
    <w:name w:val="Default"/>
    <w:rsid w:val="00990EA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06E58"/>
    <w:pPr>
      <w:ind w:left="720"/>
      <w:contextualSpacing/>
    </w:pPr>
  </w:style>
  <w:style w:type="paragraph" w:styleId="FootnoteText">
    <w:name w:val="footnote text"/>
    <w:basedOn w:val="Normal"/>
    <w:link w:val="FootnoteTextChar"/>
    <w:uiPriority w:val="99"/>
    <w:semiHidden/>
    <w:unhideWhenUsed/>
    <w:rsid w:val="00214B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4BC8"/>
    <w:rPr>
      <w:sz w:val="20"/>
      <w:szCs w:val="20"/>
    </w:rPr>
  </w:style>
  <w:style w:type="table" w:styleId="TableGrid">
    <w:name w:val="Table Grid"/>
    <w:basedOn w:val="TableNormal"/>
    <w:uiPriority w:val="39"/>
    <w:rsid w:val="00214BC8"/>
    <w:pPr>
      <w:spacing w:beforeLines="50" w:after="0" w:line="240" w:lineRule="auto"/>
      <w:ind w:leftChars="280" w:left="280"/>
      <w:jc w:val="both"/>
    </w:pPr>
    <w:rPr>
      <w:rFonts w:eastAsia="Yu Mincho"/>
      <w:kern w:val="2"/>
      <w:sz w:val="21"/>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r"/>
    <w:basedOn w:val="DefaultParagraphFont"/>
    <w:uiPriority w:val="99"/>
    <w:semiHidden/>
    <w:unhideWhenUsed/>
    <w:rsid w:val="00214BC8"/>
    <w:rPr>
      <w:vertAlign w:val="superscript"/>
    </w:rPr>
  </w:style>
  <w:style w:type="table" w:customStyle="1" w:styleId="TableGrid1">
    <w:name w:val="Table Grid1"/>
    <w:basedOn w:val="TableNormal"/>
    <w:next w:val="TableGrid"/>
    <w:uiPriority w:val="39"/>
    <w:rsid w:val="00E4341C"/>
    <w:pPr>
      <w:spacing w:beforeLines="50" w:after="0" w:line="240" w:lineRule="auto"/>
      <w:ind w:leftChars="280" w:left="280"/>
      <w:jc w:val="both"/>
    </w:pPr>
    <w:rPr>
      <w:rFonts w:eastAsia="Yu Mincho"/>
      <w:kern w:val="2"/>
      <w:sz w:val="21"/>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C24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2022-11-19T12:32:00Z</dcterms:created>
  <dcterms:modified xsi:type="dcterms:W3CDTF">2022-12-21T13:06:00Z</dcterms:modified>
</cp:coreProperties>
</file>