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C2AF" w14:textId="77777777" w:rsidR="00C50C9E" w:rsidRPr="00803D54" w:rsidRDefault="00C50C9E" w:rsidP="00C50C9E">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bookmarkStart w:id="0" w:name="_Hlk88057794"/>
      <w:r w:rsidRPr="00803D54">
        <w:rPr>
          <w:rFonts w:ascii="Cambria" w:hAnsi="Cambria"/>
          <w:sz w:val="20"/>
          <w:szCs w:val="20"/>
        </w:rPr>
        <w:t>2</w:t>
      </w:r>
      <w:r w:rsidR="007C2C66" w:rsidRPr="00803D54">
        <w:rPr>
          <w:rFonts w:ascii="Cambria" w:hAnsi="Cambria"/>
          <w:sz w:val="20"/>
          <w:szCs w:val="20"/>
        </w:rPr>
        <w:t>2</w:t>
      </w:r>
      <w:r w:rsidRPr="00803D54">
        <w:rPr>
          <w:rFonts w:ascii="Cambria" w:hAnsi="Cambria"/>
          <w:sz w:val="20"/>
          <w:szCs w:val="20"/>
        </w:rPr>
        <w:t>-</w:t>
      </w:r>
      <w:r w:rsidR="007C2C66" w:rsidRPr="00803D54">
        <w:rPr>
          <w:rFonts w:ascii="Cambria" w:hAnsi="Cambria"/>
          <w:sz w:val="20"/>
          <w:szCs w:val="20"/>
        </w:rPr>
        <w:t>04</w:t>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006F1F93" w:rsidRPr="00803D54">
        <w:rPr>
          <w:rFonts w:ascii="Cambria" w:hAnsi="Cambria"/>
          <w:sz w:val="20"/>
          <w:szCs w:val="20"/>
        </w:rPr>
        <w:t xml:space="preserve">                 </w:t>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Pr="00803D54">
        <w:rPr>
          <w:rFonts w:ascii="Cambria" w:hAnsi="Cambria"/>
          <w:sz w:val="20"/>
          <w:szCs w:val="20"/>
        </w:rPr>
        <w:tab/>
      </w:r>
      <w:r w:rsidR="007C2C66" w:rsidRPr="00803D54">
        <w:rPr>
          <w:rFonts w:ascii="Cambria" w:hAnsi="Cambria"/>
          <w:sz w:val="20"/>
          <w:szCs w:val="20"/>
        </w:rPr>
        <w:t>SWO</w:t>
      </w:r>
    </w:p>
    <w:p w14:paraId="7D0598CD" w14:textId="77777777" w:rsidR="00C50C9E" w:rsidRPr="00803D54" w:rsidRDefault="00F203E7" w:rsidP="00C50C9E">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803D54">
        <w:rPr>
          <w:rFonts w:ascii="Cambria" w:hAnsi="Cambria"/>
          <w:sz w:val="20"/>
          <w:szCs w:val="20"/>
        </w:rPr>
        <w:t xml:space="preserve">RECOMENDACIÓN </w:t>
      </w:r>
      <w:r w:rsidR="007458A4" w:rsidRPr="00803D54">
        <w:rPr>
          <w:rFonts w:ascii="Cambria" w:hAnsi="Cambria"/>
          <w:sz w:val="20"/>
          <w:szCs w:val="20"/>
        </w:rPr>
        <w:t xml:space="preserve">DE </w:t>
      </w:r>
      <w:r w:rsidRPr="00803D54">
        <w:rPr>
          <w:rFonts w:ascii="Cambria" w:hAnsi="Cambria"/>
          <w:sz w:val="20"/>
          <w:szCs w:val="20"/>
        </w:rPr>
        <w:t>ICCAT QUE RE</w:t>
      </w:r>
      <w:r w:rsidR="00D975B9" w:rsidRPr="00803D54">
        <w:rPr>
          <w:rFonts w:ascii="Cambria" w:hAnsi="Cambria"/>
          <w:sz w:val="20"/>
          <w:szCs w:val="20"/>
        </w:rPr>
        <w:t>E</w:t>
      </w:r>
      <w:r w:rsidRPr="00803D54">
        <w:rPr>
          <w:rFonts w:ascii="Cambria" w:hAnsi="Cambria"/>
          <w:sz w:val="20"/>
          <w:szCs w:val="20"/>
        </w:rPr>
        <w:t xml:space="preserve">MPLAZA LA RECOMENDACIÓN </w:t>
      </w:r>
    </w:p>
    <w:p w14:paraId="5AC3D999" w14:textId="77777777" w:rsidR="00C50C9E" w:rsidRPr="00803D54" w:rsidRDefault="00F203E7" w:rsidP="00C50C9E">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803D54">
        <w:rPr>
          <w:rFonts w:ascii="Cambria" w:hAnsi="Cambria"/>
          <w:sz w:val="20"/>
          <w:szCs w:val="20"/>
        </w:rPr>
        <w:t xml:space="preserve">SUPLEMENTARIA </w:t>
      </w:r>
      <w:r w:rsidR="00646FA6" w:rsidRPr="00803D54">
        <w:rPr>
          <w:rFonts w:ascii="Cambria" w:hAnsi="Cambria"/>
          <w:sz w:val="20"/>
          <w:szCs w:val="20"/>
        </w:rPr>
        <w:t xml:space="preserve">21-03 QUE PRORROGA Y ENMIENDA </w:t>
      </w:r>
      <w:r w:rsidRPr="00803D54">
        <w:rPr>
          <w:rFonts w:ascii="Cambria" w:hAnsi="Cambria"/>
          <w:sz w:val="20"/>
          <w:szCs w:val="20"/>
        </w:rPr>
        <w:t xml:space="preserve">LA RECOMENDACIÓN 17-03 </w:t>
      </w:r>
    </w:p>
    <w:p w14:paraId="267F966E" w14:textId="77777777" w:rsidR="00F779D1" w:rsidRPr="00803D54" w:rsidRDefault="00F203E7" w:rsidP="00C50C9E">
      <w:pPr>
        <w:pStyle w:val="Heading5"/>
        <w:pBdr>
          <w:top w:val="double" w:sz="4" w:space="1" w:color="auto"/>
          <w:left w:val="double" w:sz="4" w:space="4" w:color="auto"/>
          <w:bottom w:val="double" w:sz="4" w:space="1" w:color="auto"/>
          <w:right w:val="double" w:sz="4" w:space="4" w:color="auto"/>
        </w:pBdr>
        <w:rPr>
          <w:rFonts w:ascii="Cambria" w:hAnsi="Cambria"/>
          <w:sz w:val="20"/>
          <w:szCs w:val="20"/>
        </w:rPr>
      </w:pPr>
      <w:r w:rsidRPr="00803D54">
        <w:rPr>
          <w:rFonts w:ascii="Cambria" w:hAnsi="Cambria"/>
          <w:sz w:val="20"/>
          <w:szCs w:val="20"/>
        </w:rPr>
        <w:t>PARA LA CONSERVACIÓN DEL PEZ ESPADA DEL ATLÁNTICO SUR</w:t>
      </w:r>
    </w:p>
    <w:p w14:paraId="07BAB742" w14:textId="77777777" w:rsidR="00C50C9E" w:rsidRPr="00CE25A8" w:rsidRDefault="00C50C9E" w:rsidP="00C50C9E">
      <w:pPr>
        <w:pStyle w:val="Heading5"/>
        <w:pBdr>
          <w:top w:val="double" w:sz="4" w:space="1" w:color="auto"/>
          <w:left w:val="double" w:sz="4" w:space="4" w:color="auto"/>
          <w:bottom w:val="double" w:sz="4" w:space="1" w:color="auto"/>
          <w:right w:val="double" w:sz="4" w:space="4" w:color="auto"/>
        </w:pBdr>
        <w:rPr>
          <w:sz w:val="6"/>
          <w:szCs w:val="6"/>
        </w:rPr>
      </w:pPr>
    </w:p>
    <w:bookmarkEnd w:id="0"/>
    <w:p w14:paraId="2115026B" w14:textId="77777777" w:rsidR="00C50C9E" w:rsidRPr="00803D54" w:rsidRDefault="00C50C9E" w:rsidP="009B24CE">
      <w:pPr>
        <w:tabs>
          <w:tab w:val="left" w:pos="426"/>
        </w:tabs>
        <w:jc w:val="both"/>
        <w:rPr>
          <w:rFonts w:ascii="Cambria" w:hAnsi="Cambria"/>
          <w:i/>
          <w:iCs/>
          <w:sz w:val="20"/>
          <w:szCs w:val="20"/>
        </w:rPr>
      </w:pPr>
    </w:p>
    <w:p w14:paraId="3E0A997D" w14:textId="77777777" w:rsidR="006F1F93" w:rsidRPr="00803D54" w:rsidRDefault="00ED3949" w:rsidP="009B24CE">
      <w:pPr>
        <w:tabs>
          <w:tab w:val="left" w:pos="426"/>
        </w:tabs>
        <w:jc w:val="both"/>
        <w:rPr>
          <w:rFonts w:ascii="Cambria" w:hAnsi="Cambria"/>
          <w:i/>
          <w:iCs/>
          <w:sz w:val="20"/>
          <w:szCs w:val="20"/>
        </w:rPr>
      </w:pPr>
      <w:r w:rsidRPr="00803D54">
        <w:rPr>
          <w:rFonts w:ascii="Cambria" w:hAnsi="Cambria"/>
          <w:i/>
          <w:iCs/>
          <w:sz w:val="20"/>
          <w:szCs w:val="20"/>
        </w:rPr>
        <w:tab/>
      </w:r>
    </w:p>
    <w:p w14:paraId="37AF295A" w14:textId="77777777" w:rsidR="009F790F" w:rsidRPr="00803D54" w:rsidRDefault="006F1F93" w:rsidP="009B24CE">
      <w:pPr>
        <w:tabs>
          <w:tab w:val="left" w:pos="426"/>
        </w:tabs>
        <w:jc w:val="both"/>
        <w:rPr>
          <w:rFonts w:ascii="Cambria" w:hAnsi="Cambria"/>
          <w:sz w:val="20"/>
          <w:szCs w:val="20"/>
        </w:rPr>
      </w:pPr>
      <w:r w:rsidRPr="00803D54">
        <w:rPr>
          <w:rFonts w:ascii="Cambria" w:hAnsi="Cambria"/>
          <w:i/>
          <w:iCs/>
          <w:sz w:val="20"/>
          <w:szCs w:val="20"/>
        </w:rPr>
        <w:tab/>
      </w:r>
      <w:r w:rsidR="00ED3949" w:rsidRPr="00803D54">
        <w:rPr>
          <w:rFonts w:ascii="Cambria" w:hAnsi="Cambria"/>
          <w:i/>
          <w:iCs/>
          <w:sz w:val="20"/>
          <w:szCs w:val="20"/>
        </w:rPr>
        <w:t>OBSERVANDO</w:t>
      </w:r>
      <w:r w:rsidR="00ED3949" w:rsidRPr="00803D54">
        <w:rPr>
          <w:rFonts w:ascii="Cambria" w:hAnsi="Cambria"/>
          <w:sz w:val="20"/>
          <w:szCs w:val="20"/>
        </w:rPr>
        <w:t xml:space="preserve"> la necesidad de continuar con una ordenación </w:t>
      </w:r>
      <w:r w:rsidR="00F37A35" w:rsidRPr="00803D54">
        <w:rPr>
          <w:rFonts w:ascii="Cambria" w:hAnsi="Cambria"/>
          <w:sz w:val="20"/>
          <w:szCs w:val="20"/>
        </w:rPr>
        <w:t>bien fundamentada para explotación sostenible</w:t>
      </w:r>
      <w:r w:rsidR="00ED3949" w:rsidRPr="00803D54">
        <w:rPr>
          <w:rFonts w:ascii="Cambria" w:hAnsi="Cambria"/>
          <w:sz w:val="20"/>
          <w:szCs w:val="20"/>
        </w:rPr>
        <w:t xml:space="preserve"> del stock de pez espada del Atlántico sur;</w:t>
      </w:r>
    </w:p>
    <w:p w14:paraId="55D22C79" w14:textId="77777777" w:rsidR="009F790F" w:rsidRPr="00803D54" w:rsidRDefault="009F790F" w:rsidP="009B24CE">
      <w:pPr>
        <w:jc w:val="both"/>
        <w:rPr>
          <w:rFonts w:ascii="Cambria" w:hAnsi="Cambria"/>
          <w:sz w:val="20"/>
          <w:szCs w:val="20"/>
        </w:rPr>
      </w:pPr>
    </w:p>
    <w:p w14:paraId="7B01026F" w14:textId="77777777" w:rsidR="00E70C91" w:rsidRPr="00803D54" w:rsidRDefault="00E70C91" w:rsidP="00E70C91">
      <w:pPr>
        <w:widowControl w:val="0"/>
        <w:tabs>
          <w:tab w:val="left" w:pos="426"/>
        </w:tabs>
        <w:ind w:right="2" w:firstLine="426"/>
        <w:jc w:val="both"/>
        <w:rPr>
          <w:rFonts w:ascii="Cambria" w:eastAsia="Cambria" w:hAnsi="Cambria" w:cs="Cambria"/>
          <w:sz w:val="20"/>
          <w:szCs w:val="20"/>
        </w:rPr>
      </w:pPr>
      <w:r w:rsidRPr="00803D54">
        <w:rPr>
          <w:rFonts w:ascii="Cambria" w:eastAsia="Calibri" w:hAnsi="Cambria"/>
          <w:sz w:val="20"/>
          <w:szCs w:val="20"/>
        </w:rPr>
        <w:t xml:space="preserve">CONSIDERANDO que en 2022 el Comité Permanente de Investigación y Estadísticas (SCRS) proporcionó una evaluación del estado del stock en la que señalaba que el stock está sobrepescado y es objeto de sobrepesca e informaba de que es poco probable (3 % de probabilidad) que el TAC actual de 14.000 t logre el objetivo de llevar al stock a un cuadrante verde del diagrama de Kobe desde ahora </w:t>
      </w:r>
      <w:r w:rsidR="00B53E33" w:rsidRPr="00803D54">
        <w:rPr>
          <w:rFonts w:ascii="Cambria" w:eastAsia="Calibri" w:hAnsi="Cambria"/>
          <w:sz w:val="20"/>
          <w:szCs w:val="20"/>
        </w:rPr>
        <w:t>hasta</w:t>
      </w:r>
      <w:r w:rsidRPr="00803D54">
        <w:rPr>
          <w:rFonts w:ascii="Cambria" w:eastAsia="Calibri" w:hAnsi="Cambria"/>
          <w:sz w:val="20"/>
          <w:szCs w:val="20"/>
        </w:rPr>
        <w:t xml:space="preserve"> 2033 y que las capturas en niveles inferiores a 10.000 t acelerarían la recuperación del stock;</w:t>
      </w:r>
    </w:p>
    <w:p w14:paraId="70C74C6A" w14:textId="77777777" w:rsidR="00646FA6" w:rsidRPr="00803D54" w:rsidRDefault="00646FA6" w:rsidP="00646FA6">
      <w:pPr>
        <w:jc w:val="both"/>
        <w:rPr>
          <w:rFonts w:ascii="Cambria" w:hAnsi="Cambria"/>
          <w:sz w:val="20"/>
          <w:szCs w:val="20"/>
        </w:rPr>
      </w:pPr>
    </w:p>
    <w:p w14:paraId="28CB7486" w14:textId="77777777" w:rsidR="00F37A35" w:rsidRPr="00803D54" w:rsidRDefault="00F37A35" w:rsidP="00646FA6">
      <w:pPr>
        <w:ind w:firstLine="340"/>
        <w:jc w:val="both"/>
        <w:rPr>
          <w:rFonts w:ascii="Cambria" w:hAnsi="Cambria"/>
          <w:sz w:val="20"/>
          <w:szCs w:val="20"/>
        </w:rPr>
      </w:pPr>
      <w:r w:rsidRPr="00803D54">
        <w:rPr>
          <w:rFonts w:ascii="Cambria" w:hAnsi="Cambria"/>
          <w:i/>
          <w:iCs/>
          <w:sz w:val="20"/>
          <w:szCs w:val="20"/>
        </w:rPr>
        <w:t>RECONOCIENDO</w:t>
      </w:r>
      <w:r w:rsidRPr="00803D54">
        <w:rPr>
          <w:rFonts w:ascii="Cambria" w:hAnsi="Cambria"/>
          <w:sz w:val="20"/>
          <w:szCs w:val="20"/>
        </w:rPr>
        <w:t xml:space="preserve"> que el SCRS recomendó que no se superaran los niveles actuales de explotación en el marco de los patrones de explotación actuales;</w:t>
      </w:r>
    </w:p>
    <w:p w14:paraId="2041EF74" w14:textId="77777777" w:rsidR="00F37A35" w:rsidRPr="00803D54" w:rsidRDefault="00F37A35" w:rsidP="000256D5">
      <w:pPr>
        <w:jc w:val="both"/>
        <w:rPr>
          <w:rFonts w:ascii="Cambria" w:hAnsi="Cambria"/>
          <w:sz w:val="20"/>
          <w:szCs w:val="20"/>
        </w:rPr>
      </w:pPr>
      <w:r w:rsidRPr="00803D54">
        <w:rPr>
          <w:rFonts w:ascii="Cambria" w:hAnsi="Cambria"/>
          <w:sz w:val="20"/>
          <w:szCs w:val="20"/>
        </w:rPr>
        <w:br/>
      </w:r>
      <w:r w:rsidR="000256D5" w:rsidRPr="00803D54">
        <w:rPr>
          <w:rFonts w:ascii="Cambria" w:hAnsi="Cambria"/>
          <w:i/>
          <w:iCs/>
          <w:sz w:val="20"/>
          <w:szCs w:val="20"/>
        </w:rPr>
        <w:tab/>
      </w:r>
      <w:r w:rsidRPr="00803D54">
        <w:rPr>
          <w:rFonts w:ascii="Cambria" w:hAnsi="Cambria"/>
          <w:i/>
          <w:iCs/>
          <w:sz w:val="20"/>
          <w:szCs w:val="20"/>
        </w:rPr>
        <w:t>CONFIRMANDO</w:t>
      </w:r>
      <w:r w:rsidRPr="00803D54">
        <w:rPr>
          <w:rFonts w:ascii="Cambria" w:hAnsi="Cambria"/>
          <w:sz w:val="20"/>
          <w:szCs w:val="20"/>
        </w:rPr>
        <w:t xml:space="preserve"> el compromiso de las CPC de no aumentar sus esfuerzos pesqueros para garantizar que las capturas no superen las 10.000 t, al tiempo que reconoce que la ampliación de las medidas actuales no perjudica en modo alguno cualquier medida o debate futuro, incluida la asignación existente;</w:t>
      </w:r>
    </w:p>
    <w:p w14:paraId="1C8C0684" w14:textId="77777777" w:rsidR="006F1F93" w:rsidRPr="00803D54" w:rsidRDefault="00F37A35" w:rsidP="00F37A35">
      <w:pPr>
        <w:jc w:val="center"/>
        <w:rPr>
          <w:rFonts w:ascii="Cambria" w:hAnsi="Cambria"/>
          <w:bCs/>
          <w:sz w:val="20"/>
          <w:szCs w:val="20"/>
        </w:rPr>
      </w:pPr>
      <w:r w:rsidRPr="00803D54">
        <w:rPr>
          <w:rFonts w:ascii="Cambria" w:hAnsi="Cambria"/>
          <w:sz w:val="20"/>
          <w:szCs w:val="20"/>
        </w:rPr>
        <w:br/>
      </w:r>
    </w:p>
    <w:p w14:paraId="42E2B378" w14:textId="77777777" w:rsidR="00D12254" w:rsidRDefault="00ED3949" w:rsidP="00F37A35">
      <w:pPr>
        <w:jc w:val="center"/>
        <w:rPr>
          <w:rFonts w:ascii="Cambria" w:hAnsi="Cambria"/>
          <w:bCs/>
          <w:sz w:val="20"/>
          <w:szCs w:val="20"/>
        </w:rPr>
      </w:pPr>
      <w:r w:rsidRPr="00803D54">
        <w:rPr>
          <w:rFonts w:ascii="Cambria" w:hAnsi="Cambria"/>
          <w:bCs/>
          <w:sz w:val="20"/>
          <w:szCs w:val="20"/>
        </w:rPr>
        <w:t xml:space="preserve">LA COMISIÓN INTERNACIONAL PARA LA CONSERVACIÓN </w:t>
      </w:r>
    </w:p>
    <w:p w14:paraId="0E0BE14E" w14:textId="77777777" w:rsidR="009F790F" w:rsidRPr="00803D54" w:rsidRDefault="00CB3370" w:rsidP="009F790F">
      <w:pPr>
        <w:jc w:val="center"/>
        <w:rPr>
          <w:rFonts w:ascii="Cambria" w:hAnsi="Cambria"/>
          <w:bCs/>
          <w:sz w:val="20"/>
          <w:szCs w:val="20"/>
        </w:rPr>
      </w:pPr>
      <w:r w:rsidRPr="00803D54">
        <w:rPr>
          <w:rFonts w:ascii="Cambria" w:hAnsi="Cambria"/>
          <w:bCs/>
          <w:sz w:val="20"/>
          <w:szCs w:val="20"/>
        </w:rPr>
        <w:t>DEL</w:t>
      </w:r>
      <w:r w:rsidR="00D12254">
        <w:rPr>
          <w:rFonts w:ascii="Cambria" w:hAnsi="Cambria"/>
          <w:bCs/>
          <w:sz w:val="20"/>
          <w:szCs w:val="20"/>
        </w:rPr>
        <w:t xml:space="preserve"> </w:t>
      </w:r>
      <w:r w:rsidR="00ED3949" w:rsidRPr="00803D54">
        <w:rPr>
          <w:rFonts w:ascii="Cambria" w:hAnsi="Cambria"/>
          <w:bCs/>
          <w:sz w:val="20"/>
          <w:szCs w:val="20"/>
        </w:rPr>
        <w:t xml:space="preserve">ATÚN </w:t>
      </w:r>
      <w:r w:rsidR="00803D54" w:rsidRPr="00803D54">
        <w:rPr>
          <w:rFonts w:ascii="Cambria" w:hAnsi="Cambria"/>
          <w:bCs/>
          <w:sz w:val="20"/>
          <w:szCs w:val="20"/>
        </w:rPr>
        <w:t>ATLÁNTICO</w:t>
      </w:r>
      <w:r w:rsidR="00ED3949" w:rsidRPr="00803D54">
        <w:rPr>
          <w:rFonts w:ascii="Cambria" w:hAnsi="Cambria"/>
          <w:bCs/>
          <w:sz w:val="20"/>
          <w:szCs w:val="20"/>
        </w:rPr>
        <w:t xml:space="preserve"> (ICCAT) RECOMIENDA LO SIGUIENTE:</w:t>
      </w:r>
    </w:p>
    <w:p w14:paraId="78CF3796" w14:textId="77777777" w:rsidR="00F37A35" w:rsidRPr="00803D54" w:rsidRDefault="00F37A35" w:rsidP="009F790F">
      <w:pPr>
        <w:jc w:val="center"/>
        <w:rPr>
          <w:rFonts w:ascii="Cambria" w:hAnsi="Cambria"/>
          <w:bCs/>
          <w:sz w:val="20"/>
          <w:szCs w:val="20"/>
        </w:rPr>
      </w:pPr>
    </w:p>
    <w:p w14:paraId="409475EB" w14:textId="77777777" w:rsidR="006F1F93" w:rsidRPr="00803D54" w:rsidRDefault="006F1F93" w:rsidP="00F37A35">
      <w:pPr>
        <w:rPr>
          <w:rFonts w:ascii="Cambria" w:hAnsi="Cambria"/>
          <w:b/>
          <w:sz w:val="20"/>
          <w:szCs w:val="20"/>
        </w:rPr>
      </w:pPr>
    </w:p>
    <w:p w14:paraId="1A7C9F1A" w14:textId="77777777" w:rsidR="006F1F93" w:rsidRPr="00803D54" w:rsidRDefault="006F1F93" w:rsidP="00F37A35">
      <w:pPr>
        <w:rPr>
          <w:rFonts w:ascii="Cambria" w:hAnsi="Cambria"/>
          <w:b/>
          <w:sz w:val="20"/>
          <w:szCs w:val="20"/>
        </w:rPr>
      </w:pPr>
    </w:p>
    <w:p w14:paraId="39F05D0C" w14:textId="77777777" w:rsidR="00F37A35" w:rsidRPr="00803D54" w:rsidRDefault="00044494" w:rsidP="00F37A35">
      <w:pPr>
        <w:rPr>
          <w:rFonts w:ascii="Cambria" w:hAnsi="Cambria"/>
          <w:b/>
          <w:sz w:val="20"/>
          <w:szCs w:val="20"/>
        </w:rPr>
      </w:pPr>
      <w:r w:rsidRPr="00803D54">
        <w:rPr>
          <w:rFonts w:ascii="Cambria" w:hAnsi="Cambria"/>
          <w:b/>
          <w:sz w:val="20"/>
          <w:szCs w:val="20"/>
        </w:rPr>
        <w:t>TAC y límites de captura</w:t>
      </w:r>
    </w:p>
    <w:p w14:paraId="552E5C77" w14:textId="77777777" w:rsidR="009F790F" w:rsidRPr="00803D54" w:rsidRDefault="009F790F" w:rsidP="009F790F">
      <w:pPr>
        <w:jc w:val="center"/>
        <w:rPr>
          <w:rFonts w:ascii="Cambria" w:hAnsi="Cambria"/>
          <w:bCs/>
          <w:sz w:val="20"/>
          <w:szCs w:val="20"/>
        </w:rPr>
      </w:pPr>
    </w:p>
    <w:p w14:paraId="6E9E2987" w14:textId="77777777" w:rsidR="009F790F" w:rsidRPr="00803D54" w:rsidRDefault="00ED3949" w:rsidP="009F790F">
      <w:pPr>
        <w:ind w:left="284" w:hanging="284"/>
        <w:jc w:val="both"/>
        <w:rPr>
          <w:rFonts w:ascii="Cambria" w:hAnsi="Cambria"/>
          <w:sz w:val="20"/>
          <w:szCs w:val="20"/>
        </w:rPr>
      </w:pPr>
      <w:r w:rsidRPr="00803D54">
        <w:rPr>
          <w:rFonts w:ascii="Cambria" w:hAnsi="Cambria"/>
          <w:bCs/>
          <w:sz w:val="20"/>
          <w:szCs w:val="20"/>
        </w:rPr>
        <w:t>1.</w:t>
      </w:r>
      <w:r w:rsidRPr="00803D54">
        <w:rPr>
          <w:rFonts w:ascii="Cambria" w:hAnsi="Cambria"/>
          <w:bCs/>
          <w:sz w:val="20"/>
          <w:szCs w:val="20"/>
        </w:rPr>
        <w:tab/>
      </w:r>
      <w:r w:rsidRPr="00803D54">
        <w:rPr>
          <w:rFonts w:ascii="Cambria" w:hAnsi="Cambria"/>
          <w:sz w:val="20"/>
          <w:szCs w:val="20"/>
        </w:rPr>
        <w:t xml:space="preserve">Los términos de la </w:t>
      </w:r>
      <w:hyperlink r:id="rId8" w:tgtFrame="_blank" w:history="1">
        <w:r w:rsidRPr="00803D54">
          <w:rPr>
            <w:rFonts w:ascii="Cambria" w:hAnsi="Cambria"/>
            <w:i/>
            <w:iCs/>
            <w:sz w:val="20"/>
            <w:szCs w:val="20"/>
          </w:rPr>
          <w:t xml:space="preserve">Recomendación de ICCAT que enmienda la Recomendación 16-04 sobre la conservación del pez espada del Atlántico sur </w:t>
        </w:r>
      </w:hyperlink>
      <w:r w:rsidRPr="00803D54">
        <w:rPr>
          <w:rFonts w:ascii="Cambria" w:hAnsi="Cambria"/>
          <w:i/>
          <w:iCs/>
          <w:sz w:val="20"/>
          <w:szCs w:val="20"/>
        </w:rPr>
        <w:t xml:space="preserve"> </w:t>
      </w:r>
      <w:r w:rsidR="009B24CE" w:rsidRPr="00803D54">
        <w:rPr>
          <w:rFonts w:ascii="Cambria" w:hAnsi="Cambria"/>
          <w:sz w:val="20"/>
          <w:szCs w:val="20"/>
        </w:rPr>
        <w:t>(Rec</w:t>
      </w:r>
      <w:r w:rsidR="009B24CE" w:rsidRPr="00803D54">
        <w:rPr>
          <w:rFonts w:ascii="Cambria" w:hAnsi="Cambria"/>
          <w:i/>
          <w:iCs/>
          <w:sz w:val="20"/>
          <w:szCs w:val="20"/>
        </w:rPr>
        <w:t xml:space="preserve">. </w:t>
      </w:r>
      <w:r w:rsidRPr="00803D54">
        <w:rPr>
          <w:rFonts w:ascii="Cambria" w:hAnsi="Cambria"/>
          <w:sz w:val="20"/>
          <w:szCs w:val="20"/>
        </w:rPr>
        <w:t>17-03</w:t>
      </w:r>
      <w:r w:rsidR="009B24CE" w:rsidRPr="00803D54">
        <w:rPr>
          <w:rFonts w:ascii="Cambria" w:hAnsi="Cambria"/>
          <w:sz w:val="20"/>
          <w:szCs w:val="20"/>
        </w:rPr>
        <w:t>)</w:t>
      </w:r>
      <w:r w:rsidRPr="00803D54">
        <w:rPr>
          <w:rFonts w:ascii="Cambria" w:hAnsi="Cambria"/>
          <w:sz w:val="20"/>
          <w:szCs w:val="20"/>
        </w:rPr>
        <w:t xml:space="preserve"> se </w:t>
      </w:r>
      <w:r w:rsidR="007D305B" w:rsidRPr="00803D54">
        <w:rPr>
          <w:rFonts w:ascii="Cambria" w:hAnsi="Cambria"/>
          <w:sz w:val="20"/>
          <w:szCs w:val="20"/>
        </w:rPr>
        <w:t>extenderán</w:t>
      </w:r>
      <w:r w:rsidRPr="00803D54">
        <w:rPr>
          <w:rFonts w:ascii="Cambria" w:hAnsi="Cambria"/>
          <w:sz w:val="20"/>
          <w:szCs w:val="20"/>
        </w:rPr>
        <w:t xml:space="preserve"> hasta </w:t>
      </w:r>
      <w:r w:rsidR="00C218E0" w:rsidRPr="00803D54">
        <w:rPr>
          <w:rFonts w:ascii="Cambria" w:hAnsi="Cambria"/>
          <w:sz w:val="20"/>
          <w:szCs w:val="20"/>
        </w:rPr>
        <w:t>2023, 2024, 2025 y 2026</w:t>
      </w:r>
      <w:r w:rsidR="007D305B" w:rsidRPr="00803D54">
        <w:rPr>
          <w:rFonts w:ascii="Cambria" w:hAnsi="Cambria"/>
          <w:sz w:val="20"/>
          <w:szCs w:val="20"/>
        </w:rPr>
        <w:t xml:space="preserve"> inclusive, con las siguientes enmiendas:</w:t>
      </w:r>
    </w:p>
    <w:p w14:paraId="44AC1A40" w14:textId="77777777" w:rsidR="009F790F" w:rsidRPr="00803D54" w:rsidRDefault="009F790F" w:rsidP="009F790F">
      <w:pPr>
        <w:ind w:left="284" w:hanging="284"/>
        <w:jc w:val="both"/>
        <w:rPr>
          <w:rFonts w:ascii="Cambria" w:hAnsi="Cambria"/>
          <w:sz w:val="20"/>
          <w:szCs w:val="20"/>
        </w:rPr>
      </w:pPr>
    </w:p>
    <w:p w14:paraId="1977ECFB" w14:textId="77777777" w:rsidR="007D305B" w:rsidRPr="00803D54" w:rsidRDefault="00722181" w:rsidP="006A7BB5">
      <w:pPr>
        <w:ind w:left="284"/>
        <w:jc w:val="both"/>
        <w:rPr>
          <w:rFonts w:ascii="Cambria" w:hAnsi="Cambria"/>
          <w:bCs/>
          <w:sz w:val="20"/>
          <w:szCs w:val="20"/>
        </w:rPr>
      </w:pPr>
      <w:r w:rsidRPr="00803D54">
        <w:rPr>
          <w:rFonts w:ascii="Cambria" w:hAnsi="Cambria"/>
          <w:bCs/>
          <w:sz w:val="20"/>
          <w:szCs w:val="20"/>
        </w:rPr>
        <w:t>A</w:t>
      </w:r>
      <w:r w:rsidR="007D305B" w:rsidRPr="00803D54">
        <w:rPr>
          <w:rFonts w:ascii="Cambria" w:hAnsi="Cambria"/>
          <w:bCs/>
          <w:sz w:val="20"/>
          <w:szCs w:val="20"/>
        </w:rPr>
        <w:t>. El párrafo 1 se sustituirá por:</w:t>
      </w:r>
    </w:p>
    <w:p w14:paraId="28CB29F5" w14:textId="77777777" w:rsidR="00E70C91" w:rsidRPr="00803D54" w:rsidRDefault="00E70C91" w:rsidP="00E70C91">
      <w:pPr>
        <w:tabs>
          <w:tab w:val="left" w:pos="426"/>
          <w:tab w:val="left" w:pos="567"/>
          <w:tab w:val="left" w:pos="990"/>
          <w:tab w:val="left" w:pos="7088"/>
        </w:tabs>
        <w:autoSpaceDE w:val="0"/>
        <w:autoSpaceDN w:val="0"/>
        <w:adjustRightInd w:val="0"/>
        <w:ind w:left="720" w:hanging="720"/>
        <w:jc w:val="both"/>
        <w:rPr>
          <w:rFonts w:ascii="Cambria" w:eastAsia="Calibri" w:hAnsi="Cambria"/>
          <w:sz w:val="20"/>
          <w:szCs w:val="20"/>
        </w:rPr>
      </w:pPr>
    </w:p>
    <w:p w14:paraId="15156E81" w14:textId="77777777" w:rsidR="00E70C91" w:rsidRPr="00803D54" w:rsidRDefault="00E70C91" w:rsidP="00E70C91">
      <w:pPr>
        <w:tabs>
          <w:tab w:val="left" w:pos="426"/>
          <w:tab w:val="left" w:pos="567"/>
          <w:tab w:val="left" w:pos="990"/>
          <w:tab w:val="left" w:pos="7088"/>
        </w:tabs>
        <w:autoSpaceDE w:val="0"/>
        <w:autoSpaceDN w:val="0"/>
        <w:adjustRightInd w:val="0"/>
        <w:ind w:left="720" w:hanging="720"/>
        <w:jc w:val="both"/>
        <w:rPr>
          <w:rFonts w:ascii="Cambria" w:eastAsia="Calibri" w:hAnsi="Cambria"/>
          <w:b/>
          <w:bCs/>
          <w:sz w:val="20"/>
          <w:szCs w:val="20"/>
          <w:shd w:val="clear" w:color="auto" w:fill="E6E6E6"/>
        </w:rPr>
      </w:pPr>
      <w:r w:rsidRPr="00803D54">
        <w:rPr>
          <w:rFonts w:ascii="Cambria" w:eastAsia="Calibri" w:hAnsi="Cambria"/>
          <w:sz w:val="20"/>
          <w:szCs w:val="20"/>
        </w:rPr>
        <w:tab/>
        <w:t xml:space="preserve">"1. </w:t>
      </w:r>
      <w:r w:rsidRPr="00803D54">
        <w:rPr>
          <w:rFonts w:ascii="Cambria" w:hAnsi="Cambria"/>
          <w:b/>
          <w:sz w:val="20"/>
          <w:szCs w:val="20"/>
        </w:rPr>
        <w:t>TAC y límites de captura</w:t>
      </w:r>
    </w:p>
    <w:p w14:paraId="723CFDD0" w14:textId="77777777" w:rsidR="00B53E33" w:rsidRPr="00803D54" w:rsidRDefault="00B53E33" w:rsidP="00E70C91">
      <w:pPr>
        <w:tabs>
          <w:tab w:val="left" w:pos="426"/>
          <w:tab w:val="left" w:pos="567"/>
          <w:tab w:val="left" w:pos="990"/>
          <w:tab w:val="left" w:pos="7088"/>
        </w:tabs>
        <w:autoSpaceDE w:val="0"/>
        <w:autoSpaceDN w:val="0"/>
        <w:adjustRightInd w:val="0"/>
        <w:ind w:left="720" w:hanging="720"/>
        <w:jc w:val="both"/>
        <w:rPr>
          <w:rFonts w:ascii="Cambria" w:eastAsia="Calibri" w:hAnsi="Cambria"/>
          <w:sz w:val="20"/>
          <w:szCs w:val="20"/>
        </w:rPr>
      </w:pPr>
    </w:p>
    <w:p w14:paraId="28E2022F" w14:textId="77777777" w:rsidR="00E70C91" w:rsidRPr="00803D54" w:rsidRDefault="00E70C91" w:rsidP="006F1F93">
      <w:pPr>
        <w:tabs>
          <w:tab w:val="left" w:pos="7088"/>
        </w:tabs>
        <w:autoSpaceDE w:val="0"/>
        <w:autoSpaceDN w:val="0"/>
        <w:adjustRightInd w:val="0"/>
        <w:ind w:left="851" w:hanging="425"/>
        <w:jc w:val="both"/>
        <w:rPr>
          <w:rFonts w:ascii="Cambria" w:eastAsia="Calibri" w:hAnsi="Cambria"/>
          <w:sz w:val="20"/>
          <w:szCs w:val="20"/>
        </w:rPr>
      </w:pPr>
      <w:r w:rsidRPr="00803D54">
        <w:rPr>
          <w:rFonts w:ascii="Cambria" w:eastAsia="Calibri" w:hAnsi="Cambria"/>
          <w:sz w:val="20"/>
          <w:szCs w:val="20"/>
        </w:rPr>
        <w:t xml:space="preserve">a) </w:t>
      </w:r>
      <w:r w:rsidR="00B53E33" w:rsidRPr="00803D54">
        <w:rPr>
          <w:rFonts w:ascii="Cambria" w:eastAsia="Calibri" w:hAnsi="Cambria"/>
          <w:sz w:val="20"/>
          <w:szCs w:val="20"/>
        </w:rPr>
        <w:tab/>
      </w:r>
      <w:r w:rsidRPr="00803D54">
        <w:rPr>
          <w:rFonts w:ascii="Cambria" w:eastAsia="Calibri" w:hAnsi="Cambria"/>
          <w:sz w:val="20"/>
          <w:szCs w:val="20"/>
        </w:rPr>
        <w:t>Se establecerá un total admisible de captura (TAC) de 10.000 t para el pez espada del Atlántico sur para los años 2023, 2024, 2025 y 2026</w:t>
      </w:r>
      <w:r w:rsidR="00B53E33" w:rsidRPr="00803D54">
        <w:rPr>
          <w:rFonts w:ascii="Cambria" w:eastAsia="Calibri" w:hAnsi="Cambria"/>
          <w:sz w:val="20"/>
          <w:szCs w:val="20"/>
        </w:rPr>
        <w:t>.</w:t>
      </w:r>
    </w:p>
    <w:p w14:paraId="017A9507" w14:textId="77777777" w:rsidR="00E70C91" w:rsidRPr="00803D54" w:rsidRDefault="00E70C91" w:rsidP="006F1F93">
      <w:pPr>
        <w:tabs>
          <w:tab w:val="left" w:pos="426"/>
          <w:tab w:val="left" w:pos="567"/>
          <w:tab w:val="left" w:pos="990"/>
          <w:tab w:val="left" w:pos="7088"/>
        </w:tabs>
        <w:autoSpaceDE w:val="0"/>
        <w:autoSpaceDN w:val="0"/>
        <w:adjustRightInd w:val="0"/>
        <w:ind w:left="720" w:hanging="425"/>
        <w:jc w:val="both"/>
        <w:rPr>
          <w:rFonts w:ascii="Cambria" w:eastAsia="Calibri" w:hAnsi="Cambria"/>
          <w:sz w:val="20"/>
          <w:szCs w:val="20"/>
        </w:rPr>
      </w:pPr>
    </w:p>
    <w:p w14:paraId="56B3D9C0" w14:textId="77777777" w:rsidR="00E70C91" w:rsidRPr="00803D54" w:rsidRDefault="00E70C91" w:rsidP="006F1F93">
      <w:pPr>
        <w:tabs>
          <w:tab w:val="left" w:pos="7088"/>
        </w:tabs>
        <w:autoSpaceDE w:val="0"/>
        <w:autoSpaceDN w:val="0"/>
        <w:adjustRightInd w:val="0"/>
        <w:ind w:left="851" w:hanging="425"/>
        <w:jc w:val="both"/>
        <w:rPr>
          <w:rFonts w:ascii="Cambria" w:hAnsi="Cambria"/>
          <w:sz w:val="20"/>
          <w:szCs w:val="20"/>
        </w:rPr>
      </w:pPr>
      <w:r w:rsidRPr="00803D54">
        <w:rPr>
          <w:rFonts w:ascii="Cambria" w:eastAsia="Calibri" w:hAnsi="Cambria"/>
          <w:sz w:val="20"/>
          <w:szCs w:val="20"/>
        </w:rPr>
        <w:t xml:space="preserve">b) </w:t>
      </w:r>
      <w:r w:rsidR="00B53E33" w:rsidRPr="00803D54">
        <w:rPr>
          <w:rFonts w:ascii="Cambria" w:eastAsia="Calibri" w:hAnsi="Cambria"/>
          <w:sz w:val="20"/>
          <w:szCs w:val="20"/>
        </w:rPr>
        <w:tab/>
      </w:r>
      <w:r w:rsidRPr="00803D54">
        <w:rPr>
          <w:rFonts w:ascii="Cambria" w:eastAsia="Calibri" w:hAnsi="Cambria"/>
          <w:sz w:val="20"/>
          <w:szCs w:val="20"/>
        </w:rPr>
        <w:t>Los límites de captura anuales que se indican en la tabla a continuación se aplicarán para los años 2023, 2024, 2025 y 2026:</w:t>
      </w:r>
    </w:p>
    <w:p w14:paraId="4CB57B09" w14:textId="77777777" w:rsidR="00C41C17" w:rsidRPr="00803D54" w:rsidRDefault="00C41C17" w:rsidP="004358D2">
      <w:pPr>
        <w:ind w:left="426" w:hanging="284"/>
        <w:jc w:val="both"/>
        <w:rPr>
          <w:rFonts w:ascii="Cambria" w:hAnsi="Cambria"/>
          <w:bCs/>
          <w:sz w:val="20"/>
          <w:szCs w:val="20"/>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543"/>
      </w:tblGrid>
      <w:tr w:rsidR="00766D22" w:rsidRPr="00803D54" w14:paraId="0468F13F" w14:textId="77777777">
        <w:tc>
          <w:tcPr>
            <w:tcW w:w="6379" w:type="dxa"/>
            <w:gridSpan w:val="2"/>
            <w:vAlign w:val="center"/>
          </w:tcPr>
          <w:p w14:paraId="693DD6DE" w14:textId="77777777" w:rsidR="00766D22" w:rsidRPr="00803D54" w:rsidRDefault="00766D22" w:rsidP="00766D22">
            <w:pPr>
              <w:ind w:left="426"/>
              <w:jc w:val="center"/>
              <w:rPr>
                <w:rFonts w:ascii="Cambria" w:hAnsi="Cambria"/>
                <w:sz w:val="20"/>
                <w:szCs w:val="20"/>
              </w:rPr>
            </w:pPr>
            <w:r w:rsidRPr="00803D54">
              <w:rPr>
                <w:rFonts w:ascii="Cambria" w:hAnsi="Cambria"/>
                <w:sz w:val="20"/>
                <w:szCs w:val="20"/>
              </w:rPr>
              <w:lastRenderedPageBreak/>
              <w:t>TAC: 10.000 t</w:t>
            </w:r>
          </w:p>
        </w:tc>
      </w:tr>
      <w:tr w:rsidR="00C41C17" w:rsidRPr="00803D54" w14:paraId="0114FA36" w14:textId="77777777" w:rsidTr="00E40BBF">
        <w:tc>
          <w:tcPr>
            <w:tcW w:w="2836" w:type="dxa"/>
            <w:vAlign w:val="center"/>
          </w:tcPr>
          <w:p w14:paraId="48FBB542" w14:textId="77777777" w:rsidR="00C41C17" w:rsidRPr="00803D54" w:rsidRDefault="00766D22" w:rsidP="004358D2">
            <w:pPr>
              <w:ind w:left="426"/>
              <w:rPr>
                <w:rFonts w:ascii="Cambria" w:hAnsi="Cambria"/>
                <w:sz w:val="20"/>
                <w:szCs w:val="20"/>
              </w:rPr>
            </w:pPr>
            <w:r w:rsidRPr="00803D54">
              <w:rPr>
                <w:rFonts w:ascii="Cambria" w:hAnsi="Cambria"/>
                <w:sz w:val="20"/>
                <w:szCs w:val="20"/>
              </w:rPr>
              <w:t>CPC</w:t>
            </w:r>
          </w:p>
        </w:tc>
        <w:tc>
          <w:tcPr>
            <w:tcW w:w="3543" w:type="dxa"/>
            <w:vAlign w:val="center"/>
          </w:tcPr>
          <w:p w14:paraId="7B6587BB" w14:textId="77777777" w:rsidR="00C41C17" w:rsidRPr="00803D54" w:rsidRDefault="00C41C17" w:rsidP="00275796">
            <w:pPr>
              <w:ind w:left="426"/>
              <w:jc w:val="right"/>
              <w:rPr>
                <w:rFonts w:ascii="Cambria" w:hAnsi="Cambria"/>
                <w:sz w:val="20"/>
                <w:szCs w:val="20"/>
              </w:rPr>
            </w:pPr>
            <w:r w:rsidRPr="00803D54">
              <w:rPr>
                <w:rFonts w:ascii="Cambria" w:hAnsi="Cambria"/>
                <w:i/>
                <w:iCs/>
                <w:sz w:val="20"/>
                <w:szCs w:val="20"/>
              </w:rPr>
              <w:t>Límite de captura (</w:t>
            </w:r>
            <w:r w:rsidR="00CA7804" w:rsidRPr="00803D54">
              <w:rPr>
                <w:rFonts w:ascii="Cambria" w:hAnsi="Cambria"/>
                <w:i/>
                <w:iCs/>
                <w:sz w:val="20"/>
                <w:szCs w:val="20"/>
              </w:rPr>
              <w:t xml:space="preserve">unidad </w:t>
            </w:r>
            <w:r w:rsidRPr="00803D54">
              <w:rPr>
                <w:rFonts w:ascii="Cambria" w:hAnsi="Cambria"/>
                <w:i/>
                <w:iCs/>
                <w:sz w:val="20"/>
                <w:szCs w:val="20"/>
              </w:rPr>
              <w:t>t)</w:t>
            </w:r>
          </w:p>
        </w:tc>
      </w:tr>
      <w:tr w:rsidR="00C41C17" w:rsidRPr="00803D54" w14:paraId="11E180A2" w14:textId="77777777" w:rsidTr="00E40BBF">
        <w:tc>
          <w:tcPr>
            <w:tcW w:w="2836" w:type="dxa"/>
            <w:vAlign w:val="center"/>
            <w:hideMark/>
          </w:tcPr>
          <w:p w14:paraId="1CCFA50A" w14:textId="77777777" w:rsidR="00C41C17" w:rsidRPr="00803D54" w:rsidRDefault="00C41C17" w:rsidP="004358D2">
            <w:pPr>
              <w:ind w:left="426"/>
              <w:rPr>
                <w:rFonts w:ascii="Cambria" w:hAnsi="Cambria"/>
                <w:sz w:val="20"/>
                <w:szCs w:val="20"/>
              </w:rPr>
            </w:pPr>
            <w:r w:rsidRPr="00803D54">
              <w:rPr>
                <w:rStyle w:val="fontstyle21"/>
              </w:rPr>
              <w:t>Brasil</w:t>
            </w:r>
            <w:r w:rsidR="00E70C91" w:rsidRPr="00803D54">
              <w:rPr>
                <w:rStyle w:val="fontstyle21"/>
                <w:vertAlign w:val="superscript"/>
              </w:rPr>
              <w:t>1</w:t>
            </w:r>
          </w:p>
        </w:tc>
        <w:tc>
          <w:tcPr>
            <w:tcW w:w="3543" w:type="dxa"/>
            <w:vAlign w:val="center"/>
            <w:hideMark/>
          </w:tcPr>
          <w:p w14:paraId="64FB25AE" w14:textId="77777777" w:rsidR="00C41C17" w:rsidRPr="00803D54" w:rsidRDefault="00C41C17" w:rsidP="004358D2">
            <w:pPr>
              <w:ind w:left="426"/>
              <w:jc w:val="right"/>
              <w:rPr>
                <w:rFonts w:ascii="Cambria" w:hAnsi="Cambria"/>
                <w:sz w:val="20"/>
                <w:szCs w:val="20"/>
              </w:rPr>
            </w:pPr>
            <w:r w:rsidRPr="00803D54">
              <w:rPr>
                <w:rStyle w:val="fontstyle21"/>
              </w:rPr>
              <w:t>3.940</w:t>
            </w:r>
          </w:p>
        </w:tc>
      </w:tr>
      <w:tr w:rsidR="00C41C17" w:rsidRPr="00803D54" w14:paraId="4AFB0460" w14:textId="77777777" w:rsidTr="00E40BBF">
        <w:tc>
          <w:tcPr>
            <w:tcW w:w="2836" w:type="dxa"/>
            <w:vAlign w:val="center"/>
            <w:hideMark/>
          </w:tcPr>
          <w:p w14:paraId="13107EC0" w14:textId="77777777" w:rsidR="00C41C17" w:rsidRPr="00803D54" w:rsidRDefault="00C41C17" w:rsidP="004358D2">
            <w:pPr>
              <w:ind w:left="426"/>
              <w:rPr>
                <w:rFonts w:ascii="Cambria" w:hAnsi="Cambria"/>
                <w:sz w:val="20"/>
                <w:szCs w:val="20"/>
              </w:rPr>
            </w:pPr>
            <w:r w:rsidRPr="00803D54">
              <w:rPr>
                <w:rStyle w:val="fontstyle21"/>
              </w:rPr>
              <w:t xml:space="preserve">Unión Europea </w:t>
            </w:r>
          </w:p>
        </w:tc>
        <w:tc>
          <w:tcPr>
            <w:tcW w:w="3543" w:type="dxa"/>
            <w:vAlign w:val="center"/>
            <w:hideMark/>
          </w:tcPr>
          <w:p w14:paraId="7ADB528E" w14:textId="77777777" w:rsidR="00C41C17" w:rsidRPr="00803D54" w:rsidRDefault="00C41C17" w:rsidP="004358D2">
            <w:pPr>
              <w:ind w:left="426"/>
              <w:jc w:val="right"/>
              <w:rPr>
                <w:rFonts w:ascii="Cambria" w:hAnsi="Cambria"/>
                <w:sz w:val="20"/>
                <w:szCs w:val="20"/>
              </w:rPr>
            </w:pPr>
            <w:r w:rsidRPr="00803D54">
              <w:rPr>
                <w:rStyle w:val="fontstyle21"/>
              </w:rPr>
              <w:t>4.824</w:t>
            </w:r>
          </w:p>
        </w:tc>
      </w:tr>
      <w:tr w:rsidR="00C41C17" w:rsidRPr="00803D54" w14:paraId="461C5040" w14:textId="77777777" w:rsidTr="00E40BBF">
        <w:tc>
          <w:tcPr>
            <w:tcW w:w="2836" w:type="dxa"/>
            <w:vAlign w:val="center"/>
            <w:hideMark/>
          </w:tcPr>
          <w:p w14:paraId="1AE3BB35" w14:textId="77777777" w:rsidR="00C41C17" w:rsidRPr="00803D54" w:rsidRDefault="00C41C17" w:rsidP="004358D2">
            <w:pPr>
              <w:ind w:left="426"/>
              <w:rPr>
                <w:rFonts w:ascii="Cambria" w:hAnsi="Cambria"/>
                <w:sz w:val="20"/>
                <w:szCs w:val="20"/>
              </w:rPr>
            </w:pPr>
            <w:r w:rsidRPr="00803D54">
              <w:rPr>
                <w:rStyle w:val="fontstyle21"/>
              </w:rPr>
              <w:t xml:space="preserve">Sudáfrica </w:t>
            </w:r>
          </w:p>
        </w:tc>
        <w:tc>
          <w:tcPr>
            <w:tcW w:w="3543" w:type="dxa"/>
            <w:vAlign w:val="center"/>
            <w:hideMark/>
          </w:tcPr>
          <w:p w14:paraId="2D919C0C" w14:textId="77777777" w:rsidR="00C41C17" w:rsidRPr="00803D54" w:rsidRDefault="00C41C17" w:rsidP="004358D2">
            <w:pPr>
              <w:ind w:left="426"/>
              <w:jc w:val="right"/>
              <w:rPr>
                <w:rFonts w:ascii="Cambria" w:hAnsi="Cambria"/>
                <w:sz w:val="20"/>
                <w:szCs w:val="20"/>
              </w:rPr>
            </w:pPr>
            <w:r w:rsidRPr="00803D54">
              <w:rPr>
                <w:rStyle w:val="fontstyle21"/>
              </w:rPr>
              <w:t>1.001</w:t>
            </w:r>
          </w:p>
        </w:tc>
      </w:tr>
      <w:tr w:rsidR="00C41C17" w:rsidRPr="00803D54" w14:paraId="233B8954" w14:textId="77777777" w:rsidTr="00E40BBF">
        <w:tc>
          <w:tcPr>
            <w:tcW w:w="2836" w:type="dxa"/>
            <w:vAlign w:val="center"/>
            <w:hideMark/>
          </w:tcPr>
          <w:p w14:paraId="473F8390" w14:textId="77777777" w:rsidR="00C41C17" w:rsidRPr="00803D54" w:rsidRDefault="00C41C17" w:rsidP="004358D2">
            <w:pPr>
              <w:ind w:left="426"/>
              <w:rPr>
                <w:rFonts w:ascii="Cambria" w:hAnsi="Cambria"/>
                <w:sz w:val="20"/>
                <w:szCs w:val="20"/>
              </w:rPr>
            </w:pPr>
            <w:r w:rsidRPr="00803D54">
              <w:rPr>
                <w:rStyle w:val="fontstyle21"/>
              </w:rPr>
              <w:t xml:space="preserve">Namibia </w:t>
            </w:r>
          </w:p>
        </w:tc>
        <w:tc>
          <w:tcPr>
            <w:tcW w:w="3543" w:type="dxa"/>
            <w:vAlign w:val="center"/>
            <w:hideMark/>
          </w:tcPr>
          <w:p w14:paraId="6AA6FCC2" w14:textId="77777777" w:rsidR="00C41C17" w:rsidRPr="00803D54" w:rsidRDefault="00C41C17" w:rsidP="004358D2">
            <w:pPr>
              <w:ind w:left="426"/>
              <w:jc w:val="right"/>
              <w:rPr>
                <w:rFonts w:ascii="Cambria" w:hAnsi="Cambria"/>
                <w:sz w:val="20"/>
                <w:szCs w:val="20"/>
              </w:rPr>
            </w:pPr>
            <w:r w:rsidRPr="00803D54">
              <w:rPr>
                <w:rStyle w:val="fontstyle21"/>
              </w:rPr>
              <w:t>1.168</w:t>
            </w:r>
          </w:p>
        </w:tc>
      </w:tr>
      <w:tr w:rsidR="00C41C17" w:rsidRPr="00803D54" w14:paraId="5FC3FB35" w14:textId="77777777" w:rsidTr="00E40BBF">
        <w:tc>
          <w:tcPr>
            <w:tcW w:w="2836" w:type="dxa"/>
            <w:vAlign w:val="center"/>
            <w:hideMark/>
          </w:tcPr>
          <w:p w14:paraId="3E100FBE" w14:textId="77777777" w:rsidR="00C41C17" w:rsidRPr="00803D54" w:rsidRDefault="00C41C17" w:rsidP="004358D2">
            <w:pPr>
              <w:ind w:left="426"/>
              <w:rPr>
                <w:rFonts w:ascii="Cambria" w:hAnsi="Cambria"/>
                <w:sz w:val="20"/>
                <w:szCs w:val="20"/>
              </w:rPr>
            </w:pPr>
            <w:r w:rsidRPr="00803D54">
              <w:rPr>
                <w:rStyle w:val="fontstyle21"/>
              </w:rPr>
              <w:t xml:space="preserve">Uruguay </w:t>
            </w:r>
          </w:p>
        </w:tc>
        <w:tc>
          <w:tcPr>
            <w:tcW w:w="3543" w:type="dxa"/>
            <w:vAlign w:val="center"/>
            <w:hideMark/>
          </w:tcPr>
          <w:p w14:paraId="0938B6A8" w14:textId="77777777" w:rsidR="00C41C17" w:rsidRPr="00803D54" w:rsidRDefault="00C41C17" w:rsidP="004358D2">
            <w:pPr>
              <w:ind w:left="426"/>
              <w:jc w:val="right"/>
              <w:rPr>
                <w:rFonts w:ascii="Cambria" w:hAnsi="Cambria"/>
                <w:sz w:val="20"/>
                <w:szCs w:val="20"/>
              </w:rPr>
            </w:pPr>
            <w:r w:rsidRPr="00803D54">
              <w:rPr>
                <w:rStyle w:val="fontstyle21"/>
              </w:rPr>
              <w:t>1.252</w:t>
            </w:r>
          </w:p>
        </w:tc>
      </w:tr>
      <w:tr w:rsidR="00C41C17" w:rsidRPr="00803D54" w14:paraId="1FDEFB4B" w14:textId="77777777" w:rsidTr="00E40BBF">
        <w:tc>
          <w:tcPr>
            <w:tcW w:w="2836" w:type="dxa"/>
            <w:vAlign w:val="center"/>
            <w:hideMark/>
          </w:tcPr>
          <w:p w14:paraId="7C891896" w14:textId="77777777" w:rsidR="00C41C17" w:rsidRPr="00803D54" w:rsidRDefault="00C41C17" w:rsidP="004358D2">
            <w:pPr>
              <w:ind w:left="426"/>
              <w:rPr>
                <w:rFonts w:ascii="Cambria" w:hAnsi="Cambria"/>
                <w:sz w:val="20"/>
                <w:szCs w:val="20"/>
              </w:rPr>
            </w:pPr>
            <w:r w:rsidRPr="00803D54">
              <w:rPr>
                <w:rStyle w:val="fontstyle21"/>
              </w:rPr>
              <w:t>Estados Unidos</w:t>
            </w:r>
            <w:r w:rsidR="006F1F93" w:rsidRPr="00803D54">
              <w:rPr>
                <w:rStyle w:val="fontstyle21"/>
                <w:vertAlign w:val="superscript"/>
              </w:rPr>
              <w:t>2</w:t>
            </w:r>
          </w:p>
        </w:tc>
        <w:tc>
          <w:tcPr>
            <w:tcW w:w="3543" w:type="dxa"/>
            <w:vAlign w:val="center"/>
            <w:hideMark/>
          </w:tcPr>
          <w:p w14:paraId="328127C2" w14:textId="77777777" w:rsidR="00C41C17" w:rsidRPr="00803D54" w:rsidRDefault="00C41C17" w:rsidP="004358D2">
            <w:pPr>
              <w:ind w:left="426"/>
              <w:jc w:val="right"/>
              <w:rPr>
                <w:rFonts w:ascii="Cambria" w:hAnsi="Cambria"/>
                <w:sz w:val="20"/>
                <w:szCs w:val="20"/>
              </w:rPr>
            </w:pPr>
            <w:r w:rsidRPr="00803D54">
              <w:rPr>
                <w:rStyle w:val="fontstyle21"/>
              </w:rPr>
              <w:t>100</w:t>
            </w:r>
          </w:p>
        </w:tc>
      </w:tr>
      <w:tr w:rsidR="00C41C17" w:rsidRPr="00803D54" w14:paraId="7205CC58" w14:textId="77777777" w:rsidTr="00E40BBF">
        <w:tc>
          <w:tcPr>
            <w:tcW w:w="2836" w:type="dxa"/>
            <w:vAlign w:val="center"/>
            <w:hideMark/>
          </w:tcPr>
          <w:p w14:paraId="485B4077" w14:textId="77777777" w:rsidR="00C41C17" w:rsidRPr="00803D54" w:rsidRDefault="00C41C17" w:rsidP="004358D2">
            <w:pPr>
              <w:ind w:left="426"/>
              <w:rPr>
                <w:rFonts w:ascii="Cambria" w:hAnsi="Cambria"/>
                <w:sz w:val="20"/>
                <w:szCs w:val="20"/>
              </w:rPr>
            </w:pPr>
            <w:r w:rsidRPr="00803D54">
              <w:rPr>
                <w:rStyle w:val="fontstyle21"/>
              </w:rPr>
              <w:t xml:space="preserve">Côte d’Ivoire </w:t>
            </w:r>
          </w:p>
        </w:tc>
        <w:tc>
          <w:tcPr>
            <w:tcW w:w="3543" w:type="dxa"/>
            <w:vAlign w:val="center"/>
            <w:hideMark/>
          </w:tcPr>
          <w:p w14:paraId="6FC4F55C" w14:textId="77777777" w:rsidR="00C41C17" w:rsidRPr="00803D54" w:rsidRDefault="00C41C17" w:rsidP="004358D2">
            <w:pPr>
              <w:ind w:left="426"/>
              <w:jc w:val="right"/>
              <w:rPr>
                <w:rFonts w:ascii="Cambria" w:hAnsi="Cambria"/>
                <w:sz w:val="20"/>
                <w:szCs w:val="20"/>
              </w:rPr>
            </w:pPr>
            <w:r w:rsidRPr="00803D54">
              <w:rPr>
                <w:rStyle w:val="fontstyle21"/>
              </w:rPr>
              <w:t>125</w:t>
            </w:r>
          </w:p>
        </w:tc>
      </w:tr>
      <w:tr w:rsidR="00C41C17" w:rsidRPr="00803D54" w14:paraId="40E2190B" w14:textId="77777777" w:rsidTr="00E40BBF">
        <w:tc>
          <w:tcPr>
            <w:tcW w:w="2836" w:type="dxa"/>
            <w:vAlign w:val="center"/>
            <w:hideMark/>
          </w:tcPr>
          <w:p w14:paraId="637D4AF8" w14:textId="77777777" w:rsidR="00C41C17" w:rsidRPr="00803D54" w:rsidRDefault="00C41C17" w:rsidP="004358D2">
            <w:pPr>
              <w:ind w:left="426"/>
              <w:rPr>
                <w:rFonts w:ascii="Cambria" w:hAnsi="Cambria"/>
                <w:sz w:val="20"/>
                <w:szCs w:val="20"/>
              </w:rPr>
            </w:pPr>
            <w:r w:rsidRPr="00803D54">
              <w:rPr>
                <w:rStyle w:val="fontstyle21"/>
              </w:rPr>
              <w:t xml:space="preserve">China </w:t>
            </w:r>
          </w:p>
        </w:tc>
        <w:tc>
          <w:tcPr>
            <w:tcW w:w="3543" w:type="dxa"/>
            <w:vAlign w:val="center"/>
            <w:hideMark/>
          </w:tcPr>
          <w:p w14:paraId="58B207CD" w14:textId="77777777" w:rsidR="00C41C17" w:rsidRPr="00803D54" w:rsidRDefault="00C41C17" w:rsidP="004358D2">
            <w:pPr>
              <w:ind w:left="426"/>
              <w:jc w:val="right"/>
              <w:rPr>
                <w:rFonts w:ascii="Cambria" w:hAnsi="Cambria"/>
                <w:sz w:val="20"/>
                <w:szCs w:val="20"/>
              </w:rPr>
            </w:pPr>
            <w:r w:rsidRPr="00803D54">
              <w:rPr>
                <w:rStyle w:val="fontstyle21"/>
              </w:rPr>
              <w:t>313</w:t>
            </w:r>
          </w:p>
        </w:tc>
      </w:tr>
      <w:tr w:rsidR="00C41C17" w:rsidRPr="00803D54" w14:paraId="6E70729A" w14:textId="77777777" w:rsidTr="00E40BBF">
        <w:tc>
          <w:tcPr>
            <w:tcW w:w="2836" w:type="dxa"/>
            <w:vAlign w:val="center"/>
            <w:hideMark/>
          </w:tcPr>
          <w:p w14:paraId="3CE77F1B" w14:textId="77777777" w:rsidR="00C41C17" w:rsidRPr="00803D54" w:rsidRDefault="00C41C17" w:rsidP="004358D2">
            <w:pPr>
              <w:ind w:left="426"/>
              <w:rPr>
                <w:rFonts w:ascii="Cambria" w:hAnsi="Cambria"/>
                <w:sz w:val="20"/>
                <w:szCs w:val="20"/>
              </w:rPr>
            </w:pPr>
            <w:r w:rsidRPr="00803D54">
              <w:rPr>
                <w:rStyle w:val="fontstyle21"/>
              </w:rPr>
              <w:t>Taipei Chino</w:t>
            </w:r>
            <w:r w:rsidR="006F1F93" w:rsidRPr="00803D54">
              <w:rPr>
                <w:rStyle w:val="fontstyle21"/>
                <w:vertAlign w:val="superscript"/>
              </w:rPr>
              <w:t>2</w:t>
            </w:r>
          </w:p>
        </w:tc>
        <w:tc>
          <w:tcPr>
            <w:tcW w:w="3543" w:type="dxa"/>
            <w:vAlign w:val="center"/>
            <w:hideMark/>
          </w:tcPr>
          <w:p w14:paraId="18040CEC" w14:textId="77777777" w:rsidR="00C41C17" w:rsidRPr="00803D54" w:rsidRDefault="00C41C17" w:rsidP="004358D2">
            <w:pPr>
              <w:ind w:left="426"/>
              <w:jc w:val="right"/>
              <w:rPr>
                <w:rFonts w:ascii="Cambria" w:hAnsi="Cambria"/>
                <w:sz w:val="20"/>
                <w:szCs w:val="20"/>
              </w:rPr>
            </w:pPr>
            <w:r w:rsidRPr="00803D54">
              <w:rPr>
                <w:rStyle w:val="fontstyle21"/>
              </w:rPr>
              <w:t>459</w:t>
            </w:r>
          </w:p>
        </w:tc>
      </w:tr>
      <w:tr w:rsidR="00C41C17" w:rsidRPr="00803D54" w14:paraId="4CAFDC12" w14:textId="77777777" w:rsidTr="00E40BBF">
        <w:tc>
          <w:tcPr>
            <w:tcW w:w="2836" w:type="dxa"/>
            <w:vAlign w:val="center"/>
            <w:hideMark/>
          </w:tcPr>
          <w:p w14:paraId="6AE978FA" w14:textId="77777777" w:rsidR="00C41C17" w:rsidRPr="00803D54" w:rsidRDefault="00C41C17" w:rsidP="004358D2">
            <w:pPr>
              <w:ind w:left="426"/>
              <w:rPr>
                <w:rFonts w:ascii="Cambria" w:hAnsi="Cambria"/>
                <w:sz w:val="20"/>
                <w:szCs w:val="20"/>
              </w:rPr>
            </w:pPr>
            <w:r w:rsidRPr="00803D54">
              <w:rPr>
                <w:rStyle w:val="fontstyle21"/>
              </w:rPr>
              <w:t xml:space="preserve">Reino Unido </w:t>
            </w:r>
          </w:p>
        </w:tc>
        <w:tc>
          <w:tcPr>
            <w:tcW w:w="3543" w:type="dxa"/>
            <w:vAlign w:val="center"/>
            <w:hideMark/>
          </w:tcPr>
          <w:p w14:paraId="19D2F28D" w14:textId="77777777" w:rsidR="00C41C17" w:rsidRPr="00803D54" w:rsidRDefault="00C41C17" w:rsidP="004358D2">
            <w:pPr>
              <w:ind w:left="426"/>
              <w:jc w:val="right"/>
              <w:rPr>
                <w:rFonts w:ascii="Cambria" w:hAnsi="Cambria"/>
                <w:sz w:val="20"/>
                <w:szCs w:val="20"/>
              </w:rPr>
            </w:pPr>
            <w:r w:rsidRPr="00803D54">
              <w:rPr>
                <w:rStyle w:val="fontstyle21"/>
              </w:rPr>
              <w:t>25</w:t>
            </w:r>
          </w:p>
        </w:tc>
      </w:tr>
      <w:tr w:rsidR="00C41C17" w:rsidRPr="00803D54" w14:paraId="40FB9C95" w14:textId="77777777" w:rsidTr="00E40BBF">
        <w:tc>
          <w:tcPr>
            <w:tcW w:w="2836" w:type="dxa"/>
            <w:vAlign w:val="center"/>
            <w:hideMark/>
          </w:tcPr>
          <w:p w14:paraId="119A7802" w14:textId="77777777" w:rsidR="00C41C17" w:rsidRPr="00803D54" w:rsidRDefault="00C41C17" w:rsidP="004358D2">
            <w:pPr>
              <w:ind w:left="426"/>
              <w:rPr>
                <w:rFonts w:ascii="Cambria" w:hAnsi="Cambria"/>
                <w:sz w:val="20"/>
                <w:szCs w:val="20"/>
              </w:rPr>
            </w:pPr>
            <w:r w:rsidRPr="00803D54">
              <w:rPr>
                <w:rStyle w:val="fontstyle21"/>
              </w:rPr>
              <w:t xml:space="preserve">Japón </w:t>
            </w:r>
            <w:r w:rsidR="006F1F93" w:rsidRPr="00803D54">
              <w:rPr>
                <w:rStyle w:val="fontstyle21"/>
                <w:vertAlign w:val="superscript"/>
              </w:rPr>
              <w:t>2</w:t>
            </w:r>
          </w:p>
        </w:tc>
        <w:tc>
          <w:tcPr>
            <w:tcW w:w="3543" w:type="dxa"/>
            <w:vAlign w:val="center"/>
            <w:hideMark/>
          </w:tcPr>
          <w:p w14:paraId="6DFA938E" w14:textId="77777777" w:rsidR="00C41C17" w:rsidRPr="00803D54" w:rsidRDefault="00C41C17" w:rsidP="004358D2">
            <w:pPr>
              <w:ind w:left="426"/>
              <w:jc w:val="right"/>
              <w:rPr>
                <w:rFonts w:ascii="Cambria" w:hAnsi="Cambria"/>
                <w:sz w:val="20"/>
                <w:szCs w:val="20"/>
              </w:rPr>
            </w:pPr>
            <w:r w:rsidRPr="00803D54">
              <w:rPr>
                <w:rStyle w:val="fontstyle21"/>
              </w:rPr>
              <w:t>901</w:t>
            </w:r>
          </w:p>
        </w:tc>
      </w:tr>
      <w:tr w:rsidR="00C41C17" w:rsidRPr="00803D54" w14:paraId="22B35446" w14:textId="77777777" w:rsidTr="00E40BBF">
        <w:tc>
          <w:tcPr>
            <w:tcW w:w="2836" w:type="dxa"/>
            <w:vAlign w:val="center"/>
            <w:hideMark/>
          </w:tcPr>
          <w:p w14:paraId="0FB2CC7C" w14:textId="77777777" w:rsidR="00C41C17" w:rsidRPr="00803D54" w:rsidRDefault="00C41C17" w:rsidP="004358D2">
            <w:pPr>
              <w:ind w:left="426"/>
              <w:rPr>
                <w:rFonts w:ascii="Cambria" w:hAnsi="Cambria"/>
                <w:sz w:val="20"/>
                <w:szCs w:val="20"/>
              </w:rPr>
            </w:pPr>
            <w:r w:rsidRPr="00803D54">
              <w:rPr>
                <w:rStyle w:val="fontstyle21"/>
              </w:rPr>
              <w:t xml:space="preserve">Angola </w:t>
            </w:r>
          </w:p>
        </w:tc>
        <w:tc>
          <w:tcPr>
            <w:tcW w:w="3543" w:type="dxa"/>
            <w:vAlign w:val="center"/>
            <w:hideMark/>
          </w:tcPr>
          <w:p w14:paraId="595B680B" w14:textId="77777777" w:rsidR="00C41C17" w:rsidRPr="00803D54" w:rsidRDefault="00C41C17" w:rsidP="004358D2">
            <w:pPr>
              <w:ind w:left="426"/>
              <w:jc w:val="right"/>
              <w:rPr>
                <w:rFonts w:ascii="Cambria" w:hAnsi="Cambria"/>
                <w:sz w:val="20"/>
                <w:szCs w:val="20"/>
              </w:rPr>
            </w:pPr>
            <w:r w:rsidRPr="00803D54">
              <w:rPr>
                <w:rStyle w:val="fontstyle21"/>
              </w:rPr>
              <w:t>100</w:t>
            </w:r>
          </w:p>
        </w:tc>
      </w:tr>
      <w:tr w:rsidR="00C41C17" w:rsidRPr="00803D54" w14:paraId="74AAD470" w14:textId="77777777" w:rsidTr="00E40BBF">
        <w:tc>
          <w:tcPr>
            <w:tcW w:w="2836" w:type="dxa"/>
            <w:vAlign w:val="center"/>
            <w:hideMark/>
          </w:tcPr>
          <w:p w14:paraId="54B4D8F2" w14:textId="77777777" w:rsidR="00C41C17" w:rsidRPr="00803D54" w:rsidRDefault="00C41C17" w:rsidP="004358D2">
            <w:pPr>
              <w:ind w:left="426"/>
              <w:rPr>
                <w:rFonts w:ascii="Cambria" w:hAnsi="Cambria"/>
                <w:sz w:val="20"/>
                <w:szCs w:val="20"/>
              </w:rPr>
            </w:pPr>
            <w:r w:rsidRPr="00803D54">
              <w:rPr>
                <w:rStyle w:val="fontstyle21"/>
              </w:rPr>
              <w:t xml:space="preserve">Ghana </w:t>
            </w:r>
          </w:p>
        </w:tc>
        <w:tc>
          <w:tcPr>
            <w:tcW w:w="3543" w:type="dxa"/>
            <w:vAlign w:val="center"/>
            <w:hideMark/>
          </w:tcPr>
          <w:p w14:paraId="38F39BC0" w14:textId="77777777" w:rsidR="00C41C17" w:rsidRPr="00803D54" w:rsidRDefault="00C41C17" w:rsidP="004358D2">
            <w:pPr>
              <w:ind w:left="426"/>
              <w:jc w:val="right"/>
              <w:rPr>
                <w:rFonts w:ascii="Cambria" w:hAnsi="Cambria"/>
                <w:sz w:val="20"/>
                <w:szCs w:val="20"/>
              </w:rPr>
            </w:pPr>
            <w:r w:rsidRPr="00803D54">
              <w:rPr>
                <w:rStyle w:val="fontstyle21"/>
              </w:rPr>
              <w:t>100</w:t>
            </w:r>
          </w:p>
        </w:tc>
      </w:tr>
      <w:tr w:rsidR="00C41C17" w:rsidRPr="00803D54" w14:paraId="635865A7" w14:textId="77777777" w:rsidTr="00E40BBF">
        <w:tc>
          <w:tcPr>
            <w:tcW w:w="2836" w:type="dxa"/>
            <w:vAlign w:val="center"/>
            <w:hideMark/>
          </w:tcPr>
          <w:p w14:paraId="58A4B5A9" w14:textId="77777777" w:rsidR="00C41C17" w:rsidRPr="00803D54" w:rsidRDefault="00C41C17" w:rsidP="004358D2">
            <w:pPr>
              <w:ind w:left="426"/>
              <w:rPr>
                <w:rFonts w:ascii="Cambria" w:hAnsi="Cambria"/>
                <w:sz w:val="20"/>
                <w:szCs w:val="20"/>
              </w:rPr>
            </w:pPr>
            <w:r w:rsidRPr="00803D54">
              <w:rPr>
                <w:rStyle w:val="fontstyle21"/>
              </w:rPr>
              <w:t xml:space="preserve">Santo Tomé y Príncipe </w:t>
            </w:r>
          </w:p>
        </w:tc>
        <w:tc>
          <w:tcPr>
            <w:tcW w:w="3543" w:type="dxa"/>
            <w:vAlign w:val="center"/>
            <w:hideMark/>
          </w:tcPr>
          <w:p w14:paraId="41DA00AB" w14:textId="77777777" w:rsidR="00C41C17" w:rsidRPr="00803D54" w:rsidRDefault="00C41C17" w:rsidP="004358D2">
            <w:pPr>
              <w:ind w:left="426"/>
              <w:jc w:val="right"/>
              <w:rPr>
                <w:rFonts w:ascii="Cambria" w:hAnsi="Cambria"/>
                <w:sz w:val="20"/>
                <w:szCs w:val="20"/>
              </w:rPr>
            </w:pPr>
            <w:r w:rsidRPr="00803D54">
              <w:rPr>
                <w:rStyle w:val="fontstyle21"/>
              </w:rPr>
              <w:t>100</w:t>
            </w:r>
          </w:p>
        </w:tc>
      </w:tr>
      <w:tr w:rsidR="00C41C17" w:rsidRPr="00803D54" w14:paraId="7628E674" w14:textId="77777777" w:rsidTr="00E40BBF">
        <w:tc>
          <w:tcPr>
            <w:tcW w:w="2836" w:type="dxa"/>
            <w:vAlign w:val="center"/>
            <w:hideMark/>
          </w:tcPr>
          <w:p w14:paraId="5140A716" w14:textId="77777777" w:rsidR="00C41C17" w:rsidRPr="00803D54" w:rsidRDefault="00C41C17" w:rsidP="004358D2">
            <w:pPr>
              <w:ind w:left="426"/>
              <w:rPr>
                <w:rFonts w:ascii="Cambria" w:hAnsi="Cambria"/>
                <w:sz w:val="20"/>
                <w:szCs w:val="20"/>
              </w:rPr>
            </w:pPr>
            <w:r w:rsidRPr="00803D54">
              <w:rPr>
                <w:rStyle w:val="fontstyle21"/>
              </w:rPr>
              <w:t xml:space="preserve">Senegal </w:t>
            </w:r>
          </w:p>
        </w:tc>
        <w:tc>
          <w:tcPr>
            <w:tcW w:w="3543" w:type="dxa"/>
            <w:vAlign w:val="center"/>
            <w:hideMark/>
          </w:tcPr>
          <w:p w14:paraId="3856D4A7" w14:textId="77777777" w:rsidR="00C41C17" w:rsidRPr="00803D54" w:rsidRDefault="00C41C17" w:rsidP="004358D2">
            <w:pPr>
              <w:ind w:left="426"/>
              <w:jc w:val="right"/>
              <w:rPr>
                <w:rFonts w:ascii="Cambria" w:hAnsi="Cambria"/>
                <w:sz w:val="20"/>
                <w:szCs w:val="20"/>
              </w:rPr>
            </w:pPr>
            <w:r w:rsidRPr="00803D54">
              <w:rPr>
                <w:rStyle w:val="fontstyle21"/>
              </w:rPr>
              <w:t>417</w:t>
            </w:r>
          </w:p>
        </w:tc>
      </w:tr>
      <w:tr w:rsidR="00C41C17" w:rsidRPr="00803D54" w14:paraId="5C656769" w14:textId="77777777" w:rsidTr="00E40BBF">
        <w:tc>
          <w:tcPr>
            <w:tcW w:w="2836" w:type="dxa"/>
            <w:vAlign w:val="center"/>
          </w:tcPr>
          <w:p w14:paraId="1A1DDD8A" w14:textId="77777777" w:rsidR="00C41C17" w:rsidRPr="00803D54" w:rsidRDefault="00C41C17" w:rsidP="004358D2">
            <w:pPr>
              <w:ind w:left="426"/>
              <w:rPr>
                <w:rStyle w:val="fontstyle21"/>
              </w:rPr>
            </w:pPr>
            <w:r w:rsidRPr="00803D54">
              <w:rPr>
                <w:rStyle w:val="fontstyle21"/>
              </w:rPr>
              <w:t>Corea</w:t>
            </w:r>
          </w:p>
        </w:tc>
        <w:tc>
          <w:tcPr>
            <w:tcW w:w="3543" w:type="dxa"/>
            <w:vAlign w:val="center"/>
          </w:tcPr>
          <w:p w14:paraId="06C8B21B" w14:textId="77777777" w:rsidR="00C41C17" w:rsidRPr="00803D54" w:rsidRDefault="00C41C17" w:rsidP="004358D2">
            <w:pPr>
              <w:ind w:left="426"/>
              <w:jc w:val="right"/>
              <w:rPr>
                <w:rStyle w:val="fontstyle21"/>
              </w:rPr>
            </w:pPr>
            <w:r w:rsidRPr="00803D54">
              <w:rPr>
                <w:rStyle w:val="fontstyle21"/>
              </w:rPr>
              <w:t>50</w:t>
            </w:r>
          </w:p>
        </w:tc>
      </w:tr>
      <w:tr w:rsidR="00C41C17" w:rsidRPr="00803D54" w14:paraId="3F207CF5" w14:textId="77777777" w:rsidTr="00E40BBF">
        <w:tc>
          <w:tcPr>
            <w:tcW w:w="2836" w:type="dxa"/>
            <w:vAlign w:val="center"/>
          </w:tcPr>
          <w:p w14:paraId="393D0A6D" w14:textId="77777777" w:rsidR="00C41C17" w:rsidRPr="00803D54" w:rsidRDefault="00C41C17" w:rsidP="004358D2">
            <w:pPr>
              <w:ind w:left="426"/>
              <w:rPr>
                <w:rStyle w:val="fontstyle21"/>
              </w:rPr>
            </w:pPr>
            <w:r w:rsidRPr="00803D54">
              <w:rPr>
                <w:rStyle w:val="fontstyle21"/>
              </w:rPr>
              <w:t>Belice</w:t>
            </w:r>
          </w:p>
        </w:tc>
        <w:tc>
          <w:tcPr>
            <w:tcW w:w="3543" w:type="dxa"/>
            <w:vAlign w:val="center"/>
          </w:tcPr>
          <w:p w14:paraId="75C5C4EC" w14:textId="77777777" w:rsidR="00C41C17" w:rsidRPr="00803D54" w:rsidRDefault="00C41C17" w:rsidP="004358D2">
            <w:pPr>
              <w:ind w:left="426"/>
              <w:jc w:val="right"/>
              <w:rPr>
                <w:rStyle w:val="fontstyle21"/>
              </w:rPr>
            </w:pPr>
            <w:r w:rsidRPr="00803D54">
              <w:rPr>
                <w:rStyle w:val="fontstyle21"/>
              </w:rPr>
              <w:t>125</w:t>
            </w:r>
          </w:p>
        </w:tc>
      </w:tr>
    </w:tbl>
    <w:p w14:paraId="5C669A25" w14:textId="77777777" w:rsidR="00C41C17" w:rsidRPr="00803D54" w:rsidRDefault="00C41C17" w:rsidP="004358D2">
      <w:pPr>
        <w:ind w:left="426" w:hanging="284"/>
        <w:jc w:val="both"/>
        <w:rPr>
          <w:rFonts w:ascii="Cambria" w:hAnsi="Cambria"/>
          <w:bCs/>
          <w:sz w:val="20"/>
          <w:szCs w:val="20"/>
        </w:rPr>
      </w:pPr>
    </w:p>
    <w:p w14:paraId="673460CB" w14:textId="77777777" w:rsidR="00C41C17" w:rsidRPr="00803D54" w:rsidRDefault="00C41C17" w:rsidP="004358D2">
      <w:pPr>
        <w:ind w:left="426" w:hanging="284"/>
        <w:jc w:val="both"/>
        <w:rPr>
          <w:rFonts w:ascii="Cambria" w:hAnsi="Cambria"/>
          <w:bCs/>
          <w:sz w:val="20"/>
          <w:szCs w:val="20"/>
        </w:rPr>
      </w:pPr>
    </w:p>
    <w:p w14:paraId="5F724667" w14:textId="77777777" w:rsidR="00C41C17" w:rsidRPr="00803D54" w:rsidRDefault="00C41C17" w:rsidP="004358D2">
      <w:pPr>
        <w:ind w:left="426" w:hanging="284"/>
        <w:jc w:val="both"/>
        <w:rPr>
          <w:rFonts w:ascii="Cambria" w:hAnsi="Cambria"/>
          <w:bCs/>
          <w:sz w:val="20"/>
          <w:szCs w:val="20"/>
        </w:rPr>
      </w:pPr>
    </w:p>
    <w:p w14:paraId="3E03C485" w14:textId="77777777" w:rsidR="00C41C17" w:rsidRPr="00803D54" w:rsidRDefault="00C41C17" w:rsidP="004358D2">
      <w:pPr>
        <w:ind w:left="426" w:hanging="284"/>
        <w:jc w:val="both"/>
        <w:rPr>
          <w:rFonts w:ascii="Cambria" w:hAnsi="Cambria"/>
          <w:bCs/>
          <w:sz w:val="20"/>
          <w:szCs w:val="20"/>
        </w:rPr>
      </w:pPr>
    </w:p>
    <w:p w14:paraId="3196F9C2" w14:textId="77777777" w:rsidR="00C41C17" w:rsidRPr="00803D54" w:rsidRDefault="00C41C17" w:rsidP="004358D2">
      <w:pPr>
        <w:ind w:left="426" w:hanging="284"/>
        <w:jc w:val="both"/>
        <w:rPr>
          <w:rFonts w:ascii="Cambria" w:hAnsi="Cambria"/>
          <w:bCs/>
          <w:sz w:val="20"/>
          <w:szCs w:val="20"/>
        </w:rPr>
      </w:pPr>
    </w:p>
    <w:p w14:paraId="07F86058" w14:textId="77777777" w:rsidR="00C41C17" w:rsidRPr="00803D54" w:rsidRDefault="00C41C17" w:rsidP="004358D2">
      <w:pPr>
        <w:ind w:left="426" w:hanging="284"/>
        <w:jc w:val="both"/>
        <w:rPr>
          <w:rFonts w:ascii="Cambria" w:hAnsi="Cambria"/>
          <w:bCs/>
          <w:sz w:val="20"/>
          <w:szCs w:val="20"/>
        </w:rPr>
      </w:pPr>
    </w:p>
    <w:p w14:paraId="5E94D3C7" w14:textId="77777777" w:rsidR="00C41C17" w:rsidRPr="00803D54" w:rsidRDefault="00C41C17" w:rsidP="004358D2">
      <w:pPr>
        <w:ind w:left="426" w:hanging="284"/>
        <w:jc w:val="both"/>
        <w:rPr>
          <w:rFonts w:ascii="Cambria" w:hAnsi="Cambria"/>
          <w:bCs/>
          <w:sz w:val="20"/>
          <w:szCs w:val="20"/>
        </w:rPr>
      </w:pPr>
    </w:p>
    <w:p w14:paraId="0E8D61E5" w14:textId="77777777" w:rsidR="00C41C17" w:rsidRPr="00803D54" w:rsidRDefault="00C41C17" w:rsidP="004358D2">
      <w:pPr>
        <w:ind w:left="426" w:hanging="284"/>
        <w:jc w:val="both"/>
        <w:rPr>
          <w:rFonts w:ascii="Cambria" w:hAnsi="Cambria"/>
          <w:bCs/>
          <w:sz w:val="20"/>
          <w:szCs w:val="20"/>
        </w:rPr>
      </w:pPr>
    </w:p>
    <w:p w14:paraId="60F1578B" w14:textId="77777777" w:rsidR="00C41C17" w:rsidRPr="00803D54" w:rsidRDefault="00C41C17" w:rsidP="004358D2">
      <w:pPr>
        <w:ind w:left="426" w:hanging="284"/>
        <w:jc w:val="both"/>
        <w:rPr>
          <w:rFonts w:ascii="Cambria" w:hAnsi="Cambria"/>
          <w:bCs/>
          <w:sz w:val="20"/>
          <w:szCs w:val="20"/>
        </w:rPr>
      </w:pPr>
    </w:p>
    <w:p w14:paraId="25B86908" w14:textId="77777777" w:rsidR="00C41C17" w:rsidRPr="00803D54" w:rsidRDefault="00C41C17" w:rsidP="004358D2">
      <w:pPr>
        <w:ind w:left="426" w:hanging="284"/>
        <w:jc w:val="both"/>
        <w:rPr>
          <w:rFonts w:ascii="Cambria" w:hAnsi="Cambria"/>
          <w:bCs/>
          <w:sz w:val="20"/>
          <w:szCs w:val="20"/>
        </w:rPr>
      </w:pPr>
    </w:p>
    <w:p w14:paraId="2EA22336" w14:textId="77777777" w:rsidR="00C41C17" w:rsidRPr="00803D54" w:rsidRDefault="00C41C17" w:rsidP="004358D2">
      <w:pPr>
        <w:ind w:left="426" w:hanging="284"/>
        <w:jc w:val="both"/>
        <w:rPr>
          <w:rFonts w:ascii="Cambria" w:hAnsi="Cambria"/>
          <w:bCs/>
          <w:sz w:val="20"/>
          <w:szCs w:val="20"/>
        </w:rPr>
      </w:pPr>
    </w:p>
    <w:p w14:paraId="1D2D9726" w14:textId="77777777" w:rsidR="00C41C17" w:rsidRPr="00803D54" w:rsidRDefault="00C41C17" w:rsidP="004358D2">
      <w:pPr>
        <w:ind w:left="426" w:hanging="284"/>
        <w:jc w:val="both"/>
        <w:rPr>
          <w:rFonts w:ascii="Cambria" w:hAnsi="Cambria"/>
          <w:bCs/>
          <w:sz w:val="20"/>
          <w:szCs w:val="20"/>
        </w:rPr>
      </w:pPr>
    </w:p>
    <w:p w14:paraId="790C600C" w14:textId="77777777" w:rsidR="00C41C17" w:rsidRPr="00803D54" w:rsidRDefault="00C41C17" w:rsidP="004358D2">
      <w:pPr>
        <w:ind w:left="426" w:hanging="284"/>
        <w:jc w:val="both"/>
        <w:rPr>
          <w:rFonts w:ascii="Cambria" w:hAnsi="Cambria"/>
          <w:bCs/>
          <w:sz w:val="20"/>
          <w:szCs w:val="20"/>
        </w:rPr>
      </w:pPr>
    </w:p>
    <w:p w14:paraId="6ACDA4FE" w14:textId="77777777" w:rsidR="00C41C17" w:rsidRPr="00803D54" w:rsidRDefault="00C41C17" w:rsidP="004358D2">
      <w:pPr>
        <w:ind w:left="426" w:hanging="284"/>
        <w:jc w:val="both"/>
        <w:rPr>
          <w:rFonts w:ascii="Cambria" w:hAnsi="Cambria"/>
          <w:bCs/>
          <w:sz w:val="20"/>
          <w:szCs w:val="20"/>
        </w:rPr>
      </w:pPr>
    </w:p>
    <w:p w14:paraId="6E3F8F32" w14:textId="77777777" w:rsidR="00C41C17" w:rsidRPr="00803D54" w:rsidRDefault="00C41C17" w:rsidP="004358D2">
      <w:pPr>
        <w:ind w:left="426" w:hanging="284"/>
        <w:jc w:val="both"/>
        <w:rPr>
          <w:rFonts w:ascii="Cambria" w:hAnsi="Cambria"/>
          <w:bCs/>
          <w:sz w:val="20"/>
          <w:szCs w:val="20"/>
        </w:rPr>
      </w:pPr>
    </w:p>
    <w:p w14:paraId="176552CC" w14:textId="77777777" w:rsidR="00C41C17" w:rsidRPr="00803D54" w:rsidRDefault="00C41C17" w:rsidP="004358D2">
      <w:pPr>
        <w:ind w:left="426" w:hanging="284"/>
        <w:jc w:val="both"/>
        <w:rPr>
          <w:rFonts w:ascii="Cambria" w:hAnsi="Cambria"/>
          <w:bCs/>
          <w:sz w:val="20"/>
          <w:szCs w:val="20"/>
        </w:rPr>
      </w:pPr>
    </w:p>
    <w:p w14:paraId="252629AA" w14:textId="77777777" w:rsidR="00C41C17" w:rsidRPr="00803D54" w:rsidRDefault="00C41C17" w:rsidP="004358D2">
      <w:pPr>
        <w:ind w:left="426" w:hanging="284"/>
        <w:jc w:val="both"/>
        <w:rPr>
          <w:rFonts w:ascii="Cambria" w:hAnsi="Cambria"/>
          <w:bCs/>
          <w:sz w:val="20"/>
          <w:szCs w:val="20"/>
        </w:rPr>
      </w:pPr>
    </w:p>
    <w:p w14:paraId="44191229" w14:textId="77777777" w:rsidR="00C41C17" w:rsidRPr="00803D54" w:rsidRDefault="00C41C17" w:rsidP="004358D2">
      <w:pPr>
        <w:ind w:left="426" w:hanging="284"/>
        <w:jc w:val="both"/>
        <w:rPr>
          <w:rFonts w:ascii="Cambria" w:hAnsi="Cambria"/>
          <w:bCs/>
          <w:sz w:val="20"/>
          <w:szCs w:val="20"/>
        </w:rPr>
      </w:pPr>
    </w:p>
    <w:p w14:paraId="10DA799A" w14:textId="77777777" w:rsidR="00C41C17" w:rsidRPr="00803D54" w:rsidRDefault="00C41C17" w:rsidP="004358D2">
      <w:pPr>
        <w:ind w:left="426" w:hanging="284"/>
        <w:jc w:val="both"/>
        <w:rPr>
          <w:rFonts w:ascii="Cambria" w:hAnsi="Cambria"/>
          <w:bCs/>
          <w:sz w:val="20"/>
          <w:szCs w:val="20"/>
        </w:rPr>
      </w:pPr>
    </w:p>
    <w:p w14:paraId="2877C018" w14:textId="77777777" w:rsidR="00C41C17" w:rsidRPr="00803D54" w:rsidRDefault="00C41C17" w:rsidP="004358D2">
      <w:pPr>
        <w:ind w:left="426" w:hanging="284"/>
        <w:jc w:val="both"/>
        <w:rPr>
          <w:rFonts w:ascii="Cambria" w:hAnsi="Cambria"/>
          <w:bCs/>
          <w:sz w:val="20"/>
          <w:szCs w:val="20"/>
        </w:rPr>
      </w:pPr>
    </w:p>
    <w:p w14:paraId="15112692" w14:textId="26786D91" w:rsidR="00722181" w:rsidRPr="00803D54" w:rsidRDefault="00722181" w:rsidP="006A7BB5">
      <w:pPr>
        <w:numPr>
          <w:ilvl w:val="0"/>
          <w:numId w:val="11"/>
        </w:numPr>
        <w:ind w:left="1080"/>
        <w:jc w:val="both"/>
        <w:rPr>
          <w:rFonts w:ascii="Cambria" w:hAnsi="Cambria"/>
          <w:color w:val="000000"/>
          <w:sz w:val="20"/>
          <w:szCs w:val="20"/>
        </w:rPr>
      </w:pPr>
      <w:r w:rsidRPr="00803D54">
        <w:rPr>
          <w:rFonts w:ascii="Cambria" w:hAnsi="Cambria"/>
          <w:color w:val="000000"/>
          <w:sz w:val="16"/>
          <w:szCs w:val="16"/>
        </w:rPr>
        <w:t>Brasil puede capturar hasta 200 t de su límite de captura anual dentro del área entre 5º de latitud norte y 15º de latitud norte.</w:t>
      </w:r>
    </w:p>
    <w:p w14:paraId="4E017E50" w14:textId="0689EB54" w:rsidR="00C218E0" w:rsidRPr="00803D54" w:rsidRDefault="00722181" w:rsidP="006A7BB5">
      <w:pPr>
        <w:numPr>
          <w:ilvl w:val="0"/>
          <w:numId w:val="11"/>
        </w:numPr>
        <w:ind w:left="1080"/>
        <w:jc w:val="both"/>
        <w:rPr>
          <w:rFonts w:ascii="Cambria" w:hAnsi="Cambria"/>
          <w:color w:val="000000"/>
          <w:sz w:val="16"/>
          <w:szCs w:val="16"/>
        </w:rPr>
      </w:pPr>
      <w:r w:rsidRPr="00803D54">
        <w:rPr>
          <w:rFonts w:ascii="Cambria" w:hAnsi="Cambria"/>
          <w:color w:val="000000"/>
          <w:sz w:val="16"/>
          <w:szCs w:val="16"/>
        </w:rPr>
        <w:t xml:space="preserve">Japón, Estados Unidos y Taipei Chino </w:t>
      </w:r>
      <w:r w:rsidR="00E70C91" w:rsidRPr="00803D54">
        <w:rPr>
          <w:rFonts w:ascii="Cambria" w:hAnsi="Cambria"/>
          <w:color w:val="000000"/>
          <w:sz w:val="16"/>
          <w:szCs w:val="16"/>
        </w:rPr>
        <w:t>podrían</w:t>
      </w:r>
      <w:r w:rsidRPr="00803D54">
        <w:rPr>
          <w:rFonts w:ascii="Cambria" w:hAnsi="Cambria"/>
          <w:color w:val="000000"/>
          <w:sz w:val="16"/>
          <w:szCs w:val="16"/>
        </w:rPr>
        <w:t xml:space="preserve"> traspasar</w:t>
      </w:r>
      <w:r w:rsidR="00E70C91" w:rsidRPr="00803D54">
        <w:rPr>
          <w:rFonts w:ascii="Cambria" w:hAnsi="Cambria"/>
          <w:color w:val="000000"/>
          <w:sz w:val="16"/>
          <w:szCs w:val="16"/>
        </w:rPr>
        <w:t xml:space="preserve"> la parte no utilizada </w:t>
      </w:r>
      <w:r w:rsidR="008C7115" w:rsidRPr="00803D54">
        <w:rPr>
          <w:rFonts w:ascii="Cambria" w:hAnsi="Cambria"/>
          <w:color w:val="000000"/>
          <w:sz w:val="16"/>
          <w:szCs w:val="16"/>
        </w:rPr>
        <w:t xml:space="preserve">de sus correspondientes límites de captura especificados en esta tabla </w:t>
      </w:r>
      <w:r w:rsidR="00E70C91" w:rsidRPr="00803D54">
        <w:rPr>
          <w:rFonts w:ascii="Cambria" w:hAnsi="Cambria"/>
          <w:color w:val="000000"/>
          <w:sz w:val="16"/>
          <w:szCs w:val="16"/>
        </w:rPr>
        <w:t xml:space="preserve">durante 2023-2026, pero estas cantidades </w:t>
      </w:r>
      <w:r w:rsidR="00B53E33" w:rsidRPr="00803D54">
        <w:rPr>
          <w:rFonts w:ascii="Cambria" w:hAnsi="Cambria"/>
          <w:color w:val="000000"/>
          <w:sz w:val="16"/>
          <w:szCs w:val="16"/>
        </w:rPr>
        <w:t>traspasadas</w:t>
      </w:r>
      <w:r w:rsidR="00E70C91" w:rsidRPr="00803D54">
        <w:rPr>
          <w:rFonts w:ascii="Cambria" w:hAnsi="Cambria"/>
          <w:color w:val="000000"/>
          <w:sz w:val="16"/>
          <w:szCs w:val="16"/>
        </w:rPr>
        <w:t xml:space="preserve"> no superarán las </w:t>
      </w:r>
      <w:r w:rsidRPr="00803D54">
        <w:rPr>
          <w:rFonts w:ascii="Cambria" w:hAnsi="Cambria"/>
          <w:color w:val="000000"/>
          <w:sz w:val="16"/>
          <w:szCs w:val="16"/>
        </w:rPr>
        <w:t>600 t, 100</w:t>
      </w:r>
      <w:r w:rsidR="00E741A6">
        <w:rPr>
          <w:rFonts w:ascii="Cambria" w:hAnsi="Cambria"/>
          <w:color w:val="000000"/>
          <w:sz w:val="16"/>
          <w:szCs w:val="16"/>
        </w:rPr>
        <w:t> </w:t>
      </w:r>
      <w:r w:rsidRPr="00803D54">
        <w:rPr>
          <w:rFonts w:ascii="Cambria" w:hAnsi="Cambria"/>
          <w:color w:val="000000"/>
          <w:sz w:val="16"/>
          <w:szCs w:val="16"/>
        </w:rPr>
        <w:t>t y 300</w:t>
      </w:r>
      <w:r w:rsidR="00E741A6">
        <w:rPr>
          <w:rFonts w:ascii="Cambria" w:hAnsi="Cambria"/>
          <w:color w:val="000000"/>
          <w:sz w:val="16"/>
          <w:szCs w:val="16"/>
        </w:rPr>
        <w:t> </w:t>
      </w:r>
      <w:r w:rsidRPr="00803D54">
        <w:rPr>
          <w:rFonts w:ascii="Cambria" w:hAnsi="Cambria"/>
          <w:color w:val="000000"/>
          <w:sz w:val="16"/>
          <w:szCs w:val="16"/>
        </w:rPr>
        <w:t>t, respectivamente</w:t>
      </w:r>
      <w:r w:rsidR="00E70C91" w:rsidRPr="00803D54">
        <w:rPr>
          <w:rFonts w:ascii="Cambria" w:hAnsi="Cambria"/>
          <w:color w:val="000000"/>
          <w:sz w:val="16"/>
          <w:szCs w:val="16"/>
        </w:rPr>
        <w:t>.</w:t>
      </w:r>
    </w:p>
    <w:p w14:paraId="2A57A3A6" w14:textId="77777777" w:rsidR="00B53E33" w:rsidRPr="00803D54" w:rsidRDefault="00B53E33" w:rsidP="00B53E33">
      <w:pPr>
        <w:rPr>
          <w:rFonts w:ascii="Cambria" w:hAnsi="Cambria"/>
          <w:color w:val="000000"/>
          <w:sz w:val="16"/>
          <w:szCs w:val="16"/>
        </w:rPr>
      </w:pPr>
    </w:p>
    <w:p w14:paraId="7F2DCFF2" w14:textId="77777777" w:rsidR="00722181" w:rsidRPr="00803D54" w:rsidRDefault="00722181" w:rsidP="006A7BB5">
      <w:pPr>
        <w:ind w:left="270"/>
        <w:jc w:val="both"/>
        <w:rPr>
          <w:rFonts w:ascii="Cambria" w:hAnsi="Cambria"/>
          <w:color w:val="000000"/>
          <w:sz w:val="20"/>
          <w:szCs w:val="20"/>
        </w:rPr>
      </w:pPr>
      <w:r w:rsidRPr="00803D54">
        <w:rPr>
          <w:rFonts w:ascii="Cambria" w:hAnsi="Cambria"/>
          <w:color w:val="000000"/>
          <w:sz w:val="20"/>
          <w:szCs w:val="20"/>
        </w:rPr>
        <w:t>Las transferencias se autorizarán de conformidad con las disposiciones del párrafo 5.</w:t>
      </w:r>
    </w:p>
    <w:p w14:paraId="1B8F8368" w14:textId="77777777" w:rsidR="00C218E0" w:rsidRPr="00803D54" w:rsidRDefault="00C218E0" w:rsidP="004358D2">
      <w:pPr>
        <w:ind w:left="426"/>
        <w:jc w:val="both"/>
        <w:rPr>
          <w:rFonts w:ascii="Cambria" w:hAnsi="Cambria"/>
          <w:color w:val="000000"/>
          <w:sz w:val="20"/>
          <w:szCs w:val="20"/>
        </w:rPr>
      </w:pPr>
    </w:p>
    <w:p w14:paraId="6BB0F66F" w14:textId="77777777" w:rsidR="00B53E33" w:rsidRPr="00803D54" w:rsidRDefault="00B53E33" w:rsidP="00B53E33">
      <w:pPr>
        <w:tabs>
          <w:tab w:val="left" w:pos="284"/>
          <w:tab w:val="left" w:pos="567"/>
        </w:tabs>
        <w:autoSpaceDE w:val="0"/>
        <w:autoSpaceDN w:val="0"/>
        <w:adjustRightInd w:val="0"/>
        <w:spacing w:after="120"/>
        <w:ind w:left="284" w:hanging="284"/>
        <w:jc w:val="both"/>
        <w:rPr>
          <w:rFonts w:ascii="Cambria" w:eastAsia="Cambria" w:hAnsi="Cambria" w:cs="Cambria"/>
          <w:sz w:val="20"/>
          <w:szCs w:val="20"/>
        </w:rPr>
      </w:pPr>
      <w:r w:rsidRPr="00803D54">
        <w:rPr>
          <w:rFonts w:ascii="Cambria" w:eastAsia="Calibri" w:hAnsi="Cambria"/>
          <w:sz w:val="20"/>
          <w:szCs w:val="20"/>
        </w:rPr>
        <w:t xml:space="preserve">c) </w:t>
      </w:r>
      <w:r w:rsidRPr="00803D54">
        <w:rPr>
          <w:rFonts w:ascii="Cambria" w:eastAsia="Calibri" w:hAnsi="Cambria"/>
          <w:sz w:val="20"/>
          <w:szCs w:val="20"/>
        </w:rPr>
        <w:tab/>
        <w:t>Si la captura anual supera el TAC de 10.000 t, las CPC que hayan superado sus límites de captura individuales devolverán su exceso de captura de conformidad con el párrafo 2 de esta Recomendación. Cualquier cantidad de exceso de captura que quede después de dicho ajuste se deducirá de los límites de captura anuales de cada CPC en el año posterior al exceso de captura, prorrateando los límites de captura de la Tabla del punto 1b) anterior.</w:t>
      </w:r>
      <w:r w:rsidR="006F1F93" w:rsidRPr="00803D54">
        <w:rPr>
          <w:rFonts w:ascii="Cambria" w:eastAsia="Calibri" w:hAnsi="Cambria"/>
          <w:sz w:val="20"/>
          <w:szCs w:val="20"/>
        </w:rPr>
        <w:t>”</w:t>
      </w:r>
    </w:p>
    <w:p w14:paraId="7EEAEF5D" w14:textId="77777777" w:rsidR="00722181" w:rsidRPr="00803D54" w:rsidRDefault="00722181" w:rsidP="00722181">
      <w:pPr>
        <w:ind w:left="284" w:hanging="284"/>
        <w:jc w:val="both"/>
        <w:rPr>
          <w:rFonts w:ascii="Cambria" w:hAnsi="Cambria"/>
          <w:bCs/>
          <w:sz w:val="20"/>
          <w:szCs w:val="20"/>
        </w:rPr>
      </w:pPr>
    </w:p>
    <w:p w14:paraId="15EDCA7C" w14:textId="77777777" w:rsidR="00722181" w:rsidRPr="00803D54" w:rsidRDefault="00722181" w:rsidP="004358D2">
      <w:pPr>
        <w:ind w:left="567" w:hanging="284"/>
        <w:jc w:val="both"/>
        <w:rPr>
          <w:rFonts w:ascii="Cambria" w:hAnsi="Cambria"/>
          <w:bCs/>
          <w:sz w:val="20"/>
          <w:szCs w:val="20"/>
        </w:rPr>
      </w:pPr>
      <w:r w:rsidRPr="00803D54">
        <w:rPr>
          <w:rFonts w:ascii="Cambria" w:hAnsi="Cambria"/>
          <w:bCs/>
          <w:sz w:val="20"/>
          <w:szCs w:val="20"/>
        </w:rPr>
        <w:t>B. El párrafo 2 se sustituirá por:</w:t>
      </w:r>
    </w:p>
    <w:p w14:paraId="5E7DA8B9" w14:textId="77777777" w:rsidR="00722181" w:rsidRPr="00803D54" w:rsidRDefault="00722181" w:rsidP="004358D2">
      <w:pPr>
        <w:ind w:left="567" w:hanging="284"/>
        <w:jc w:val="both"/>
        <w:rPr>
          <w:rFonts w:ascii="Cambria" w:hAnsi="Cambria"/>
          <w:color w:val="000000"/>
          <w:sz w:val="20"/>
          <w:szCs w:val="20"/>
        </w:rPr>
      </w:pPr>
    </w:p>
    <w:p w14:paraId="15BEAB75" w14:textId="77777777" w:rsidR="00722181" w:rsidRPr="00803D54" w:rsidRDefault="00722181" w:rsidP="004358D2">
      <w:pPr>
        <w:ind w:left="567"/>
        <w:jc w:val="both"/>
        <w:rPr>
          <w:rFonts w:ascii="Cambria" w:hAnsi="Cambria"/>
          <w:color w:val="000000"/>
          <w:sz w:val="20"/>
          <w:szCs w:val="20"/>
        </w:rPr>
      </w:pPr>
      <w:r w:rsidRPr="00803D54">
        <w:rPr>
          <w:rFonts w:ascii="Cambria" w:hAnsi="Cambria"/>
          <w:color w:val="000000"/>
          <w:sz w:val="20"/>
          <w:szCs w:val="20"/>
        </w:rPr>
        <w:t>“2. Cualquier proporción no utilizada o que exceda de la cuota/límite de captura anual se puede añadir a o se deducirá de, según el caso, la cuota/límite de captura respectivo, durante o antes del año de ajuste, de la siguiente forma, para el pez espada del Atlántico sur:</w:t>
      </w:r>
    </w:p>
    <w:p w14:paraId="4EC470B5" w14:textId="77777777" w:rsidR="00722181" w:rsidRPr="00803D54" w:rsidRDefault="00722181" w:rsidP="004358D2">
      <w:pPr>
        <w:ind w:left="567"/>
        <w:jc w:val="both"/>
        <w:rPr>
          <w:rFonts w:ascii="Cambria" w:hAnsi="Cambria"/>
          <w:color w:val="000000"/>
          <w:sz w:val="20"/>
          <w:szCs w:val="20"/>
        </w:rPr>
      </w:pPr>
    </w:p>
    <w:tbl>
      <w:tblPr>
        <w:tblW w:w="0" w:type="auto"/>
        <w:tblInd w:w="2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5"/>
        <w:gridCol w:w="2235"/>
      </w:tblGrid>
      <w:tr w:rsidR="00722181" w:rsidRPr="00803D54" w14:paraId="446AF54E" w14:textId="77777777" w:rsidTr="00527373">
        <w:tc>
          <w:tcPr>
            <w:tcW w:w="2235" w:type="dxa"/>
            <w:tcBorders>
              <w:top w:val="single" w:sz="4" w:space="0" w:color="auto"/>
              <w:left w:val="single" w:sz="4" w:space="0" w:color="auto"/>
              <w:bottom w:val="single" w:sz="4" w:space="0" w:color="auto"/>
              <w:right w:val="single" w:sz="4" w:space="0" w:color="auto"/>
            </w:tcBorders>
            <w:vAlign w:val="center"/>
            <w:hideMark/>
          </w:tcPr>
          <w:p w14:paraId="6124BB59" w14:textId="77777777" w:rsidR="00722181" w:rsidRPr="00803D54" w:rsidRDefault="00722181" w:rsidP="00E7383E">
            <w:pPr>
              <w:ind w:left="-49"/>
              <w:jc w:val="center"/>
              <w:rPr>
                <w:rFonts w:ascii="Cambria" w:hAnsi="Cambria"/>
                <w:i/>
                <w:iCs/>
              </w:rPr>
            </w:pPr>
            <w:r w:rsidRPr="00803D54">
              <w:rPr>
                <w:rStyle w:val="fontstyle21"/>
                <w:i/>
                <w:iCs/>
              </w:rPr>
              <w:t>Año de captura</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9343F3D" w14:textId="77777777" w:rsidR="00722181" w:rsidRPr="00803D54" w:rsidRDefault="00722181" w:rsidP="00E7383E">
            <w:pPr>
              <w:ind w:left="-49"/>
              <w:jc w:val="center"/>
              <w:rPr>
                <w:rFonts w:ascii="Cambria" w:hAnsi="Cambria"/>
                <w:i/>
                <w:iCs/>
              </w:rPr>
            </w:pPr>
            <w:r w:rsidRPr="00803D54">
              <w:rPr>
                <w:rStyle w:val="fontstyle21"/>
                <w:i/>
                <w:iCs/>
              </w:rPr>
              <w:t>Año de ajuste</w:t>
            </w:r>
          </w:p>
        </w:tc>
      </w:tr>
      <w:tr w:rsidR="00B53E33" w:rsidRPr="00803D54" w14:paraId="1CD4878D" w14:textId="77777777" w:rsidTr="00527373">
        <w:tc>
          <w:tcPr>
            <w:tcW w:w="2235" w:type="dxa"/>
            <w:tcBorders>
              <w:top w:val="single" w:sz="4" w:space="0" w:color="auto"/>
              <w:left w:val="single" w:sz="4" w:space="0" w:color="auto"/>
              <w:bottom w:val="single" w:sz="4" w:space="0" w:color="auto"/>
              <w:right w:val="single" w:sz="4" w:space="0" w:color="auto"/>
            </w:tcBorders>
            <w:vAlign w:val="center"/>
          </w:tcPr>
          <w:p w14:paraId="56518BA0"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2021</w:t>
            </w:r>
          </w:p>
        </w:tc>
        <w:tc>
          <w:tcPr>
            <w:tcW w:w="2235" w:type="dxa"/>
            <w:tcBorders>
              <w:top w:val="single" w:sz="4" w:space="0" w:color="auto"/>
              <w:left w:val="single" w:sz="4" w:space="0" w:color="auto"/>
              <w:bottom w:val="single" w:sz="4" w:space="0" w:color="auto"/>
              <w:right w:val="single" w:sz="4" w:space="0" w:color="auto"/>
            </w:tcBorders>
            <w:vAlign w:val="center"/>
          </w:tcPr>
          <w:p w14:paraId="11664E3F"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2023</w:t>
            </w:r>
          </w:p>
        </w:tc>
      </w:tr>
      <w:tr w:rsidR="00B53E33" w:rsidRPr="00803D54" w14:paraId="610A6B1A" w14:textId="77777777" w:rsidTr="00527373">
        <w:tc>
          <w:tcPr>
            <w:tcW w:w="2235" w:type="dxa"/>
            <w:tcBorders>
              <w:top w:val="single" w:sz="4" w:space="0" w:color="auto"/>
              <w:left w:val="single" w:sz="4" w:space="0" w:color="auto"/>
              <w:bottom w:val="single" w:sz="4" w:space="0" w:color="auto"/>
              <w:right w:val="single" w:sz="4" w:space="0" w:color="auto"/>
            </w:tcBorders>
            <w:vAlign w:val="center"/>
          </w:tcPr>
          <w:p w14:paraId="2060FCB3"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2022</w:t>
            </w:r>
          </w:p>
        </w:tc>
        <w:tc>
          <w:tcPr>
            <w:tcW w:w="2235" w:type="dxa"/>
            <w:tcBorders>
              <w:top w:val="single" w:sz="4" w:space="0" w:color="auto"/>
              <w:left w:val="single" w:sz="4" w:space="0" w:color="auto"/>
              <w:bottom w:val="single" w:sz="4" w:space="0" w:color="auto"/>
              <w:right w:val="single" w:sz="4" w:space="0" w:color="auto"/>
            </w:tcBorders>
            <w:vAlign w:val="center"/>
          </w:tcPr>
          <w:p w14:paraId="43CB15A6"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2024</w:t>
            </w:r>
          </w:p>
        </w:tc>
      </w:tr>
      <w:tr w:rsidR="00B53E33" w:rsidRPr="00803D54" w14:paraId="6C93A682" w14:textId="77777777" w:rsidTr="00527373">
        <w:tc>
          <w:tcPr>
            <w:tcW w:w="2235" w:type="dxa"/>
            <w:tcBorders>
              <w:top w:val="single" w:sz="4" w:space="0" w:color="auto"/>
              <w:left w:val="single" w:sz="4" w:space="0" w:color="auto"/>
              <w:bottom w:val="single" w:sz="4" w:space="0" w:color="auto"/>
              <w:right w:val="single" w:sz="4" w:space="0" w:color="auto"/>
            </w:tcBorders>
            <w:vAlign w:val="center"/>
          </w:tcPr>
          <w:p w14:paraId="67BBB091"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2023</w:t>
            </w:r>
          </w:p>
        </w:tc>
        <w:tc>
          <w:tcPr>
            <w:tcW w:w="2235" w:type="dxa"/>
            <w:tcBorders>
              <w:top w:val="single" w:sz="4" w:space="0" w:color="auto"/>
              <w:left w:val="single" w:sz="4" w:space="0" w:color="auto"/>
              <w:bottom w:val="single" w:sz="4" w:space="0" w:color="auto"/>
              <w:right w:val="single" w:sz="4" w:space="0" w:color="auto"/>
            </w:tcBorders>
            <w:vAlign w:val="center"/>
          </w:tcPr>
          <w:p w14:paraId="267188A3"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2025</w:t>
            </w:r>
          </w:p>
        </w:tc>
      </w:tr>
      <w:tr w:rsidR="00B53E33" w:rsidRPr="00803D54" w14:paraId="4E60DFD5" w14:textId="77777777" w:rsidTr="00527373">
        <w:tc>
          <w:tcPr>
            <w:tcW w:w="2235" w:type="dxa"/>
            <w:tcBorders>
              <w:top w:val="single" w:sz="4" w:space="0" w:color="auto"/>
              <w:left w:val="single" w:sz="4" w:space="0" w:color="auto"/>
              <w:bottom w:val="single" w:sz="4" w:space="0" w:color="auto"/>
              <w:right w:val="single" w:sz="4" w:space="0" w:color="auto"/>
            </w:tcBorders>
            <w:vAlign w:val="center"/>
          </w:tcPr>
          <w:p w14:paraId="7767CC7F"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2024</w:t>
            </w:r>
          </w:p>
        </w:tc>
        <w:tc>
          <w:tcPr>
            <w:tcW w:w="2235" w:type="dxa"/>
            <w:tcBorders>
              <w:top w:val="single" w:sz="4" w:space="0" w:color="auto"/>
              <w:left w:val="single" w:sz="4" w:space="0" w:color="auto"/>
              <w:bottom w:val="single" w:sz="4" w:space="0" w:color="auto"/>
              <w:right w:val="single" w:sz="4" w:space="0" w:color="auto"/>
            </w:tcBorders>
            <w:vAlign w:val="center"/>
          </w:tcPr>
          <w:p w14:paraId="641D2D54"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2026</w:t>
            </w:r>
          </w:p>
        </w:tc>
      </w:tr>
      <w:tr w:rsidR="00B53E33" w:rsidRPr="00803D54" w14:paraId="12CF3F49" w14:textId="77777777" w:rsidTr="00527373">
        <w:tc>
          <w:tcPr>
            <w:tcW w:w="2235" w:type="dxa"/>
            <w:tcBorders>
              <w:top w:val="single" w:sz="4" w:space="0" w:color="auto"/>
              <w:left w:val="single" w:sz="4" w:space="0" w:color="auto"/>
              <w:bottom w:val="single" w:sz="4" w:space="0" w:color="auto"/>
              <w:right w:val="single" w:sz="4" w:space="0" w:color="auto"/>
            </w:tcBorders>
            <w:vAlign w:val="center"/>
          </w:tcPr>
          <w:p w14:paraId="7577D2EE"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2025</w:t>
            </w:r>
          </w:p>
        </w:tc>
        <w:tc>
          <w:tcPr>
            <w:tcW w:w="2235" w:type="dxa"/>
            <w:tcBorders>
              <w:top w:val="single" w:sz="4" w:space="0" w:color="auto"/>
              <w:left w:val="single" w:sz="4" w:space="0" w:color="auto"/>
              <w:bottom w:val="single" w:sz="4" w:space="0" w:color="auto"/>
              <w:right w:val="single" w:sz="4" w:space="0" w:color="auto"/>
            </w:tcBorders>
            <w:vAlign w:val="center"/>
          </w:tcPr>
          <w:p w14:paraId="10E3EB86"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2027</w:t>
            </w:r>
          </w:p>
        </w:tc>
      </w:tr>
      <w:tr w:rsidR="00B53E33" w:rsidRPr="00803D54" w14:paraId="56C520AC" w14:textId="77777777" w:rsidTr="00527373">
        <w:tc>
          <w:tcPr>
            <w:tcW w:w="2235" w:type="dxa"/>
            <w:tcBorders>
              <w:top w:val="single" w:sz="4" w:space="0" w:color="auto"/>
              <w:left w:val="single" w:sz="4" w:space="0" w:color="auto"/>
              <w:bottom w:val="single" w:sz="4" w:space="0" w:color="auto"/>
              <w:right w:val="single" w:sz="4" w:space="0" w:color="auto"/>
            </w:tcBorders>
            <w:vAlign w:val="center"/>
          </w:tcPr>
          <w:p w14:paraId="33BB9190" w14:textId="77777777" w:rsidR="00B53E33" w:rsidRPr="00803D54" w:rsidRDefault="00B53E33" w:rsidP="00E7383E">
            <w:pPr>
              <w:ind w:left="-49"/>
              <w:jc w:val="center"/>
              <w:rPr>
                <w:rStyle w:val="fontstyle21"/>
              </w:rPr>
            </w:pPr>
            <w:r w:rsidRPr="00803D54">
              <w:rPr>
                <w:rFonts w:ascii="Cambria" w:hAnsi="Cambria"/>
                <w:sz w:val="20"/>
                <w:szCs w:val="20"/>
              </w:rPr>
              <w:t>2026</w:t>
            </w:r>
          </w:p>
        </w:tc>
        <w:tc>
          <w:tcPr>
            <w:tcW w:w="2235" w:type="dxa"/>
            <w:tcBorders>
              <w:top w:val="single" w:sz="4" w:space="0" w:color="auto"/>
              <w:left w:val="single" w:sz="4" w:space="0" w:color="auto"/>
              <w:bottom w:val="single" w:sz="4" w:space="0" w:color="auto"/>
              <w:right w:val="single" w:sz="4" w:space="0" w:color="auto"/>
            </w:tcBorders>
            <w:vAlign w:val="center"/>
          </w:tcPr>
          <w:p w14:paraId="3DCC0413" w14:textId="77777777" w:rsidR="00B53E33" w:rsidRPr="00803D54" w:rsidRDefault="00B53E33" w:rsidP="00E7383E">
            <w:pPr>
              <w:ind w:left="-49"/>
              <w:jc w:val="center"/>
              <w:rPr>
                <w:rFonts w:ascii="Cambria" w:hAnsi="Cambria"/>
                <w:sz w:val="20"/>
                <w:szCs w:val="20"/>
              </w:rPr>
            </w:pPr>
            <w:r w:rsidRPr="00803D54">
              <w:rPr>
                <w:rFonts w:ascii="Cambria" w:hAnsi="Cambria"/>
                <w:sz w:val="20"/>
                <w:szCs w:val="20"/>
              </w:rPr>
              <w:t>2028</w:t>
            </w:r>
          </w:p>
        </w:tc>
      </w:tr>
    </w:tbl>
    <w:p w14:paraId="6383432B" w14:textId="77777777" w:rsidR="00722181" w:rsidRPr="00803D54" w:rsidRDefault="00722181" w:rsidP="004358D2">
      <w:pPr>
        <w:ind w:left="567"/>
        <w:jc w:val="both"/>
        <w:rPr>
          <w:rFonts w:ascii="Cambria" w:hAnsi="Cambria"/>
          <w:bCs/>
          <w:sz w:val="20"/>
          <w:szCs w:val="20"/>
        </w:rPr>
      </w:pPr>
    </w:p>
    <w:p w14:paraId="3DB4BCE9" w14:textId="77777777" w:rsidR="00722181" w:rsidRPr="00803D54" w:rsidRDefault="00722181" w:rsidP="004358D2">
      <w:pPr>
        <w:ind w:left="567"/>
        <w:jc w:val="both"/>
        <w:rPr>
          <w:rFonts w:ascii="Cambria" w:hAnsi="Cambria"/>
          <w:bCs/>
          <w:sz w:val="20"/>
          <w:szCs w:val="20"/>
        </w:rPr>
      </w:pPr>
      <w:r w:rsidRPr="00803D54">
        <w:rPr>
          <w:rFonts w:ascii="Cambria" w:hAnsi="Cambria"/>
          <w:color w:val="000000"/>
          <w:sz w:val="20"/>
          <w:szCs w:val="20"/>
        </w:rPr>
        <w:t xml:space="preserve">Sin embargo, el máximo remanente de captura que una Parte puede traspasar en un año determinado no superará el </w:t>
      </w:r>
      <w:r w:rsidR="00B53E33" w:rsidRPr="00803D54">
        <w:rPr>
          <w:rFonts w:ascii="Cambria" w:hAnsi="Cambria"/>
          <w:color w:val="000000"/>
          <w:sz w:val="20"/>
          <w:szCs w:val="20"/>
        </w:rPr>
        <w:t>1</w:t>
      </w:r>
      <w:r w:rsidRPr="00803D54">
        <w:rPr>
          <w:rFonts w:ascii="Cambria" w:hAnsi="Cambria"/>
          <w:color w:val="000000"/>
          <w:sz w:val="20"/>
          <w:szCs w:val="20"/>
        </w:rPr>
        <w:t>0</w:t>
      </w:r>
      <w:r w:rsidR="004358D2" w:rsidRPr="00803D54">
        <w:rPr>
          <w:rFonts w:ascii="Cambria" w:hAnsi="Cambria"/>
          <w:color w:val="000000"/>
          <w:sz w:val="20"/>
          <w:szCs w:val="20"/>
        </w:rPr>
        <w:t xml:space="preserve"> </w:t>
      </w:r>
      <w:r w:rsidRPr="00803D54">
        <w:rPr>
          <w:rFonts w:ascii="Cambria" w:hAnsi="Cambria"/>
          <w:color w:val="000000"/>
          <w:sz w:val="20"/>
          <w:szCs w:val="20"/>
        </w:rPr>
        <w:t>%</w:t>
      </w:r>
      <w:r w:rsidR="000F71E0" w:rsidRPr="00803D54">
        <w:rPr>
          <w:rFonts w:ascii="Cambria" w:hAnsi="Cambria"/>
          <w:color w:val="000000"/>
          <w:sz w:val="20"/>
          <w:szCs w:val="20"/>
        </w:rPr>
        <w:t xml:space="preserve"> </w:t>
      </w:r>
      <w:r w:rsidRPr="00803D54">
        <w:rPr>
          <w:rFonts w:ascii="Cambria" w:hAnsi="Cambria"/>
          <w:color w:val="000000"/>
          <w:sz w:val="20"/>
          <w:szCs w:val="20"/>
        </w:rPr>
        <w:t>de la cuota del año previo.</w:t>
      </w:r>
      <w:r w:rsidR="000F71E0" w:rsidRPr="00803D54">
        <w:rPr>
          <w:rFonts w:ascii="Cambria" w:hAnsi="Cambria"/>
          <w:color w:val="000000"/>
          <w:sz w:val="20"/>
          <w:szCs w:val="20"/>
        </w:rPr>
        <w:t>”</w:t>
      </w:r>
    </w:p>
    <w:p w14:paraId="59C00CE3" w14:textId="77777777" w:rsidR="007D305B" w:rsidRPr="00803D54" w:rsidRDefault="007D305B" w:rsidP="004358D2">
      <w:pPr>
        <w:ind w:left="567" w:hanging="284"/>
        <w:jc w:val="both"/>
        <w:rPr>
          <w:rFonts w:ascii="Cambria" w:hAnsi="Cambria"/>
          <w:sz w:val="20"/>
          <w:szCs w:val="20"/>
        </w:rPr>
      </w:pPr>
      <w:bookmarkStart w:id="1" w:name="_Hlk118817378"/>
    </w:p>
    <w:p w14:paraId="37BB3CED" w14:textId="77777777" w:rsidR="009F790F" w:rsidRPr="00803D54" w:rsidRDefault="00ED3949" w:rsidP="009F790F">
      <w:pPr>
        <w:ind w:left="284" w:hanging="284"/>
        <w:jc w:val="both"/>
        <w:rPr>
          <w:rFonts w:ascii="Cambria" w:hAnsi="Cambria"/>
          <w:bCs/>
          <w:sz w:val="20"/>
          <w:szCs w:val="20"/>
        </w:rPr>
      </w:pPr>
      <w:r w:rsidRPr="00803D54">
        <w:rPr>
          <w:rFonts w:ascii="Cambria" w:hAnsi="Cambria"/>
          <w:bCs/>
          <w:sz w:val="20"/>
          <w:szCs w:val="20"/>
        </w:rPr>
        <w:t xml:space="preserve">2.  El SCRS llevará a cabo </w:t>
      </w:r>
      <w:r w:rsidR="00BA676F" w:rsidRPr="00803D54">
        <w:rPr>
          <w:rFonts w:ascii="Cambria" w:hAnsi="Cambria"/>
          <w:bCs/>
          <w:sz w:val="20"/>
          <w:szCs w:val="20"/>
        </w:rPr>
        <w:t>un seguimiento de los niveles de capturas en 2023, 2024, 2025 y 2026</w:t>
      </w:r>
      <w:r w:rsidRPr="00803D54">
        <w:rPr>
          <w:rFonts w:ascii="Cambria" w:hAnsi="Cambria"/>
          <w:bCs/>
          <w:sz w:val="20"/>
          <w:szCs w:val="20"/>
        </w:rPr>
        <w:t xml:space="preserve"> e informará</w:t>
      </w:r>
      <w:r w:rsidR="00BA676F" w:rsidRPr="00803D54">
        <w:rPr>
          <w:rFonts w:ascii="Cambria" w:hAnsi="Cambria"/>
          <w:bCs/>
          <w:sz w:val="20"/>
          <w:szCs w:val="20"/>
        </w:rPr>
        <w:t xml:space="preserve"> anualmente </w:t>
      </w:r>
      <w:r w:rsidRPr="00803D54">
        <w:rPr>
          <w:rFonts w:ascii="Cambria" w:hAnsi="Cambria"/>
          <w:bCs/>
          <w:sz w:val="20"/>
          <w:szCs w:val="20"/>
        </w:rPr>
        <w:t>a la Comisión.</w:t>
      </w:r>
    </w:p>
    <w:p w14:paraId="251D2F7C" w14:textId="77777777" w:rsidR="00333BB1" w:rsidRPr="00803D54" w:rsidRDefault="00333BB1" w:rsidP="009F790F">
      <w:pPr>
        <w:ind w:left="284" w:hanging="284"/>
        <w:jc w:val="both"/>
        <w:rPr>
          <w:rFonts w:ascii="Cambria" w:hAnsi="Cambria"/>
          <w:bCs/>
          <w:sz w:val="20"/>
          <w:szCs w:val="20"/>
        </w:rPr>
      </w:pPr>
    </w:p>
    <w:p w14:paraId="6BB36449" w14:textId="77777777" w:rsidR="00AA57D7" w:rsidRPr="00803D54" w:rsidRDefault="00BA676F" w:rsidP="00BA676F">
      <w:pPr>
        <w:ind w:left="284" w:hanging="284"/>
        <w:jc w:val="both"/>
        <w:rPr>
          <w:rFonts w:ascii="Cambria" w:hAnsi="Cambria"/>
          <w:bCs/>
          <w:sz w:val="20"/>
          <w:szCs w:val="20"/>
        </w:rPr>
      </w:pPr>
      <w:r w:rsidRPr="00803D54">
        <w:rPr>
          <w:rFonts w:ascii="Cambria" w:hAnsi="Cambria"/>
          <w:bCs/>
          <w:sz w:val="20"/>
          <w:szCs w:val="20"/>
        </w:rPr>
        <w:t>3.</w:t>
      </w:r>
      <w:r w:rsidRPr="00803D54">
        <w:rPr>
          <w:rFonts w:ascii="Cambria" w:hAnsi="Cambria"/>
          <w:bCs/>
          <w:sz w:val="20"/>
          <w:szCs w:val="20"/>
        </w:rPr>
        <w:tab/>
        <w:t xml:space="preserve">Esta Recomendación revoca y sustituye la </w:t>
      </w:r>
      <w:hyperlink r:id="rId9" w:tgtFrame="_blank" w:history="1">
        <w:r w:rsidRPr="00803D54">
          <w:rPr>
            <w:rFonts w:ascii="Cambria" w:hAnsi="Cambria"/>
            <w:i/>
            <w:iCs/>
            <w:sz w:val="20"/>
            <w:szCs w:val="20"/>
          </w:rPr>
          <w:t xml:space="preserve">Recomendación suplementaria de ICCAT sobre la Recomendación 17-03 que enmienda la Recomendación 16-04 sobre la conservación del pez espada del Atlántico sur </w:t>
        </w:r>
      </w:hyperlink>
      <w:r w:rsidRPr="00803D54">
        <w:rPr>
          <w:rFonts w:ascii="Cambria" w:hAnsi="Cambria"/>
          <w:i/>
          <w:iCs/>
          <w:sz w:val="20"/>
          <w:szCs w:val="20"/>
        </w:rPr>
        <w:t xml:space="preserve"> </w:t>
      </w:r>
      <w:r w:rsidRPr="00803D54">
        <w:rPr>
          <w:rFonts w:ascii="Cambria" w:hAnsi="Cambria"/>
          <w:sz w:val="20"/>
          <w:szCs w:val="20"/>
        </w:rPr>
        <w:t>(Rec</w:t>
      </w:r>
      <w:r w:rsidRPr="00803D54">
        <w:rPr>
          <w:rFonts w:ascii="Cambria" w:hAnsi="Cambria"/>
          <w:i/>
          <w:iCs/>
          <w:sz w:val="20"/>
          <w:szCs w:val="20"/>
        </w:rPr>
        <w:t xml:space="preserve">. </w:t>
      </w:r>
      <w:r w:rsidRPr="00803D54">
        <w:rPr>
          <w:rFonts w:ascii="Cambria" w:hAnsi="Cambria"/>
          <w:sz w:val="20"/>
          <w:szCs w:val="20"/>
        </w:rPr>
        <w:t>21-03)</w:t>
      </w:r>
      <w:r w:rsidR="00393273" w:rsidRPr="00803D54">
        <w:rPr>
          <w:rFonts w:ascii="Cambria" w:hAnsi="Cambria"/>
          <w:sz w:val="20"/>
          <w:szCs w:val="20"/>
        </w:rPr>
        <w:t>.</w:t>
      </w:r>
      <w:bookmarkEnd w:id="1"/>
    </w:p>
    <w:sectPr w:rsidR="00AA57D7" w:rsidRPr="00803D54" w:rsidSect="00522794">
      <w:footerReference w:type="even"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544E" w14:textId="77777777" w:rsidR="0005603A" w:rsidRDefault="0005603A">
      <w:r>
        <w:separator/>
      </w:r>
    </w:p>
  </w:endnote>
  <w:endnote w:type="continuationSeparator" w:id="0">
    <w:p w14:paraId="5ACFB5A6" w14:textId="77777777" w:rsidR="0005603A" w:rsidRDefault="0005603A">
      <w:r>
        <w:continuationSeparator/>
      </w:r>
    </w:p>
  </w:endnote>
  <w:endnote w:type="continuationNotice" w:id="1">
    <w:p w14:paraId="46C4D650" w14:textId="77777777" w:rsidR="0005603A" w:rsidRDefault="00056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Italic">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9F6B" w14:textId="77777777" w:rsidR="00BD10D2" w:rsidRDefault="00ED39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C9E">
      <w:rPr>
        <w:rStyle w:val="PageNumber"/>
        <w:noProof/>
      </w:rPr>
      <w:t>2</w:t>
    </w:r>
    <w:r>
      <w:rPr>
        <w:rStyle w:val="PageNumber"/>
      </w:rPr>
      <w:fldChar w:fldCharType="end"/>
    </w:r>
  </w:p>
  <w:p w14:paraId="0A478831" w14:textId="77777777" w:rsidR="00BD10D2" w:rsidRDefault="00BD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0DDA" w14:textId="77777777" w:rsidR="00522794" w:rsidRPr="00C81ABF" w:rsidRDefault="00393273" w:rsidP="00393273">
    <w:pPr>
      <w:tabs>
        <w:tab w:val="center" w:pos="4680"/>
        <w:tab w:val="right" w:pos="9360"/>
      </w:tabs>
      <w:jc w:val="center"/>
      <w:rPr>
        <w:rFonts w:ascii="Cambria" w:hAnsi="Cambria"/>
        <w:sz w:val="20"/>
        <w:szCs w:val="20"/>
      </w:rPr>
    </w:pPr>
    <w:r w:rsidRPr="001C0C76">
      <w:rPr>
        <w:rFonts w:ascii="Cambria" w:hAnsi="Cambria"/>
        <w:sz w:val="20"/>
        <w:szCs w:val="20"/>
      </w:rPr>
      <w:fldChar w:fldCharType="begin"/>
    </w:r>
    <w:r w:rsidRPr="001C0C76">
      <w:rPr>
        <w:rFonts w:ascii="Cambria" w:hAnsi="Cambria"/>
        <w:sz w:val="20"/>
        <w:szCs w:val="20"/>
      </w:rPr>
      <w:instrText xml:space="preserve"> PAGE </w:instrText>
    </w:r>
    <w:r w:rsidRPr="001C0C76">
      <w:rPr>
        <w:rFonts w:ascii="Cambria" w:hAnsi="Cambria"/>
        <w:sz w:val="20"/>
        <w:szCs w:val="20"/>
      </w:rPr>
      <w:fldChar w:fldCharType="separate"/>
    </w:r>
    <w:r w:rsidRPr="001C0C76">
      <w:rPr>
        <w:rFonts w:ascii="Cambria" w:hAnsi="Cambria"/>
        <w:sz w:val="20"/>
        <w:szCs w:val="20"/>
      </w:rPr>
      <w:t>1</w:t>
    </w:r>
    <w:r w:rsidRPr="001C0C76">
      <w:rPr>
        <w:rFonts w:ascii="Cambria" w:hAnsi="Cambria"/>
        <w:sz w:val="20"/>
        <w:szCs w:val="20"/>
      </w:rPr>
      <w:fldChar w:fldCharType="end"/>
    </w:r>
    <w:r w:rsidRPr="001C0C76">
      <w:rPr>
        <w:rFonts w:ascii="Cambria" w:hAnsi="Cambri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4638" w14:textId="77777777" w:rsidR="0005603A" w:rsidRDefault="0005603A">
      <w:r>
        <w:separator/>
      </w:r>
    </w:p>
  </w:footnote>
  <w:footnote w:type="continuationSeparator" w:id="0">
    <w:p w14:paraId="49843CD0" w14:textId="77777777" w:rsidR="0005603A" w:rsidRDefault="0005603A">
      <w:r>
        <w:continuationSeparator/>
      </w:r>
    </w:p>
  </w:footnote>
  <w:footnote w:type="continuationNotice" w:id="1">
    <w:p w14:paraId="1EBAFC51" w14:textId="77777777" w:rsidR="0005603A" w:rsidRDefault="000560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E430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1D5625D6"/>
    <w:multiLevelType w:val="hybridMultilevel"/>
    <w:tmpl w:val="72689620"/>
    <w:lvl w:ilvl="0" w:tplc="FFFFFFFF">
      <w:start w:val="9"/>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C40D44"/>
    <w:multiLevelType w:val="hybridMultilevel"/>
    <w:tmpl w:val="131C61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49690936"/>
    <w:multiLevelType w:val="hybridMultilevel"/>
    <w:tmpl w:val="AEC4FFD0"/>
    <w:lvl w:ilvl="0" w:tplc="C2E67F5E">
      <w:start w:val="1"/>
      <w:numFmt w:val="decimal"/>
      <w:lvlText w:val="(%1)"/>
      <w:lvlJc w:val="left"/>
      <w:pPr>
        <w:ind w:left="1816" w:hanging="360"/>
      </w:pPr>
      <w:rPr>
        <w:rFonts w:hint="default"/>
        <w:sz w:val="16"/>
      </w:rPr>
    </w:lvl>
    <w:lvl w:ilvl="1" w:tplc="04090019">
      <w:start w:val="1"/>
      <w:numFmt w:val="lowerLetter"/>
      <w:lvlText w:val="%2."/>
      <w:lvlJc w:val="left"/>
      <w:pPr>
        <w:ind w:left="2536" w:hanging="360"/>
      </w:pPr>
    </w:lvl>
    <w:lvl w:ilvl="2" w:tplc="0409001B" w:tentative="1">
      <w:start w:val="1"/>
      <w:numFmt w:val="lowerRoman"/>
      <w:lvlText w:val="%3."/>
      <w:lvlJc w:val="right"/>
      <w:pPr>
        <w:ind w:left="3256" w:hanging="180"/>
      </w:pPr>
    </w:lvl>
    <w:lvl w:ilvl="3" w:tplc="0409000F" w:tentative="1">
      <w:start w:val="1"/>
      <w:numFmt w:val="decimal"/>
      <w:lvlText w:val="%4."/>
      <w:lvlJc w:val="left"/>
      <w:pPr>
        <w:ind w:left="3976" w:hanging="360"/>
      </w:pPr>
    </w:lvl>
    <w:lvl w:ilvl="4" w:tplc="04090019" w:tentative="1">
      <w:start w:val="1"/>
      <w:numFmt w:val="lowerLetter"/>
      <w:lvlText w:val="%5."/>
      <w:lvlJc w:val="left"/>
      <w:pPr>
        <w:ind w:left="4696" w:hanging="360"/>
      </w:pPr>
    </w:lvl>
    <w:lvl w:ilvl="5" w:tplc="0409001B" w:tentative="1">
      <w:start w:val="1"/>
      <w:numFmt w:val="lowerRoman"/>
      <w:lvlText w:val="%6."/>
      <w:lvlJc w:val="right"/>
      <w:pPr>
        <w:ind w:left="5416" w:hanging="180"/>
      </w:pPr>
    </w:lvl>
    <w:lvl w:ilvl="6" w:tplc="0409000F" w:tentative="1">
      <w:start w:val="1"/>
      <w:numFmt w:val="decimal"/>
      <w:lvlText w:val="%7."/>
      <w:lvlJc w:val="left"/>
      <w:pPr>
        <w:ind w:left="6136" w:hanging="360"/>
      </w:pPr>
    </w:lvl>
    <w:lvl w:ilvl="7" w:tplc="04090019" w:tentative="1">
      <w:start w:val="1"/>
      <w:numFmt w:val="lowerLetter"/>
      <w:lvlText w:val="%8."/>
      <w:lvlJc w:val="left"/>
      <w:pPr>
        <w:ind w:left="6856" w:hanging="360"/>
      </w:pPr>
    </w:lvl>
    <w:lvl w:ilvl="8" w:tplc="0409001B" w:tentative="1">
      <w:start w:val="1"/>
      <w:numFmt w:val="lowerRoman"/>
      <w:lvlText w:val="%9."/>
      <w:lvlJc w:val="right"/>
      <w:pPr>
        <w:ind w:left="7576" w:hanging="180"/>
      </w:pPr>
    </w:lvl>
  </w:abstractNum>
  <w:abstractNum w:abstractNumId="8" w15:restartNumberingAfterBreak="0">
    <w:nsid w:val="4E764DD7"/>
    <w:multiLevelType w:val="hybridMultilevel"/>
    <w:tmpl w:val="E4DC55A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577022D4"/>
    <w:multiLevelType w:val="hybridMultilevel"/>
    <w:tmpl w:val="D33652C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02F469A"/>
    <w:multiLevelType w:val="hybridMultilevel"/>
    <w:tmpl w:val="35B6E2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53234615">
    <w:abstractNumId w:val="2"/>
  </w:num>
  <w:num w:numId="2" w16cid:durableId="190149348">
    <w:abstractNumId w:val="1"/>
  </w:num>
  <w:num w:numId="3" w16cid:durableId="1776091892">
    <w:abstractNumId w:val="6"/>
  </w:num>
  <w:num w:numId="4" w16cid:durableId="1732579182">
    <w:abstractNumId w:val="5"/>
  </w:num>
  <w:num w:numId="5" w16cid:durableId="761343703">
    <w:abstractNumId w:val="4"/>
  </w:num>
  <w:num w:numId="6" w16cid:durableId="457334334">
    <w:abstractNumId w:val="0"/>
  </w:num>
  <w:num w:numId="7" w16cid:durableId="1237321162">
    <w:abstractNumId w:val="3"/>
  </w:num>
  <w:num w:numId="8" w16cid:durableId="994189973">
    <w:abstractNumId w:val="10"/>
  </w:num>
  <w:num w:numId="9" w16cid:durableId="1787658061">
    <w:abstractNumId w:val="8"/>
  </w:num>
  <w:num w:numId="10" w16cid:durableId="192964490">
    <w:abstractNumId w:val="9"/>
  </w:num>
  <w:num w:numId="11" w16cid:durableId="1760832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31"/>
    <w:rsid w:val="000008C8"/>
    <w:rsid w:val="000024D3"/>
    <w:rsid w:val="00006BF4"/>
    <w:rsid w:val="00007FD4"/>
    <w:rsid w:val="000256D5"/>
    <w:rsid w:val="000304AC"/>
    <w:rsid w:val="00037F46"/>
    <w:rsid w:val="00042487"/>
    <w:rsid w:val="00044494"/>
    <w:rsid w:val="000546A8"/>
    <w:rsid w:val="0005603A"/>
    <w:rsid w:val="00084FAA"/>
    <w:rsid w:val="00094E7F"/>
    <w:rsid w:val="00097214"/>
    <w:rsid w:val="000A0FAD"/>
    <w:rsid w:val="000A4D37"/>
    <w:rsid w:val="000A52A6"/>
    <w:rsid w:val="000A535C"/>
    <w:rsid w:val="000B0680"/>
    <w:rsid w:val="000B76CF"/>
    <w:rsid w:val="000C39FA"/>
    <w:rsid w:val="000D01D4"/>
    <w:rsid w:val="000D5D99"/>
    <w:rsid w:val="000E40D5"/>
    <w:rsid w:val="000F1E20"/>
    <w:rsid w:val="000F5D39"/>
    <w:rsid w:val="000F69A1"/>
    <w:rsid w:val="000F71E0"/>
    <w:rsid w:val="00102841"/>
    <w:rsid w:val="00103541"/>
    <w:rsid w:val="00120D05"/>
    <w:rsid w:val="00155B20"/>
    <w:rsid w:val="00157E24"/>
    <w:rsid w:val="001622B5"/>
    <w:rsid w:val="001668FE"/>
    <w:rsid w:val="00170584"/>
    <w:rsid w:val="001708CB"/>
    <w:rsid w:val="0017335E"/>
    <w:rsid w:val="0017508E"/>
    <w:rsid w:val="00182F37"/>
    <w:rsid w:val="00186778"/>
    <w:rsid w:val="00187BCC"/>
    <w:rsid w:val="001914E2"/>
    <w:rsid w:val="00193842"/>
    <w:rsid w:val="001A11C6"/>
    <w:rsid w:val="001A6EEF"/>
    <w:rsid w:val="001B592F"/>
    <w:rsid w:val="001B7F82"/>
    <w:rsid w:val="001C25F5"/>
    <w:rsid w:val="001C276E"/>
    <w:rsid w:val="001C57A7"/>
    <w:rsid w:val="001C668D"/>
    <w:rsid w:val="001D5AB7"/>
    <w:rsid w:val="001D7773"/>
    <w:rsid w:val="001E600A"/>
    <w:rsid w:val="002006DB"/>
    <w:rsid w:val="002142B0"/>
    <w:rsid w:val="0021746B"/>
    <w:rsid w:val="00224DF9"/>
    <w:rsid w:val="00226103"/>
    <w:rsid w:val="00226382"/>
    <w:rsid w:val="00256B98"/>
    <w:rsid w:val="00265FD8"/>
    <w:rsid w:val="00275796"/>
    <w:rsid w:val="0029500B"/>
    <w:rsid w:val="0029558E"/>
    <w:rsid w:val="002A3DEA"/>
    <w:rsid w:val="002C7F26"/>
    <w:rsid w:val="002C7F7B"/>
    <w:rsid w:val="002D5D55"/>
    <w:rsid w:val="002D6884"/>
    <w:rsid w:val="002D787D"/>
    <w:rsid w:val="002E13CE"/>
    <w:rsid w:val="002F7766"/>
    <w:rsid w:val="00304FF7"/>
    <w:rsid w:val="00314279"/>
    <w:rsid w:val="00321F24"/>
    <w:rsid w:val="00326924"/>
    <w:rsid w:val="00333BB1"/>
    <w:rsid w:val="00363263"/>
    <w:rsid w:val="00364E47"/>
    <w:rsid w:val="00367BC1"/>
    <w:rsid w:val="00370D0E"/>
    <w:rsid w:val="003718D9"/>
    <w:rsid w:val="00376FFD"/>
    <w:rsid w:val="00393273"/>
    <w:rsid w:val="003A0016"/>
    <w:rsid w:val="003A010D"/>
    <w:rsid w:val="003A2735"/>
    <w:rsid w:val="003A30DE"/>
    <w:rsid w:val="003B1C21"/>
    <w:rsid w:val="003B4137"/>
    <w:rsid w:val="003D0010"/>
    <w:rsid w:val="003D01CA"/>
    <w:rsid w:val="003D03BB"/>
    <w:rsid w:val="003D4EB5"/>
    <w:rsid w:val="003D6248"/>
    <w:rsid w:val="003E6CE1"/>
    <w:rsid w:val="00401B71"/>
    <w:rsid w:val="004074BA"/>
    <w:rsid w:val="0041029B"/>
    <w:rsid w:val="00421AF2"/>
    <w:rsid w:val="00434259"/>
    <w:rsid w:val="004358D2"/>
    <w:rsid w:val="004421B1"/>
    <w:rsid w:val="00473365"/>
    <w:rsid w:val="004743FB"/>
    <w:rsid w:val="004756AF"/>
    <w:rsid w:val="004867A3"/>
    <w:rsid w:val="00495AFE"/>
    <w:rsid w:val="004B19B7"/>
    <w:rsid w:val="004B1FF2"/>
    <w:rsid w:val="004B3D03"/>
    <w:rsid w:val="004C7AD6"/>
    <w:rsid w:val="004C7F05"/>
    <w:rsid w:val="004D077D"/>
    <w:rsid w:val="004D2876"/>
    <w:rsid w:val="004D4EEE"/>
    <w:rsid w:val="004E55FC"/>
    <w:rsid w:val="00507E74"/>
    <w:rsid w:val="0051645C"/>
    <w:rsid w:val="00516E48"/>
    <w:rsid w:val="00522794"/>
    <w:rsid w:val="00527373"/>
    <w:rsid w:val="00531858"/>
    <w:rsid w:val="00532E5F"/>
    <w:rsid w:val="00537F0A"/>
    <w:rsid w:val="00562CE5"/>
    <w:rsid w:val="00571995"/>
    <w:rsid w:val="005850A6"/>
    <w:rsid w:val="00593E19"/>
    <w:rsid w:val="005941BE"/>
    <w:rsid w:val="005A0C8A"/>
    <w:rsid w:val="005A5059"/>
    <w:rsid w:val="005A7B0D"/>
    <w:rsid w:val="005B1975"/>
    <w:rsid w:val="005B1E31"/>
    <w:rsid w:val="005B46B8"/>
    <w:rsid w:val="005C676F"/>
    <w:rsid w:val="005C7412"/>
    <w:rsid w:val="005D1D1B"/>
    <w:rsid w:val="005D2B0F"/>
    <w:rsid w:val="005E3B9E"/>
    <w:rsid w:val="005E5292"/>
    <w:rsid w:val="00600C13"/>
    <w:rsid w:val="00601927"/>
    <w:rsid w:val="006036BC"/>
    <w:rsid w:val="00604777"/>
    <w:rsid w:val="00604834"/>
    <w:rsid w:val="006138D3"/>
    <w:rsid w:val="006261DF"/>
    <w:rsid w:val="00633183"/>
    <w:rsid w:val="00634B24"/>
    <w:rsid w:val="00636189"/>
    <w:rsid w:val="00642A55"/>
    <w:rsid w:val="00646FA6"/>
    <w:rsid w:val="006563FF"/>
    <w:rsid w:val="0066598C"/>
    <w:rsid w:val="006718BA"/>
    <w:rsid w:val="00672A49"/>
    <w:rsid w:val="00691D89"/>
    <w:rsid w:val="006A0F48"/>
    <w:rsid w:val="006A7BB5"/>
    <w:rsid w:val="006B30AA"/>
    <w:rsid w:val="006B409E"/>
    <w:rsid w:val="006B5542"/>
    <w:rsid w:val="006C0EDB"/>
    <w:rsid w:val="006C48D2"/>
    <w:rsid w:val="006D4658"/>
    <w:rsid w:val="006E060D"/>
    <w:rsid w:val="006E12E5"/>
    <w:rsid w:val="006E2D80"/>
    <w:rsid w:val="006F07DF"/>
    <w:rsid w:val="006F1F93"/>
    <w:rsid w:val="00703736"/>
    <w:rsid w:val="00720661"/>
    <w:rsid w:val="00722181"/>
    <w:rsid w:val="00727474"/>
    <w:rsid w:val="00732324"/>
    <w:rsid w:val="00744EBC"/>
    <w:rsid w:val="007458A4"/>
    <w:rsid w:val="00753B2F"/>
    <w:rsid w:val="00766176"/>
    <w:rsid w:val="00766D22"/>
    <w:rsid w:val="00771537"/>
    <w:rsid w:val="00787AD2"/>
    <w:rsid w:val="00790EBE"/>
    <w:rsid w:val="007935C1"/>
    <w:rsid w:val="007A23BD"/>
    <w:rsid w:val="007A3D60"/>
    <w:rsid w:val="007A4B48"/>
    <w:rsid w:val="007B0D60"/>
    <w:rsid w:val="007B6DEF"/>
    <w:rsid w:val="007C2C66"/>
    <w:rsid w:val="007C474A"/>
    <w:rsid w:val="007D305B"/>
    <w:rsid w:val="007E33A1"/>
    <w:rsid w:val="007F4A5B"/>
    <w:rsid w:val="00802F26"/>
    <w:rsid w:val="00803D54"/>
    <w:rsid w:val="00805B52"/>
    <w:rsid w:val="00806938"/>
    <w:rsid w:val="008136AB"/>
    <w:rsid w:val="00816B0D"/>
    <w:rsid w:val="00817F85"/>
    <w:rsid w:val="00821A9F"/>
    <w:rsid w:val="008230F8"/>
    <w:rsid w:val="00833CCE"/>
    <w:rsid w:val="008373BB"/>
    <w:rsid w:val="008433F3"/>
    <w:rsid w:val="0085782A"/>
    <w:rsid w:val="00862ED9"/>
    <w:rsid w:val="008644E3"/>
    <w:rsid w:val="00866B8C"/>
    <w:rsid w:val="00870D11"/>
    <w:rsid w:val="00871B9E"/>
    <w:rsid w:val="0087361E"/>
    <w:rsid w:val="00875E40"/>
    <w:rsid w:val="00876CB9"/>
    <w:rsid w:val="008805E2"/>
    <w:rsid w:val="00881A51"/>
    <w:rsid w:val="00892EAB"/>
    <w:rsid w:val="008958B5"/>
    <w:rsid w:val="008A0DC7"/>
    <w:rsid w:val="008A764C"/>
    <w:rsid w:val="008C7115"/>
    <w:rsid w:val="008C718B"/>
    <w:rsid w:val="008E2D36"/>
    <w:rsid w:val="008F22B7"/>
    <w:rsid w:val="008F273F"/>
    <w:rsid w:val="008F4711"/>
    <w:rsid w:val="008F7EE6"/>
    <w:rsid w:val="00904176"/>
    <w:rsid w:val="00904852"/>
    <w:rsid w:val="00910B58"/>
    <w:rsid w:val="0094442C"/>
    <w:rsid w:val="0094510E"/>
    <w:rsid w:val="00946706"/>
    <w:rsid w:val="0095091F"/>
    <w:rsid w:val="00951024"/>
    <w:rsid w:val="00952569"/>
    <w:rsid w:val="00957B4C"/>
    <w:rsid w:val="009627B0"/>
    <w:rsid w:val="00970DAE"/>
    <w:rsid w:val="00982836"/>
    <w:rsid w:val="009914DB"/>
    <w:rsid w:val="009956A8"/>
    <w:rsid w:val="009A0422"/>
    <w:rsid w:val="009B24CE"/>
    <w:rsid w:val="009B3275"/>
    <w:rsid w:val="009B6EA0"/>
    <w:rsid w:val="009B79A8"/>
    <w:rsid w:val="009C4FEA"/>
    <w:rsid w:val="009C5BA9"/>
    <w:rsid w:val="009D0CC7"/>
    <w:rsid w:val="009F64EA"/>
    <w:rsid w:val="009F790F"/>
    <w:rsid w:val="00A14300"/>
    <w:rsid w:val="00A22FF4"/>
    <w:rsid w:val="00A31F06"/>
    <w:rsid w:val="00A336E1"/>
    <w:rsid w:val="00A376FA"/>
    <w:rsid w:val="00A4658F"/>
    <w:rsid w:val="00A5498F"/>
    <w:rsid w:val="00A630D8"/>
    <w:rsid w:val="00A70E6C"/>
    <w:rsid w:val="00A71AA0"/>
    <w:rsid w:val="00A85CB1"/>
    <w:rsid w:val="00A8625E"/>
    <w:rsid w:val="00AA57D7"/>
    <w:rsid w:val="00AB2BAD"/>
    <w:rsid w:val="00B018B2"/>
    <w:rsid w:val="00B12F17"/>
    <w:rsid w:val="00B14C0C"/>
    <w:rsid w:val="00B14D94"/>
    <w:rsid w:val="00B24DE4"/>
    <w:rsid w:val="00B320A8"/>
    <w:rsid w:val="00B33083"/>
    <w:rsid w:val="00B352DE"/>
    <w:rsid w:val="00B4194A"/>
    <w:rsid w:val="00B44D3A"/>
    <w:rsid w:val="00B53E33"/>
    <w:rsid w:val="00B5485E"/>
    <w:rsid w:val="00B54979"/>
    <w:rsid w:val="00B61F4C"/>
    <w:rsid w:val="00B62FD7"/>
    <w:rsid w:val="00B67769"/>
    <w:rsid w:val="00B76106"/>
    <w:rsid w:val="00B800DB"/>
    <w:rsid w:val="00B81867"/>
    <w:rsid w:val="00B832EB"/>
    <w:rsid w:val="00B84831"/>
    <w:rsid w:val="00B84E33"/>
    <w:rsid w:val="00B94EA7"/>
    <w:rsid w:val="00BA448A"/>
    <w:rsid w:val="00BA5F00"/>
    <w:rsid w:val="00BA676F"/>
    <w:rsid w:val="00BB2A79"/>
    <w:rsid w:val="00BC772D"/>
    <w:rsid w:val="00BD10D2"/>
    <w:rsid w:val="00BD5756"/>
    <w:rsid w:val="00BD7264"/>
    <w:rsid w:val="00BE112D"/>
    <w:rsid w:val="00BE12BC"/>
    <w:rsid w:val="00BF7E37"/>
    <w:rsid w:val="00BF7ECF"/>
    <w:rsid w:val="00C13EF3"/>
    <w:rsid w:val="00C218E0"/>
    <w:rsid w:val="00C21E85"/>
    <w:rsid w:val="00C32E72"/>
    <w:rsid w:val="00C41C17"/>
    <w:rsid w:val="00C44CFB"/>
    <w:rsid w:val="00C50C9E"/>
    <w:rsid w:val="00C528D6"/>
    <w:rsid w:val="00C64498"/>
    <w:rsid w:val="00C64ED5"/>
    <w:rsid w:val="00C65DBC"/>
    <w:rsid w:val="00C72E9E"/>
    <w:rsid w:val="00C740D7"/>
    <w:rsid w:val="00C74F4D"/>
    <w:rsid w:val="00C81ABF"/>
    <w:rsid w:val="00C82601"/>
    <w:rsid w:val="00C91273"/>
    <w:rsid w:val="00C977CD"/>
    <w:rsid w:val="00CA7804"/>
    <w:rsid w:val="00CB3370"/>
    <w:rsid w:val="00CC24FE"/>
    <w:rsid w:val="00CC2A08"/>
    <w:rsid w:val="00CC627E"/>
    <w:rsid w:val="00CD33E4"/>
    <w:rsid w:val="00CD43A8"/>
    <w:rsid w:val="00CD4C2A"/>
    <w:rsid w:val="00CD6954"/>
    <w:rsid w:val="00CE0664"/>
    <w:rsid w:val="00CE1621"/>
    <w:rsid w:val="00CE25A8"/>
    <w:rsid w:val="00CE4401"/>
    <w:rsid w:val="00CE4924"/>
    <w:rsid w:val="00CE789B"/>
    <w:rsid w:val="00CF082C"/>
    <w:rsid w:val="00CF5417"/>
    <w:rsid w:val="00D03155"/>
    <w:rsid w:val="00D12254"/>
    <w:rsid w:val="00D14BB6"/>
    <w:rsid w:val="00D16A93"/>
    <w:rsid w:val="00D172AA"/>
    <w:rsid w:val="00D23805"/>
    <w:rsid w:val="00D25DDF"/>
    <w:rsid w:val="00D27ABD"/>
    <w:rsid w:val="00D340B3"/>
    <w:rsid w:val="00D36C5A"/>
    <w:rsid w:val="00D43BD7"/>
    <w:rsid w:val="00D5088B"/>
    <w:rsid w:val="00D75A34"/>
    <w:rsid w:val="00D8227F"/>
    <w:rsid w:val="00D87D58"/>
    <w:rsid w:val="00D96561"/>
    <w:rsid w:val="00D975B9"/>
    <w:rsid w:val="00D97E65"/>
    <w:rsid w:val="00DA1285"/>
    <w:rsid w:val="00DA78BF"/>
    <w:rsid w:val="00DB49C1"/>
    <w:rsid w:val="00DC02AC"/>
    <w:rsid w:val="00DC5F9F"/>
    <w:rsid w:val="00DD77D4"/>
    <w:rsid w:val="00DE32FD"/>
    <w:rsid w:val="00DE43ED"/>
    <w:rsid w:val="00DF10B9"/>
    <w:rsid w:val="00DF1AF0"/>
    <w:rsid w:val="00DF1FD2"/>
    <w:rsid w:val="00DF413B"/>
    <w:rsid w:val="00DF5A7A"/>
    <w:rsid w:val="00DF75DF"/>
    <w:rsid w:val="00E04321"/>
    <w:rsid w:val="00E059C3"/>
    <w:rsid w:val="00E153C3"/>
    <w:rsid w:val="00E23965"/>
    <w:rsid w:val="00E2692A"/>
    <w:rsid w:val="00E270E5"/>
    <w:rsid w:val="00E2778F"/>
    <w:rsid w:val="00E40B9A"/>
    <w:rsid w:val="00E40BBF"/>
    <w:rsid w:val="00E428E5"/>
    <w:rsid w:val="00E43E03"/>
    <w:rsid w:val="00E5183B"/>
    <w:rsid w:val="00E542FA"/>
    <w:rsid w:val="00E63F6D"/>
    <w:rsid w:val="00E668AF"/>
    <w:rsid w:val="00E70C91"/>
    <w:rsid w:val="00E7383E"/>
    <w:rsid w:val="00E741A6"/>
    <w:rsid w:val="00E818A8"/>
    <w:rsid w:val="00E831AC"/>
    <w:rsid w:val="00E853E6"/>
    <w:rsid w:val="00E97A83"/>
    <w:rsid w:val="00EA5D2E"/>
    <w:rsid w:val="00EB007F"/>
    <w:rsid w:val="00EB0EB9"/>
    <w:rsid w:val="00EB45CD"/>
    <w:rsid w:val="00EB5B8F"/>
    <w:rsid w:val="00EC132E"/>
    <w:rsid w:val="00EC6B22"/>
    <w:rsid w:val="00ED18E0"/>
    <w:rsid w:val="00ED30D7"/>
    <w:rsid w:val="00ED35F9"/>
    <w:rsid w:val="00ED3949"/>
    <w:rsid w:val="00ED518C"/>
    <w:rsid w:val="00EE1F84"/>
    <w:rsid w:val="00EE2798"/>
    <w:rsid w:val="00F060D1"/>
    <w:rsid w:val="00F203E7"/>
    <w:rsid w:val="00F30BD1"/>
    <w:rsid w:val="00F33AE4"/>
    <w:rsid w:val="00F37A35"/>
    <w:rsid w:val="00F40B6E"/>
    <w:rsid w:val="00F42647"/>
    <w:rsid w:val="00F4521B"/>
    <w:rsid w:val="00F47BFE"/>
    <w:rsid w:val="00F5534E"/>
    <w:rsid w:val="00F65700"/>
    <w:rsid w:val="00F66EC7"/>
    <w:rsid w:val="00F750B8"/>
    <w:rsid w:val="00F75BF0"/>
    <w:rsid w:val="00F779D1"/>
    <w:rsid w:val="00F82D6D"/>
    <w:rsid w:val="00F83A4D"/>
    <w:rsid w:val="00F922CE"/>
    <w:rsid w:val="00F94CB8"/>
    <w:rsid w:val="00F94CBE"/>
    <w:rsid w:val="00F9525D"/>
    <w:rsid w:val="00FA6D2A"/>
    <w:rsid w:val="00FD089A"/>
    <w:rsid w:val="00FE404B"/>
    <w:rsid w:val="00FE42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0AA5E"/>
  <w15:chartTrackingRefBased/>
  <w15:docId w15:val="{8356E38F-630B-4B0F-845C-85BCD81D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0"/>
    </w:rPr>
  </w:style>
  <w:style w:type="paragraph" w:styleId="Heading5">
    <w:name w:val="heading 5"/>
    <w:basedOn w:val="Normal"/>
    <w:next w:val="Normal"/>
    <w:link w:val="Heading5Char"/>
    <w:qFormat/>
    <w:rsid w:val="00C50C9E"/>
    <w:pPr>
      <w:keepNext/>
      <w:jc w:val="center"/>
      <w:outlineLvl w:val="4"/>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eastAsia="x-none"/>
    </w:r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lang w:eastAsia="en-US"/>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rPr>
  </w:style>
  <w:style w:type="character" w:styleId="PageNumber">
    <w:name w:val="page number"/>
    <w:basedOn w:val="DefaultParagraphFont"/>
  </w:style>
  <w:style w:type="paragraph" w:styleId="BodyText">
    <w:name w:val="Body Text"/>
    <w:basedOn w:val="Normal"/>
    <w:pPr>
      <w:jc w:val="center"/>
    </w:pPr>
    <w:rPr>
      <w:b/>
      <w:bCs/>
      <w:lang w:eastAsia="es-ES"/>
    </w:rPr>
  </w:style>
  <w:style w:type="paragraph" w:styleId="BodyText3">
    <w:name w:val="Body Text 3"/>
    <w:basedOn w:val="Normal"/>
    <w:pPr>
      <w:tabs>
        <w:tab w:val="left" w:pos="300"/>
      </w:tabs>
    </w:pPr>
    <w:rPr>
      <w:sz w:val="22"/>
    </w:rPr>
  </w:style>
  <w:style w:type="character" w:styleId="Hyperlink">
    <w:name w:val="Hyperlink"/>
    <w:rsid w:val="003D03BB"/>
    <w:rPr>
      <w:color w:val="0000FF"/>
      <w:u w:val="single"/>
    </w:rPr>
  </w:style>
  <w:style w:type="paragraph" w:styleId="ListBullet">
    <w:name w:val="List Bullet"/>
    <w:basedOn w:val="Normal"/>
    <w:autoRedefine/>
    <w:rsid w:val="004C7F05"/>
    <w:pPr>
      <w:numPr>
        <w:numId w:val="6"/>
      </w:numPr>
    </w:pPr>
  </w:style>
  <w:style w:type="table" w:styleId="TableGrid">
    <w:name w:val="Table Grid"/>
    <w:basedOn w:val="TableNormal"/>
    <w:rsid w:val="004C7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091F"/>
    <w:rPr>
      <w:rFonts w:ascii="Segoe UI" w:hAnsi="Segoe UI"/>
      <w:sz w:val="18"/>
      <w:szCs w:val="18"/>
    </w:rPr>
  </w:style>
  <w:style w:type="character" w:customStyle="1" w:styleId="BalloonTextChar">
    <w:name w:val="Balloon Text Char"/>
    <w:link w:val="BalloonText"/>
    <w:rsid w:val="0095091F"/>
    <w:rPr>
      <w:rFonts w:ascii="Segoe UI" w:hAnsi="Segoe UI" w:cs="Segoe UI"/>
      <w:sz w:val="18"/>
      <w:szCs w:val="18"/>
      <w:lang w:val="es-ES" w:eastAsia="en-US"/>
    </w:rPr>
  </w:style>
  <w:style w:type="character" w:customStyle="1" w:styleId="FooterChar">
    <w:name w:val="Footer Char"/>
    <w:link w:val="Footer"/>
    <w:uiPriority w:val="99"/>
    <w:rsid w:val="00F779D1"/>
    <w:rPr>
      <w:sz w:val="24"/>
      <w:szCs w:val="24"/>
    </w:rPr>
  </w:style>
  <w:style w:type="character" w:customStyle="1" w:styleId="fontstyle01">
    <w:name w:val="fontstyle01"/>
    <w:rsid w:val="00722181"/>
    <w:rPr>
      <w:rFonts w:ascii="Cambria-Italic" w:hAnsi="Cambria-Italic" w:hint="default"/>
      <w:b w:val="0"/>
      <w:bCs w:val="0"/>
      <w:i/>
      <w:iCs/>
      <w:color w:val="000000"/>
      <w:sz w:val="20"/>
      <w:szCs w:val="20"/>
    </w:rPr>
  </w:style>
  <w:style w:type="character" w:customStyle="1" w:styleId="fontstyle21">
    <w:name w:val="fontstyle21"/>
    <w:rsid w:val="00722181"/>
    <w:rPr>
      <w:rFonts w:ascii="Cambria" w:hAnsi="Cambria" w:hint="default"/>
      <w:b w:val="0"/>
      <w:bCs w:val="0"/>
      <w:i w:val="0"/>
      <w:iCs w:val="0"/>
      <w:color w:val="000000"/>
      <w:sz w:val="20"/>
      <w:szCs w:val="20"/>
    </w:rPr>
  </w:style>
  <w:style w:type="paragraph" w:customStyle="1" w:styleId="Default">
    <w:name w:val="Default"/>
    <w:rsid w:val="00B12F17"/>
    <w:pPr>
      <w:autoSpaceDE w:val="0"/>
      <w:autoSpaceDN w:val="0"/>
      <w:adjustRightInd w:val="0"/>
    </w:pPr>
    <w:rPr>
      <w:rFonts w:ascii="Cambria" w:hAnsi="Cambria" w:cs="Cambria"/>
      <w:color w:val="000000"/>
      <w:sz w:val="24"/>
      <w:szCs w:val="24"/>
      <w:lang w:val="en-US" w:eastAsia="en-US"/>
    </w:rPr>
  </w:style>
  <w:style w:type="character" w:customStyle="1" w:styleId="Heading5Char">
    <w:name w:val="Heading 5 Char"/>
    <w:link w:val="Heading5"/>
    <w:rsid w:val="00C50C9E"/>
    <w:rPr>
      <w:b/>
      <w:bCs/>
      <w:sz w:val="28"/>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17-02-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cat.int/Documents/Recs/compendiopdf-s/2017-02-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43E2-A198-438E-B69D-2485B1A9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Annotated Agendas COM 2006</vt:lpstr>
      <vt:lpstr>Annotated Agendas COM 2006</vt:lpstr>
    </vt:vector>
  </TitlesOfParts>
  <Company>ICCAT</Company>
  <LinksUpToDate>false</LinksUpToDate>
  <CharactersWithSpaces>4369</CharactersWithSpaces>
  <SharedDoc>false</SharedDoc>
  <HLinks>
    <vt:vector size="12" baseType="variant">
      <vt:variant>
        <vt:i4>4259848</vt:i4>
      </vt:variant>
      <vt:variant>
        <vt:i4>3</vt:i4>
      </vt:variant>
      <vt:variant>
        <vt:i4>0</vt:i4>
      </vt:variant>
      <vt:variant>
        <vt:i4>5</vt:i4>
      </vt:variant>
      <vt:variant>
        <vt:lpwstr>https://www.iccat.int/Documents/Recs/compendiopdf-s/2017-02-s.pdf</vt:lpwstr>
      </vt:variant>
      <vt:variant>
        <vt:lpwstr/>
      </vt:variant>
      <vt:variant>
        <vt:i4>4259848</vt:i4>
      </vt:variant>
      <vt:variant>
        <vt:i4>0</vt:i4>
      </vt:variant>
      <vt:variant>
        <vt:i4>0</vt:i4>
      </vt:variant>
      <vt:variant>
        <vt:i4>5</vt:i4>
      </vt:variant>
      <vt:variant>
        <vt:lpwstr>https://www.iccat.int/Documents/Recs/compendiopdf-s/2017-02-s.pdf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Agendas COM 2006</dc:title>
  <dc:subject/>
  <dc:creator>Victor</dc:creator>
  <cp:keywords/>
  <cp:lastModifiedBy>Author</cp:lastModifiedBy>
  <cp:revision>3</cp:revision>
  <cp:lastPrinted>2022-11-18T10:12:00Z</cp:lastPrinted>
  <dcterms:created xsi:type="dcterms:W3CDTF">2022-12-22T09:53:00Z</dcterms:created>
  <dcterms:modified xsi:type="dcterms:W3CDTF">2022-12-22T09:55:00Z</dcterms:modified>
</cp:coreProperties>
</file>