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6C3F8" w14:textId="05589696" w:rsidR="00524E30" w:rsidRPr="00F47A8D" w:rsidRDefault="00EF27A3" w:rsidP="004A10B0">
      <w:pPr>
        <w:widowControl w:val="0"/>
        <w:pBdr>
          <w:top w:val="double" w:sz="4" w:space="1" w:color="auto"/>
          <w:left w:val="double" w:sz="4" w:space="4" w:color="auto"/>
          <w:bottom w:val="double" w:sz="4" w:space="1" w:color="auto"/>
          <w:right w:val="double" w:sz="4" w:space="9" w:color="auto"/>
          <w:between w:val="double" w:sz="4" w:space="1" w:color="auto"/>
          <w:bar w:val="double" w:sz="4" w:color="auto"/>
        </w:pBdr>
        <w:spacing w:before="1" w:after="0" w:line="240" w:lineRule="auto"/>
        <w:ind w:right="2"/>
        <w:jc w:val="center"/>
        <w:rPr>
          <w:rFonts w:ascii="Cambria" w:eastAsia="Cambria" w:hAnsi="Cambria" w:cs="Cambria"/>
          <w:b/>
          <w:sz w:val="20"/>
          <w:szCs w:val="20"/>
        </w:rPr>
      </w:pPr>
      <w:bookmarkStart w:id="0" w:name="_Hlk118817887"/>
      <w:r w:rsidRPr="00F47A8D">
        <w:rPr>
          <w:rFonts w:ascii="Cambria" w:hAnsi="Cambria"/>
          <w:b/>
          <w:sz w:val="20"/>
          <w:szCs w:val="20"/>
        </w:rPr>
        <w:t>22</w:t>
      </w:r>
      <w:r w:rsidR="004A10B0" w:rsidRPr="00F47A8D">
        <w:rPr>
          <w:rFonts w:ascii="Cambria" w:hAnsi="Cambria"/>
          <w:b/>
          <w:sz w:val="20"/>
          <w:szCs w:val="20"/>
        </w:rPr>
        <w:t>-</w:t>
      </w:r>
      <w:r w:rsidR="00D5626B" w:rsidRPr="00F47A8D">
        <w:rPr>
          <w:rFonts w:ascii="Cambria" w:hAnsi="Cambria"/>
          <w:b/>
          <w:sz w:val="20"/>
          <w:szCs w:val="20"/>
        </w:rPr>
        <w:t>04</w:t>
      </w:r>
      <w:r w:rsidR="004A10B0" w:rsidRPr="00F47A8D">
        <w:rPr>
          <w:rFonts w:ascii="Cambria" w:hAnsi="Cambria"/>
          <w:b/>
          <w:sz w:val="20"/>
          <w:szCs w:val="20"/>
        </w:rPr>
        <w:tab/>
      </w:r>
      <w:r w:rsidR="004A10B0" w:rsidRPr="00F47A8D">
        <w:rPr>
          <w:rFonts w:ascii="Cambria" w:hAnsi="Cambria"/>
          <w:b/>
          <w:sz w:val="20"/>
          <w:szCs w:val="20"/>
        </w:rPr>
        <w:tab/>
      </w:r>
      <w:r w:rsidR="004A10B0" w:rsidRPr="00F47A8D">
        <w:rPr>
          <w:rFonts w:ascii="Cambria" w:hAnsi="Cambria"/>
          <w:b/>
          <w:sz w:val="20"/>
          <w:szCs w:val="20"/>
        </w:rPr>
        <w:tab/>
      </w:r>
      <w:r w:rsidR="004A10B0" w:rsidRPr="00F47A8D">
        <w:rPr>
          <w:rFonts w:ascii="Cambria" w:hAnsi="Cambria"/>
          <w:b/>
          <w:sz w:val="20"/>
          <w:szCs w:val="20"/>
        </w:rPr>
        <w:tab/>
      </w:r>
      <w:r w:rsidR="004A10B0" w:rsidRPr="00F47A8D">
        <w:rPr>
          <w:rFonts w:ascii="Cambria" w:hAnsi="Cambria"/>
          <w:b/>
          <w:sz w:val="20"/>
          <w:szCs w:val="20"/>
        </w:rPr>
        <w:tab/>
      </w:r>
      <w:r w:rsidR="004A10B0" w:rsidRPr="00F47A8D">
        <w:rPr>
          <w:rFonts w:ascii="Cambria" w:hAnsi="Cambria"/>
          <w:b/>
          <w:sz w:val="20"/>
          <w:szCs w:val="20"/>
        </w:rPr>
        <w:tab/>
      </w:r>
      <w:r w:rsidR="004A10B0" w:rsidRPr="00F47A8D">
        <w:rPr>
          <w:rFonts w:ascii="Cambria" w:hAnsi="Cambria"/>
          <w:b/>
          <w:sz w:val="20"/>
          <w:szCs w:val="20"/>
        </w:rPr>
        <w:tab/>
      </w:r>
      <w:r w:rsidR="004A10B0" w:rsidRPr="00F47A8D">
        <w:rPr>
          <w:rFonts w:ascii="Cambria" w:hAnsi="Cambria"/>
          <w:b/>
          <w:sz w:val="20"/>
          <w:szCs w:val="20"/>
        </w:rPr>
        <w:tab/>
      </w:r>
      <w:r w:rsidR="004A10B0" w:rsidRPr="00F47A8D">
        <w:rPr>
          <w:rFonts w:ascii="Cambria" w:hAnsi="Cambria"/>
          <w:b/>
          <w:sz w:val="20"/>
          <w:szCs w:val="20"/>
        </w:rPr>
        <w:tab/>
      </w:r>
      <w:r w:rsidR="004A10B0" w:rsidRPr="00F47A8D">
        <w:rPr>
          <w:rFonts w:ascii="Cambria" w:hAnsi="Cambria"/>
          <w:b/>
          <w:sz w:val="20"/>
          <w:szCs w:val="20"/>
        </w:rPr>
        <w:tab/>
      </w:r>
      <w:r w:rsidR="004A10B0" w:rsidRPr="00F47A8D">
        <w:rPr>
          <w:rFonts w:ascii="Cambria" w:hAnsi="Cambria"/>
          <w:b/>
          <w:sz w:val="20"/>
          <w:szCs w:val="20"/>
        </w:rPr>
        <w:tab/>
      </w:r>
      <w:r w:rsidRPr="00F47A8D">
        <w:rPr>
          <w:rFonts w:ascii="Cambria" w:hAnsi="Cambria"/>
          <w:b/>
          <w:sz w:val="20"/>
          <w:szCs w:val="20"/>
        </w:rPr>
        <w:t>SWO</w:t>
      </w:r>
      <w:r w:rsidR="004A10B0" w:rsidRPr="00F47A8D">
        <w:rPr>
          <w:rFonts w:ascii="Cambria" w:hAnsi="Cambria"/>
          <w:b/>
          <w:sz w:val="20"/>
          <w:szCs w:val="20"/>
        </w:rPr>
        <w:br/>
      </w:r>
      <w:r w:rsidR="004A10B0" w:rsidRPr="00F47A8D">
        <w:rPr>
          <w:rFonts w:ascii="Cambria" w:hAnsi="Cambria"/>
          <w:b/>
          <w:sz w:val="20"/>
          <w:szCs w:val="20"/>
        </w:rPr>
        <w:br/>
      </w:r>
      <w:r w:rsidR="00225243" w:rsidRPr="00F47A8D">
        <w:rPr>
          <w:rFonts w:ascii="Cambria" w:hAnsi="Cambria"/>
          <w:b/>
          <w:sz w:val="20"/>
          <w:szCs w:val="20"/>
        </w:rPr>
        <w:t>RECOMMANDATION DE L’ICCAT REMPLAÇANT LA RECOMMANDATION SUPPLÉMENTAIRE 21-03 PROLONGEANT ET MODIFIANT LA RECOMMANDATION 17-03 SUR LA CONSERVATION DE L'ESPADON DE L’ATLANTIQUE SUD</w:t>
      </w:r>
    </w:p>
    <w:p w14:paraId="19F0022B" w14:textId="77777777" w:rsidR="000D21A0" w:rsidRPr="00F47A8D" w:rsidRDefault="000D21A0" w:rsidP="0091389D">
      <w:pPr>
        <w:widowControl w:val="0"/>
        <w:spacing w:after="0" w:line="240" w:lineRule="auto"/>
        <w:ind w:left="911" w:right="2"/>
        <w:jc w:val="center"/>
        <w:rPr>
          <w:rFonts w:ascii="Cambria" w:eastAsia="Cambria" w:hAnsi="Cambria" w:cs="Cambria"/>
          <w:i/>
          <w:sz w:val="20"/>
          <w:szCs w:val="20"/>
          <w:lang w:eastAsia="en-IE"/>
        </w:rPr>
      </w:pPr>
    </w:p>
    <w:bookmarkEnd w:id="0"/>
    <w:p w14:paraId="1CC4446C" w14:textId="4E2A7554" w:rsidR="000D21A0" w:rsidRPr="00F47A8D" w:rsidRDefault="4FDE6A5C" w:rsidP="004A10B0">
      <w:pPr>
        <w:widowControl w:val="0"/>
        <w:spacing w:after="0" w:line="240" w:lineRule="auto"/>
        <w:ind w:right="2" w:firstLine="426"/>
        <w:jc w:val="both"/>
        <w:rPr>
          <w:rFonts w:ascii="Cambria" w:eastAsia="Cambria" w:hAnsi="Cambria" w:cs="Cambria"/>
          <w:sz w:val="20"/>
          <w:szCs w:val="20"/>
        </w:rPr>
      </w:pPr>
      <w:r w:rsidRPr="00F47A8D">
        <w:rPr>
          <w:rFonts w:ascii="Cambria" w:hAnsi="Cambria"/>
          <w:i/>
          <w:iCs/>
          <w:sz w:val="20"/>
          <w:szCs w:val="20"/>
        </w:rPr>
        <w:t>NOTANT</w:t>
      </w:r>
      <w:r w:rsidRPr="00F47A8D">
        <w:rPr>
          <w:rFonts w:ascii="Cambria" w:hAnsi="Cambria"/>
          <w:sz w:val="20"/>
          <w:szCs w:val="20"/>
        </w:rPr>
        <w:t xml:space="preserve"> la nécessité de poursuivre une gestion adéquate pour l’exploitation durable du stock d’espadon de l’Atlantique Sud ; </w:t>
      </w:r>
    </w:p>
    <w:p w14:paraId="2EEDD7FA" w14:textId="77777777" w:rsidR="000D21A0" w:rsidRPr="00F47A8D" w:rsidRDefault="000D21A0" w:rsidP="004A10B0">
      <w:pPr>
        <w:widowControl w:val="0"/>
        <w:spacing w:after="0" w:line="240" w:lineRule="auto"/>
        <w:ind w:right="2" w:firstLine="426"/>
        <w:jc w:val="both"/>
        <w:rPr>
          <w:rFonts w:ascii="Cambria" w:eastAsia="Cambria" w:hAnsi="Cambria" w:cs="Cambria"/>
          <w:sz w:val="8"/>
          <w:szCs w:val="8"/>
        </w:rPr>
      </w:pPr>
    </w:p>
    <w:p w14:paraId="4D8E7B1E" w14:textId="7340B32B" w:rsidR="004B31D1" w:rsidRPr="00F47A8D" w:rsidRDefault="461F3FE2" w:rsidP="004A10B0">
      <w:pPr>
        <w:widowControl w:val="0"/>
        <w:spacing w:after="0" w:line="240" w:lineRule="auto"/>
        <w:ind w:right="2" w:firstLine="426"/>
        <w:jc w:val="both"/>
        <w:rPr>
          <w:rFonts w:ascii="Cambria" w:eastAsia="Cambria" w:hAnsi="Cambria" w:cs="Cambria"/>
          <w:sz w:val="20"/>
          <w:szCs w:val="20"/>
        </w:rPr>
      </w:pPr>
      <w:r w:rsidRPr="00F47A8D">
        <w:rPr>
          <w:rFonts w:ascii="Cambria" w:hAnsi="Cambria"/>
          <w:i/>
          <w:sz w:val="20"/>
          <w:szCs w:val="20"/>
        </w:rPr>
        <w:t>CONSIDÉRANT</w:t>
      </w:r>
      <w:r w:rsidRPr="00F47A8D">
        <w:rPr>
          <w:rFonts w:ascii="Cambria" w:hAnsi="Cambria"/>
          <w:sz w:val="20"/>
          <w:szCs w:val="20"/>
        </w:rPr>
        <w:t xml:space="preserve"> qu’en 2022 le Comité permanent pour la recherche et les statistiques (SCRS) a soumis une évaluation de l’état </w:t>
      </w:r>
      <w:r w:rsidR="009B5B61" w:rsidRPr="00F47A8D">
        <w:rPr>
          <w:rFonts w:ascii="Cambria" w:hAnsi="Cambria"/>
          <w:sz w:val="20"/>
          <w:szCs w:val="20"/>
        </w:rPr>
        <w:t xml:space="preserve">du stock </w:t>
      </w:r>
      <w:r w:rsidRPr="00F47A8D">
        <w:rPr>
          <w:rFonts w:ascii="Cambria" w:hAnsi="Cambria"/>
          <w:sz w:val="20"/>
          <w:szCs w:val="20"/>
        </w:rPr>
        <w:t xml:space="preserve">dans laquelle il notait que le stock est surexploité et fait l’objet de surpêche et a indiqué </w:t>
      </w:r>
      <w:r w:rsidR="00706E77" w:rsidRPr="00F47A8D">
        <w:rPr>
          <w:rFonts w:ascii="Cambria" w:hAnsi="Cambria"/>
          <w:sz w:val="20"/>
          <w:szCs w:val="20"/>
        </w:rPr>
        <w:t xml:space="preserve">qu'il est peu probable (probabilité de 3 %) que le TAC actuel de 14.000 tonnes permette d'atteindre l'objectif consistant à amener le stock dans le quadrant vert du diagramme de Kobe d'ici 2033 et </w:t>
      </w:r>
      <w:r w:rsidRPr="00F47A8D">
        <w:rPr>
          <w:rFonts w:ascii="Cambria" w:hAnsi="Cambria"/>
          <w:sz w:val="20"/>
          <w:szCs w:val="20"/>
        </w:rPr>
        <w:t>que des captures à des niveaux inférieurs à 10.000 tonnes accéléreraient le rétablissement du stock ;</w:t>
      </w:r>
    </w:p>
    <w:p w14:paraId="13C50999" w14:textId="77777777" w:rsidR="004B31D1" w:rsidRPr="00F47A8D" w:rsidRDefault="004B31D1" w:rsidP="004A10B0">
      <w:pPr>
        <w:widowControl w:val="0"/>
        <w:spacing w:after="0" w:line="240" w:lineRule="auto"/>
        <w:ind w:right="2" w:firstLine="426"/>
        <w:jc w:val="both"/>
        <w:rPr>
          <w:rFonts w:ascii="Cambria" w:eastAsia="Cambria" w:hAnsi="Cambria" w:cs="Cambria"/>
          <w:i/>
          <w:sz w:val="8"/>
          <w:szCs w:val="8"/>
        </w:rPr>
      </w:pPr>
    </w:p>
    <w:p w14:paraId="454F5537" w14:textId="48C2B15F" w:rsidR="00FC7705" w:rsidRPr="00F47A8D" w:rsidRDefault="63CCCE50" w:rsidP="004A10B0">
      <w:pPr>
        <w:widowControl w:val="0"/>
        <w:spacing w:after="0" w:line="240" w:lineRule="auto"/>
        <w:ind w:right="2" w:firstLine="426"/>
        <w:jc w:val="both"/>
        <w:rPr>
          <w:rFonts w:ascii="Cambria" w:eastAsia="Cambria" w:hAnsi="Cambria" w:cs="Cambria"/>
          <w:sz w:val="20"/>
          <w:szCs w:val="20"/>
        </w:rPr>
      </w:pPr>
      <w:r w:rsidRPr="00F47A8D">
        <w:rPr>
          <w:rFonts w:ascii="Cambria" w:hAnsi="Cambria"/>
          <w:i/>
          <w:iCs/>
          <w:sz w:val="20"/>
          <w:szCs w:val="20"/>
        </w:rPr>
        <w:t xml:space="preserve">RECONNAISSANT </w:t>
      </w:r>
      <w:r w:rsidRPr="00F47A8D">
        <w:rPr>
          <w:rFonts w:ascii="Cambria" w:hAnsi="Cambria"/>
          <w:sz w:val="20"/>
          <w:szCs w:val="20"/>
        </w:rPr>
        <w:t>que le SCRS a recommandé de ne pas dépasser les niveaux d’exploitation actuels dans le cadre des schémas d’exploitation actuels ;</w:t>
      </w:r>
    </w:p>
    <w:p w14:paraId="58DA86C4" w14:textId="569C9A8B" w:rsidR="004B31D1" w:rsidRPr="00F47A8D" w:rsidRDefault="004B31D1" w:rsidP="004A10B0">
      <w:pPr>
        <w:widowControl w:val="0"/>
        <w:spacing w:after="0" w:line="240" w:lineRule="auto"/>
        <w:ind w:right="2" w:firstLine="426"/>
        <w:jc w:val="both"/>
        <w:rPr>
          <w:rFonts w:ascii="Cambria" w:eastAsia="Cambria" w:hAnsi="Cambria" w:cs="Cambria"/>
          <w:i/>
          <w:sz w:val="8"/>
          <w:szCs w:val="8"/>
        </w:rPr>
      </w:pPr>
    </w:p>
    <w:p w14:paraId="07B680B4" w14:textId="38E4F81A" w:rsidR="004B31D1" w:rsidRPr="00F47A8D" w:rsidRDefault="4FDE6A5C" w:rsidP="004A10B0">
      <w:pPr>
        <w:widowControl w:val="0"/>
        <w:spacing w:after="0" w:line="240" w:lineRule="auto"/>
        <w:ind w:right="2" w:firstLine="426"/>
        <w:jc w:val="both"/>
        <w:rPr>
          <w:rFonts w:ascii="Cambria" w:eastAsia="Cambria" w:hAnsi="Cambria" w:cs="Cambria"/>
          <w:sz w:val="20"/>
          <w:szCs w:val="20"/>
        </w:rPr>
      </w:pPr>
      <w:r w:rsidRPr="00F47A8D">
        <w:rPr>
          <w:rFonts w:ascii="Cambria" w:hAnsi="Cambria"/>
          <w:i/>
          <w:iCs/>
          <w:sz w:val="20"/>
          <w:szCs w:val="20"/>
        </w:rPr>
        <w:t xml:space="preserve">CONFIRMANT </w:t>
      </w:r>
      <w:r w:rsidRPr="00F47A8D">
        <w:rPr>
          <w:rFonts w:ascii="Cambria" w:hAnsi="Cambria"/>
          <w:sz w:val="20"/>
          <w:szCs w:val="20"/>
        </w:rPr>
        <w:t>l’engagement des CPC à ne pas augmenter leurs efforts de pêche afin de s’assurer que les captures ne dépasseront pas 10.000 tonnes, tout en reconnaissant que l’extension des mesures actuelles ne saurait préjuger en aucune manière de toute future mesure ou discussion, y compris de l’allocation actuelle ;</w:t>
      </w:r>
    </w:p>
    <w:p w14:paraId="44F39D05" w14:textId="66DD9733" w:rsidR="00CB2B19" w:rsidRPr="00F47A8D" w:rsidRDefault="00CB2B19" w:rsidP="00CB2B19">
      <w:pPr>
        <w:widowControl w:val="0"/>
        <w:spacing w:after="0" w:line="240" w:lineRule="auto"/>
        <w:rPr>
          <w:rFonts w:ascii="Cambria" w:eastAsia="Cambria" w:hAnsi="Cambria" w:cs="Cambria"/>
          <w:sz w:val="20"/>
          <w:szCs w:val="20"/>
        </w:rPr>
      </w:pPr>
    </w:p>
    <w:p w14:paraId="50DB9ACA" w14:textId="77777777" w:rsidR="00CB2B19" w:rsidRPr="00F47A8D" w:rsidRDefault="00CB2B19" w:rsidP="00CB2B19">
      <w:pPr>
        <w:widowControl w:val="0"/>
        <w:pBdr>
          <w:top w:val="nil"/>
          <w:left w:val="nil"/>
          <w:bottom w:val="nil"/>
          <w:right w:val="nil"/>
          <w:between w:val="nil"/>
        </w:pBdr>
        <w:spacing w:after="0" w:line="240" w:lineRule="auto"/>
        <w:ind w:right="2"/>
        <w:jc w:val="center"/>
        <w:rPr>
          <w:rFonts w:ascii="Cambria" w:eastAsia="Cambria" w:hAnsi="Cambria" w:cs="Cambria"/>
          <w:sz w:val="20"/>
          <w:szCs w:val="20"/>
        </w:rPr>
      </w:pPr>
      <w:r w:rsidRPr="00F47A8D">
        <w:rPr>
          <w:rFonts w:ascii="Cambria" w:hAnsi="Cambria"/>
          <w:sz w:val="20"/>
          <w:szCs w:val="20"/>
        </w:rPr>
        <w:t xml:space="preserve">LA COMMISSION INTERNATIONALE POUR LA CONSERVATION </w:t>
      </w:r>
    </w:p>
    <w:p w14:paraId="13CE0649" w14:textId="77777777" w:rsidR="00CB2B19" w:rsidRPr="00F47A8D" w:rsidRDefault="00CB2B19" w:rsidP="00CB2B19">
      <w:pPr>
        <w:widowControl w:val="0"/>
        <w:pBdr>
          <w:top w:val="nil"/>
          <w:left w:val="nil"/>
          <w:bottom w:val="nil"/>
          <w:right w:val="nil"/>
          <w:between w:val="nil"/>
        </w:pBdr>
        <w:spacing w:after="0" w:line="240" w:lineRule="auto"/>
        <w:ind w:right="2"/>
        <w:jc w:val="center"/>
        <w:rPr>
          <w:rFonts w:ascii="Cambria" w:eastAsia="Cambria" w:hAnsi="Cambria" w:cs="Cambria"/>
          <w:sz w:val="20"/>
          <w:szCs w:val="20"/>
        </w:rPr>
      </w:pPr>
      <w:r w:rsidRPr="00F47A8D">
        <w:rPr>
          <w:rFonts w:ascii="Cambria" w:hAnsi="Cambria"/>
          <w:sz w:val="20"/>
          <w:szCs w:val="20"/>
        </w:rPr>
        <w:t>DES THONIDÉS DE L’ATLANTIQUE (ICCAT) RECOMMANDE CE QUI SUIT :</w:t>
      </w:r>
    </w:p>
    <w:p w14:paraId="61D3DC42" w14:textId="77777777" w:rsidR="00CB2B19" w:rsidRPr="00F47A8D" w:rsidRDefault="00CB2B19" w:rsidP="00CB2B19">
      <w:pPr>
        <w:widowControl w:val="0"/>
        <w:pBdr>
          <w:top w:val="nil"/>
          <w:left w:val="nil"/>
          <w:bottom w:val="nil"/>
          <w:right w:val="nil"/>
          <w:between w:val="nil"/>
        </w:pBdr>
        <w:spacing w:after="0" w:line="240" w:lineRule="auto"/>
        <w:ind w:right="2"/>
        <w:rPr>
          <w:rFonts w:ascii="Cambria" w:eastAsia="Cambria" w:hAnsi="Cambria" w:cs="Cambria"/>
          <w:color w:val="000000"/>
          <w:sz w:val="8"/>
          <w:szCs w:val="8"/>
        </w:rPr>
      </w:pPr>
    </w:p>
    <w:p w14:paraId="29CF697B" w14:textId="77777777" w:rsidR="00BC1B6D" w:rsidRPr="00F47A8D" w:rsidRDefault="00BC1B6D" w:rsidP="00BC1B6D">
      <w:pPr>
        <w:tabs>
          <w:tab w:val="left" w:pos="426"/>
          <w:tab w:val="left" w:pos="709"/>
          <w:tab w:val="left" w:pos="993"/>
          <w:tab w:val="left" w:pos="1418"/>
        </w:tabs>
        <w:autoSpaceDE w:val="0"/>
        <w:autoSpaceDN w:val="0"/>
        <w:adjustRightInd w:val="0"/>
        <w:spacing w:after="0" w:line="240" w:lineRule="auto"/>
        <w:jc w:val="both"/>
        <w:outlineLvl w:val="0"/>
        <w:rPr>
          <w:rFonts w:ascii="Cambria" w:eastAsia="Times New Roman" w:hAnsi="Cambria" w:cs="Times New Roman"/>
          <w:b/>
          <w:iCs/>
          <w:sz w:val="20"/>
          <w:szCs w:val="20"/>
        </w:rPr>
      </w:pPr>
      <w:r w:rsidRPr="00F47A8D">
        <w:rPr>
          <w:rFonts w:ascii="Cambria" w:hAnsi="Cambria"/>
          <w:b/>
          <w:iCs/>
          <w:sz w:val="20"/>
          <w:szCs w:val="20"/>
        </w:rPr>
        <w:t>TAC et limites de capture</w:t>
      </w:r>
    </w:p>
    <w:p w14:paraId="150E59F8" w14:textId="77777777" w:rsidR="00BC1B6D" w:rsidRPr="00F47A8D" w:rsidRDefault="00BC1B6D" w:rsidP="00BC1B6D">
      <w:pPr>
        <w:tabs>
          <w:tab w:val="left" w:pos="440"/>
          <w:tab w:val="left" w:pos="709"/>
          <w:tab w:val="left" w:pos="990"/>
          <w:tab w:val="left" w:pos="1418"/>
        </w:tabs>
        <w:autoSpaceDE w:val="0"/>
        <w:autoSpaceDN w:val="0"/>
        <w:adjustRightInd w:val="0"/>
        <w:spacing w:after="0" w:line="240" w:lineRule="auto"/>
        <w:jc w:val="both"/>
        <w:rPr>
          <w:rFonts w:ascii="Cambria" w:eastAsia="Times New Roman" w:hAnsi="Cambria" w:cs="Times New Roman"/>
          <w:sz w:val="20"/>
          <w:szCs w:val="20"/>
        </w:rPr>
      </w:pPr>
    </w:p>
    <w:p w14:paraId="231D5742" w14:textId="4615EF31" w:rsidR="00333E7D" w:rsidRPr="00F47A8D" w:rsidRDefault="629C9097" w:rsidP="004A10B0">
      <w:pPr>
        <w:tabs>
          <w:tab w:val="left" w:pos="7088"/>
        </w:tabs>
        <w:autoSpaceDE w:val="0"/>
        <w:autoSpaceDN w:val="0"/>
        <w:adjustRightInd w:val="0"/>
        <w:spacing w:after="0" w:line="240" w:lineRule="auto"/>
        <w:ind w:left="426" w:hanging="426"/>
        <w:jc w:val="both"/>
        <w:rPr>
          <w:rFonts w:ascii="Cambria" w:eastAsia="Times New Roman" w:hAnsi="Cambria" w:cs="Times New Roman"/>
          <w:sz w:val="20"/>
          <w:szCs w:val="20"/>
        </w:rPr>
      </w:pPr>
      <w:r w:rsidRPr="00F47A8D">
        <w:rPr>
          <w:rFonts w:ascii="Cambria" w:hAnsi="Cambria"/>
          <w:sz w:val="20"/>
          <w:szCs w:val="20"/>
        </w:rPr>
        <w:t>1.</w:t>
      </w:r>
      <w:r w:rsidRPr="00F47A8D">
        <w:rPr>
          <w:rFonts w:ascii="Cambria" w:hAnsi="Cambria"/>
          <w:sz w:val="20"/>
          <w:szCs w:val="20"/>
        </w:rPr>
        <w:tab/>
        <w:t xml:space="preserve">Les dispositions de la </w:t>
      </w:r>
      <w:r w:rsidRPr="00F47A8D">
        <w:rPr>
          <w:rFonts w:ascii="Cambria" w:hAnsi="Cambria"/>
          <w:i/>
          <w:sz w:val="20"/>
          <w:szCs w:val="20"/>
        </w:rPr>
        <w:t>Recommandation de l’ICCAT amendant la Recommandation 16-04 sur la conservation de l'espadon de l’Atlantique Sud</w:t>
      </w:r>
      <w:r w:rsidRPr="00F47A8D">
        <w:rPr>
          <w:rFonts w:ascii="Cambria" w:hAnsi="Cambria"/>
          <w:sz w:val="20"/>
          <w:szCs w:val="20"/>
        </w:rPr>
        <w:t xml:space="preserve"> (Rec. 17-03) devront être prolongées jusqu'en 2023, 2024, 2025 et 2026 avec les amendements suivants :</w:t>
      </w:r>
    </w:p>
    <w:p w14:paraId="6FDD81FF" w14:textId="21DEA21A" w:rsidR="00333E7D" w:rsidRPr="00F47A8D" w:rsidRDefault="00333E7D" w:rsidP="00333E7D">
      <w:pPr>
        <w:tabs>
          <w:tab w:val="left" w:pos="426"/>
          <w:tab w:val="left" w:pos="567"/>
          <w:tab w:val="left" w:pos="990"/>
          <w:tab w:val="left" w:pos="7088"/>
        </w:tabs>
        <w:autoSpaceDE w:val="0"/>
        <w:autoSpaceDN w:val="0"/>
        <w:adjustRightInd w:val="0"/>
        <w:spacing w:after="0" w:line="240" w:lineRule="auto"/>
        <w:jc w:val="both"/>
        <w:rPr>
          <w:rFonts w:ascii="Cambria" w:eastAsia="Times New Roman" w:hAnsi="Cambria" w:cs="Times New Roman"/>
          <w:sz w:val="20"/>
          <w:szCs w:val="20"/>
        </w:rPr>
      </w:pPr>
    </w:p>
    <w:p w14:paraId="74FD8F04" w14:textId="5083221E" w:rsidR="00333E7D" w:rsidRPr="00F47A8D" w:rsidRDefault="00333E7D" w:rsidP="00333E7D">
      <w:pPr>
        <w:pStyle w:val="ListParagraph"/>
        <w:numPr>
          <w:ilvl w:val="0"/>
          <w:numId w:val="6"/>
        </w:numPr>
        <w:tabs>
          <w:tab w:val="left" w:pos="426"/>
          <w:tab w:val="left" w:pos="567"/>
          <w:tab w:val="left" w:pos="990"/>
          <w:tab w:val="left" w:pos="7088"/>
        </w:tabs>
        <w:autoSpaceDE w:val="0"/>
        <w:autoSpaceDN w:val="0"/>
        <w:adjustRightInd w:val="0"/>
        <w:spacing w:after="0" w:line="240" w:lineRule="auto"/>
        <w:jc w:val="both"/>
        <w:rPr>
          <w:rFonts w:ascii="Cambria" w:eastAsia="Times New Roman" w:hAnsi="Cambria" w:cs="Times New Roman"/>
          <w:sz w:val="20"/>
          <w:szCs w:val="20"/>
        </w:rPr>
      </w:pPr>
      <w:r w:rsidRPr="00F47A8D">
        <w:rPr>
          <w:rFonts w:ascii="Cambria" w:hAnsi="Cambria"/>
          <w:sz w:val="20"/>
          <w:szCs w:val="20"/>
        </w:rPr>
        <w:t>Le paragraphe 1 devra être remplacé par :</w:t>
      </w:r>
    </w:p>
    <w:p w14:paraId="51C0B25D" w14:textId="7D8F78B4" w:rsidR="00333E7D" w:rsidRPr="00F47A8D" w:rsidRDefault="00333E7D" w:rsidP="00333E7D">
      <w:pPr>
        <w:tabs>
          <w:tab w:val="left" w:pos="426"/>
          <w:tab w:val="left" w:pos="567"/>
          <w:tab w:val="left" w:pos="990"/>
          <w:tab w:val="left" w:pos="7088"/>
        </w:tabs>
        <w:autoSpaceDE w:val="0"/>
        <w:autoSpaceDN w:val="0"/>
        <w:adjustRightInd w:val="0"/>
        <w:spacing w:after="0" w:line="240" w:lineRule="auto"/>
        <w:jc w:val="both"/>
        <w:rPr>
          <w:rFonts w:ascii="Cambria" w:eastAsia="Times New Roman" w:hAnsi="Cambria" w:cs="Times New Roman"/>
          <w:sz w:val="8"/>
          <w:szCs w:val="8"/>
        </w:rPr>
      </w:pPr>
    </w:p>
    <w:p w14:paraId="041685AF" w14:textId="6311799C" w:rsidR="00706E77" w:rsidRPr="00F47A8D" w:rsidRDefault="00706E77" w:rsidP="00706E77">
      <w:pPr>
        <w:tabs>
          <w:tab w:val="left" w:pos="7088"/>
        </w:tabs>
        <w:autoSpaceDE w:val="0"/>
        <w:autoSpaceDN w:val="0"/>
        <w:adjustRightInd w:val="0"/>
        <w:spacing w:after="0" w:line="240" w:lineRule="auto"/>
        <w:ind w:left="851" w:hanging="425"/>
        <w:jc w:val="both"/>
        <w:rPr>
          <w:rFonts w:ascii="Cambria" w:eastAsia="Times New Roman" w:hAnsi="Cambria" w:cs="Times New Roman"/>
          <w:b/>
          <w:bCs/>
          <w:sz w:val="20"/>
          <w:szCs w:val="20"/>
        </w:rPr>
      </w:pPr>
      <w:r w:rsidRPr="00F47A8D">
        <w:rPr>
          <w:rFonts w:ascii="Cambria" w:eastAsia="Times New Roman" w:hAnsi="Cambria" w:cs="Times New Roman"/>
          <w:b/>
          <w:bCs/>
          <w:sz w:val="20"/>
          <w:szCs w:val="20"/>
        </w:rPr>
        <w:t xml:space="preserve">« 1. </w:t>
      </w:r>
      <w:r w:rsidRPr="00F47A8D">
        <w:rPr>
          <w:rFonts w:ascii="Cambria" w:eastAsia="Times New Roman" w:hAnsi="Cambria" w:cs="Times New Roman"/>
          <w:b/>
          <w:bCs/>
          <w:sz w:val="20"/>
          <w:szCs w:val="20"/>
        </w:rPr>
        <w:tab/>
        <w:t>TAC et limites de capture</w:t>
      </w:r>
    </w:p>
    <w:p w14:paraId="4FB6509A" w14:textId="307344B8" w:rsidR="00706E77" w:rsidRPr="00F47A8D" w:rsidRDefault="00706E77" w:rsidP="00333E7D">
      <w:pPr>
        <w:tabs>
          <w:tab w:val="left" w:pos="426"/>
          <w:tab w:val="left" w:pos="567"/>
          <w:tab w:val="left" w:pos="990"/>
          <w:tab w:val="left" w:pos="7088"/>
        </w:tabs>
        <w:autoSpaceDE w:val="0"/>
        <w:autoSpaceDN w:val="0"/>
        <w:adjustRightInd w:val="0"/>
        <w:spacing w:after="0" w:line="240" w:lineRule="auto"/>
        <w:jc w:val="both"/>
        <w:rPr>
          <w:rFonts w:ascii="Cambria" w:eastAsia="Times New Roman" w:hAnsi="Cambria" w:cs="Times New Roman"/>
          <w:sz w:val="20"/>
          <w:szCs w:val="20"/>
        </w:rPr>
      </w:pPr>
    </w:p>
    <w:p w14:paraId="1C855E86" w14:textId="6AD7D7CE" w:rsidR="00706E77" w:rsidRPr="00F47A8D" w:rsidRDefault="00706E77" w:rsidP="006E6D37">
      <w:pPr>
        <w:pStyle w:val="ListParagraph"/>
        <w:numPr>
          <w:ilvl w:val="0"/>
          <w:numId w:val="7"/>
        </w:numPr>
        <w:tabs>
          <w:tab w:val="left" w:pos="7088"/>
        </w:tabs>
        <w:autoSpaceDE w:val="0"/>
        <w:autoSpaceDN w:val="0"/>
        <w:adjustRightInd w:val="0"/>
        <w:spacing w:after="0" w:line="240" w:lineRule="auto"/>
        <w:jc w:val="both"/>
        <w:rPr>
          <w:rFonts w:ascii="Cambria" w:hAnsi="Cambria"/>
          <w:sz w:val="20"/>
          <w:szCs w:val="20"/>
        </w:rPr>
      </w:pPr>
      <w:r w:rsidRPr="00F47A8D">
        <w:rPr>
          <w:rFonts w:ascii="Cambria" w:hAnsi="Cambria"/>
          <w:sz w:val="20"/>
          <w:szCs w:val="20"/>
        </w:rPr>
        <w:t>Le total admissible des captures (TAC) devra être de 10.000 t pour l'espadon de l'Atlantique Sud pour les années 2023, 2024, 2025 et 2026.</w:t>
      </w:r>
    </w:p>
    <w:p w14:paraId="54F5ADDD" w14:textId="038C7984" w:rsidR="00B538B8" w:rsidRPr="00F47A8D" w:rsidRDefault="00706E77" w:rsidP="001C5482">
      <w:pPr>
        <w:pStyle w:val="ListParagraph"/>
        <w:numPr>
          <w:ilvl w:val="0"/>
          <w:numId w:val="7"/>
        </w:numPr>
        <w:tabs>
          <w:tab w:val="left" w:pos="7088"/>
        </w:tabs>
        <w:autoSpaceDE w:val="0"/>
        <w:autoSpaceDN w:val="0"/>
        <w:adjustRightInd w:val="0"/>
        <w:spacing w:after="0" w:line="240" w:lineRule="auto"/>
        <w:jc w:val="both"/>
        <w:rPr>
          <w:rFonts w:ascii="Cambria" w:hAnsi="Cambria"/>
          <w:sz w:val="20"/>
          <w:szCs w:val="20"/>
        </w:rPr>
      </w:pPr>
      <w:r w:rsidRPr="00F47A8D">
        <w:rPr>
          <w:rFonts w:ascii="Cambria" w:hAnsi="Cambria"/>
          <w:sz w:val="20"/>
          <w:szCs w:val="20"/>
        </w:rPr>
        <w:t xml:space="preserve">Les limites de captures annuelles indiquées dans le tableau ci-dessous devront être appliquées pour les années 2023, 2024, </w:t>
      </w:r>
      <w:r w:rsidR="00F37486" w:rsidRPr="00F47A8D">
        <w:rPr>
          <w:rFonts w:ascii="Cambria" w:hAnsi="Cambria"/>
          <w:sz w:val="20"/>
          <w:szCs w:val="20"/>
        </w:rPr>
        <w:t>2025 et 2026</w:t>
      </w:r>
      <w:r w:rsidRPr="00F47A8D">
        <w:rPr>
          <w:rFonts w:ascii="Cambria" w:hAnsi="Cambria"/>
          <w:sz w:val="20"/>
          <w:szCs w:val="20"/>
        </w:rPr>
        <w:t> :</w:t>
      </w:r>
    </w:p>
    <w:p w14:paraId="68317C52" w14:textId="77777777" w:rsidR="00B538B8" w:rsidRPr="00F47A8D" w:rsidRDefault="00B538B8" w:rsidP="00F37486">
      <w:pPr>
        <w:tabs>
          <w:tab w:val="left" w:pos="426"/>
          <w:tab w:val="left" w:pos="567"/>
          <w:tab w:val="left" w:pos="990"/>
          <w:tab w:val="left" w:pos="7088"/>
        </w:tabs>
        <w:autoSpaceDE w:val="0"/>
        <w:autoSpaceDN w:val="0"/>
        <w:adjustRightInd w:val="0"/>
        <w:spacing w:after="0" w:line="240" w:lineRule="auto"/>
        <w:ind w:left="720" w:hanging="720"/>
        <w:jc w:val="both"/>
        <w:rPr>
          <w:rFonts w:ascii="Cambria" w:eastAsia="Times New Roman" w:hAnsi="Cambria" w:cs="Times New Roman"/>
          <w:sz w:val="8"/>
          <w:szCs w:val="8"/>
        </w:rPr>
      </w:pPr>
    </w:p>
    <w:tbl>
      <w:tblPr>
        <w:tblStyle w:val="TableauNorm12"/>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2530"/>
      </w:tblGrid>
      <w:tr w:rsidR="00C622C6" w:rsidRPr="00F47A8D" w14:paraId="61984EDD" w14:textId="77777777" w:rsidTr="00C622C6">
        <w:trPr>
          <w:trHeight w:val="284"/>
          <w:jc w:val="center"/>
        </w:trPr>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456F1" w14:textId="05941FC2" w:rsidR="00C622C6" w:rsidRPr="00F47A8D" w:rsidRDefault="00C622C6" w:rsidP="00C622C6">
            <w:pPr>
              <w:tabs>
                <w:tab w:val="left" w:pos="440"/>
                <w:tab w:val="left" w:pos="660"/>
                <w:tab w:val="left" w:pos="990"/>
              </w:tabs>
              <w:autoSpaceDE w:val="0"/>
              <w:autoSpaceDN w:val="0"/>
              <w:adjustRightInd w:val="0"/>
              <w:jc w:val="center"/>
              <w:rPr>
                <w:rFonts w:ascii="Cambria" w:hAnsi="Cambria"/>
                <w:sz w:val="20"/>
                <w:szCs w:val="20"/>
              </w:rPr>
            </w:pPr>
            <w:r w:rsidRPr="00F47A8D">
              <w:rPr>
                <w:rFonts w:ascii="Cambria" w:hAnsi="Cambria"/>
                <w:sz w:val="20"/>
                <w:szCs w:val="20"/>
              </w:rPr>
              <w:t>TAC : 10.000 t</w:t>
            </w:r>
          </w:p>
        </w:tc>
      </w:tr>
      <w:tr w:rsidR="00C622C6" w:rsidRPr="00F47A8D" w14:paraId="60F10FDD" w14:textId="77777777" w:rsidTr="00806E04">
        <w:trPr>
          <w:trHeight w:val="284"/>
          <w:jc w:val="center"/>
        </w:trPr>
        <w:tc>
          <w:tcPr>
            <w:tcW w:w="2568" w:type="dxa"/>
            <w:tcBorders>
              <w:top w:val="single" w:sz="4" w:space="0" w:color="auto"/>
              <w:left w:val="single" w:sz="4" w:space="0" w:color="auto"/>
              <w:bottom w:val="single" w:sz="4" w:space="0" w:color="auto"/>
              <w:right w:val="single" w:sz="4" w:space="0" w:color="auto"/>
            </w:tcBorders>
            <w:shd w:val="clear" w:color="auto" w:fill="auto"/>
            <w:vAlign w:val="center"/>
          </w:tcPr>
          <w:p w14:paraId="6C34839F" w14:textId="0BE1189F"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
                <w:iCs/>
                <w:sz w:val="20"/>
                <w:szCs w:val="20"/>
              </w:rPr>
            </w:pPr>
            <w:r w:rsidRPr="00F47A8D">
              <w:rPr>
                <w:rFonts w:ascii="Cambria" w:eastAsia="Times New Roman" w:hAnsi="Cambria"/>
                <w:bCs/>
                <w:i/>
                <w:iCs/>
                <w:sz w:val="20"/>
                <w:szCs w:val="20"/>
              </w:rPr>
              <w:t>CPC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AA4A4C" w14:textId="7957E12B" w:rsidR="00C622C6" w:rsidRPr="00F47A8D" w:rsidRDefault="00C622C6" w:rsidP="00C622C6">
            <w:pPr>
              <w:tabs>
                <w:tab w:val="left" w:pos="440"/>
                <w:tab w:val="left" w:pos="660"/>
                <w:tab w:val="left" w:pos="990"/>
              </w:tabs>
              <w:autoSpaceDE w:val="0"/>
              <w:autoSpaceDN w:val="0"/>
              <w:adjustRightInd w:val="0"/>
              <w:jc w:val="right"/>
              <w:rPr>
                <w:rFonts w:ascii="Cambria" w:eastAsia="Times New Roman" w:hAnsi="Cambria"/>
                <w:bCs/>
                <w:i/>
                <w:iCs/>
                <w:sz w:val="20"/>
                <w:szCs w:val="20"/>
              </w:rPr>
            </w:pPr>
            <w:r w:rsidRPr="00F47A8D">
              <w:rPr>
                <w:rFonts w:ascii="Cambria" w:hAnsi="Cambria"/>
                <w:i/>
                <w:sz w:val="20"/>
                <w:szCs w:val="20"/>
              </w:rPr>
              <w:t>Limite de capture (Unité : t)</w:t>
            </w:r>
          </w:p>
        </w:tc>
      </w:tr>
      <w:tr w:rsidR="00C622C6" w:rsidRPr="00F47A8D" w14:paraId="06CF6A5A" w14:textId="77777777" w:rsidTr="00806E04">
        <w:trPr>
          <w:jc w:val="center"/>
        </w:trPr>
        <w:tc>
          <w:tcPr>
            <w:tcW w:w="25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0743D5" w14:textId="1247DE13"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 xml:space="preserve">Brésil </w:t>
            </w:r>
            <w:r w:rsidRPr="00F47A8D">
              <w:rPr>
                <w:rFonts w:ascii="Cambria" w:hAnsi="Cambria"/>
                <w:bCs/>
                <w:iCs/>
                <w:sz w:val="20"/>
                <w:szCs w:val="20"/>
                <w:vertAlign w:val="superscrip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6FC229ED" w14:textId="77777777"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3.940</w:t>
            </w:r>
          </w:p>
        </w:tc>
      </w:tr>
      <w:tr w:rsidR="00C622C6" w:rsidRPr="00F47A8D" w14:paraId="05683ED6" w14:textId="77777777" w:rsidTr="00806E04">
        <w:trPr>
          <w:trHeight w:val="210"/>
          <w:jc w:val="center"/>
        </w:trPr>
        <w:tc>
          <w:tcPr>
            <w:tcW w:w="25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2FBEE8" w14:textId="3CFA2432"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Union européenne</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68BBBDAB" w14:textId="77777777"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4.824</w:t>
            </w:r>
          </w:p>
        </w:tc>
      </w:tr>
      <w:tr w:rsidR="00C622C6" w:rsidRPr="00F47A8D" w14:paraId="702CA5D5" w14:textId="77777777" w:rsidTr="00806E04">
        <w:trPr>
          <w:trHeight w:val="123"/>
          <w:jc w:val="center"/>
        </w:trPr>
        <w:tc>
          <w:tcPr>
            <w:tcW w:w="25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3F58EF" w14:textId="77777777"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Afrique du Sud</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18437D5A" w14:textId="77777777"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1.001</w:t>
            </w:r>
          </w:p>
        </w:tc>
      </w:tr>
      <w:tr w:rsidR="00C622C6" w:rsidRPr="00F47A8D" w14:paraId="5B5E6BAC" w14:textId="77777777" w:rsidTr="00806E04">
        <w:trPr>
          <w:trHeight w:val="180"/>
          <w:jc w:val="center"/>
        </w:trPr>
        <w:tc>
          <w:tcPr>
            <w:tcW w:w="25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E2C8CC" w14:textId="77777777"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Namibie</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463E3405" w14:textId="77777777"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1.168</w:t>
            </w:r>
          </w:p>
        </w:tc>
      </w:tr>
      <w:tr w:rsidR="00C622C6" w:rsidRPr="00F47A8D" w14:paraId="4B1DBF38" w14:textId="77777777" w:rsidTr="00806E04">
        <w:trPr>
          <w:trHeight w:val="256"/>
          <w:jc w:val="center"/>
        </w:trPr>
        <w:tc>
          <w:tcPr>
            <w:tcW w:w="25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5586BE" w14:textId="77777777"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Uruguay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7C1EF805" w14:textId="77777777"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1.252</w:t>
            </w:r>
          </w:p>
        </w:tc>
      </w:tr>
      <w:tr w:rsidR="00C622C6" w:rsidRPr="00F47A8D" w14:paraId="22F9A896" w14:textId="77777777" w:rsidTr="00806E04">
        <w:trPr>
          <w:trHeight w:val="195"/>
          <w:jc w:val="center"/>
        </w:trPr>
        <w:tc>
          <w:tcPr>
            <w:tcW w:w="25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3D944B" w14:textId="4D82BAE1"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 xml:space="preserve">États-Unis </w:t>
            </w:r>
            <w:r w:rsidRPr="00F47A8D">
              <w:rPr>
                <w:rFonts w:ascii="Cambria" w:hAnsi="Cambria"/>
                <w:bCs/>
                <w:iCs/>
                <w:sz w:val="20"/>
                <w:szCs w:val="20"/>
                <w:vertAlign w:val="super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086EEFFE" w14:textId="77777777"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100</w:t>
            </w:r>
          </w:p>
        </w:tc>
      </w:tr>
      <w:tr w:rsidR="00C622C6" w:rsidRPr="00F47A8D" w14:paraId="5405BD9C" w14:textId="77777777" w:rsidTr="00806E04">
        <w:trPr>
          <w:trHeight w:val="225"/>
          <w:jc w:val="center"/>
        </w:trPr>
        <w:tc>
          <w:tcPr>
            <w:tcW w:w="25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C536A4" w14:textId="2D0A963F"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Côte d’Ivoire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4ECE1B9A" w14:textId="77777777"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125</w:t>
            </w:r>
          </w:p>
        </w:tc>
      </w:tr>
      <w:tr w:rsidR="00C622C6" w:rsidRPr="00F47A8D" w14:paraId="1FB965C2" w14:textId="77777777" w:rsidTr="00806E04">
        <w:trPr>
          <w:trHeight w:val="135"/>
          <w:jc w:val="center"/>
        </w:trPr>
        <w:tc>
          <w:tcPr>
            <w:tcW w:w="25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47DB44" w14:textId="77777777"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Chine</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0EB3B87E" w14:textId="77777777"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313</w:t>
            </w:r>
          </w:p>
        </w:tc>
      </w:tr>
      <w:tr w:rsidR="00C622C6" w:rsidRPr="00F47A8D" w14:paraId="14170994" w14:textId="77777777" w:rsidTr="00806E04">
        <w:trPr>
          <w:trHeight w:val="232"/>
          <w:jc w:val="center"/>
        </w:trPr>
        <w:tc>
          <w:tcPr>
            <w:tcW w:w="25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818EDB" w14:textId="2ED407B9"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 xml:space="preserve">Taipei chinois </w:t>
            </w:r>
            <w:r w:rsidRPr="00F47A8D">
              <w:rPr>
                <w:rFonts w:ascii="Cambria" w:hAnsi="Cambria"/>
                <w:bCs/>
                <w:iCs/>
                <w:sz w:val="20"/>
                <w:szCs w:val="20"/>
                <w:vertAlign w:val="super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5352370F" w14:textId="77777777"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459</w:t>
            </w:r>
          </w:p>
        </w:tc>
      </w:tr>
      <w:tr w:rsidR="00C622C6" w:rsidRPr="00F47A8D" w14:paraId="1BD7A40D" w14:textId="77777777" w:rsidTr="00806E04">
        <w:trPr>
          <w:trHeight w:val="225"/>
          <w:jc w:val="center"/>
        </w:trPr>
        <w:tc>
          <w:tcPr>
            <w:tcW w:w="2568" w:type="dxa"/>
            <w:tcBorders>
              <w:top w:val="single" w:sz="4" w:space="0" w:color="auto"/>
              <w:left w:val="single" w:sz="4" w:space="0" w:color="auto"/>
              <w:bottom w:val="single" w:sz="4" w:space="0" w:color="auto"/>
              <w:right w:val="single" w:sz="4" w:space="0" w:color="auto"/>
            </w:tcBorders>
            <w:vAlign w:val="bottom"/>
            <w:hideMark/>
          </w:tcPr>
          <w:p w14:paraId="52D71F0C" w14:textId="4DFDC566"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Royaume-Uni</w:t>
            </w:r>
          </w:p>
        </w:tc>
        <w:tc>
          <w:tcPr>
            <w:tcW w:w="0" w:type="auto"/>
            <w:tcBorders>
              <w:top w:val="single" w:sz="4" w:space="0" w:color="auto"/>
              <w:left w:val="single" w:sz="4" w:space="0" w:color="auto"/>
              <w:bottom w:val="single" w:sz="4" w:space="0" w:color="auto"/>
              <w:right w:val="single" w:sz="4" w:space="0" w:color="auto"/>
            </w:tcBorders>
            <w:vAlign w:val="bottom"/>
            <w:hideMark/>
          </w:tcPr>
          <w:p w14:paraId="21CEF69D" w14:textId="77777777"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25</w:t>
            </w:r>
          </w:p>
        </w:tc>
      </w:tr>
      <w:tr w:rsidR="00C622C6" w:rsidRPr="00F47A8D" w14:paraId="246ACD63" w14:textId="77777777" w:rsidTr="00806E04">
        <w:trPr>
          <w:trHeight w:val="270"/>
          <w:jc w:val="center"/>
        </w:trPr>
        <w:tc>
          <w:tcPr>
            <w:tcW w:w="2568" w:type="dxa"/>
            <w:tcBorders>
              <w:top w:val="single" w:sz="4" w:space="0" w:color="auto"/>
              <w:left w:val="single" w:sz="4" w:space="0" w:color="auto"/>
              <w:bottom w:val="single" w:sz="4" w:space="0" w:color="auto"/>
              <w:right w:val="single" w:sz="4" w:space="0" w:color="auto"/>
            </w:tcBorders>
            <w:vAlign w:val="bottom"/>
            <w:hideMark/>
          </w:tcPr>
          <w:p w14:paraId="3ABD5759" w14:textId="17391C8D"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 xml:space="preserve">Japon </w:t>
            </w:r>
            <w:r w:rsidRPr="00F47A8D">
              <w:rPr>
                <w:rFonts w:ascii="Cambria" w:hAnsi="Cambria"/>
                <w:bCs/>
                <w:iCs/>
                <w:sz w:val="20"/>
                <w:szCs w:val="20"/>
                <w:vertAlign w:val="superscript"/>
              </w:rPr>
              <w:t>2</w:t>
            </w:r>
          </w:p>
        </w:tc>
        <w:tc>
          <w:tcPr>
            <w:tcW w:w="0" w:type="auto"/>
            <w:tcBorders>
              <w:top w:val="single" w:sz="4" w:space="0" w:color="auto"/>
              <w:left w:val="single" w:sz="4" w:space="0" w:color="auto"/>
              <w:bottom w:val="single" w:sz="4" w:space="0" w:color="auto"/>
              <w:right w:val="single" w:sz="4" w:space="0" w:color="auto"/>
            </w:tcBorders>
            <w:vAlign w:val="bottom"/>
            <w:hideMark/>
          </w:tcPr>
          <w:p w14:paraId="0CCCB5E5" w14:textId="77777777"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901</w:t>
            </w:r>
          </w:p>
        </w:tc>
      </w:tr>
      <w:tr w:rsidR="00C622C6" w:rsidRPr="00F47A8D" w14:paraId="3A55F4D3" w14:textId="77777777" w:rsidTr="00806E04">
        <w:trPr>
          <w:trHeight w:val="175"/>
          <w:jc w:val="center"/>
        </w:trPr>
        <w:tc>
          <w:tcPr>
            <w:tcW w:w="2568" w:type="dxa"/>
            <w:tcBorders>
              <w:top w:val="single" w:sz="4" w:space="0" w:color="auto"/>
              <w:left w:val="single" w:sz="4" w:space="0" w:color="auto"/>
              <w:bottom w:val="single" w:sz="4" w:space="0" w:color="auto"/>
              <w:right w:val="single" w:sz="4" w:space="0" w:color="auto"/>
            </w:tcBorders>
            <w:vAlign w:val="bottom"/>
            <w:hideMark/>
          </w:tcPr>
          <w:p w14:paraId="30561579" w14:textId="77777777"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Angola</w:t>
            </w:r>
          </w:p>
        </w:tc>
        <w:tc>
          <w:tcPr>
            <w:tcW w:w="0" w:type="auto"/>
            <w:tcBorders>
              <w:top w:val="single" w:sz="4" w:space="0" w:color="auto"/>
              <w:left w:val="single" w:sz="4" w:space="0" w:color="auto"/>
              <w:bottom w:val="single" w:sz="4" w:space="0" w:color="auto"/>
              <w:right w:val="single" w:sz="4" w:space="0" w:color="auto"/>
            </w:tcBorders>
            <w:vAlign w:val="bottom"/>
            <w:hideMark/>
          </w:tcPr>
          <w:p w14:paraId="718299DF" w14:textId="77777777"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100</w:t>
            </w:r>
          </w:p>
        </w:tc>
      </w:tr>
      <w:tr w:rsidR="00C622C6" w:rsidRPr="00F47A8D" w14:paraId="6451FFBE" w14:textId="77777777" w:rsidTr="00806E04">
        <w:trPr>
          <w:trHeight w:val="266"/>
          <w:jc w:val="center"/>
        </w:trPr>
        <w:tc>
          <w:tcPr>
            <w:tcW w:w="2568" w:type="dxa"/>
            <w:tcBorders>
              <w:top w:val="single" w:sz="4" w:space="0" w:color="auto"/>
              <w:left w:val="single" w:sz="4" w:space="0" w:color="auto"/>
              <w:bottom w:val="single" w:sz="4" w:space="0" w:color="auto"/>
              <w:right w:val="single" w:sz="4" w:space="0" w:color="auto"/>
            </w:tcBorders>
            <w:vAlign w:val="bottom"/>
            <w:hideMark/>
          </w:tcPr>
          <w:p w14:paraId="0E9E2363" w14:textId="77777777"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Ghana</w:t>
            </w:r>
          </w:p>
        </w:tc>
        <w:tc>
          <w:tcPr>
            <w:tcW w:w="0" w:type="auto"/>
            <w:tcBorders>
              <w:top w:val="single" w:sz="4" w:space="0" w:color="auto"/>
              <w:left w:val="single" w:sz="4" w:space="0" w:color="auto"/>
              <w:bottom w:val="single" w:sz="4" w:space="0" w:color="auto"/>
              <w:right w:val="single" w:sz="4" w:space="0" w:color="auto"/>
            </w:tcBorders>
            <w:vAlign w:val="bottom"/>
            <w:hideMark/>
          </w:tcPr>
          <w:p w14:paraId="63C0538C" w14:textId="77777777"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100</w:t>
            </w:r>
          </w:p>
        </w:tc>
      </w:tr>
      <w:tr w:rsidR="00C622C6" w:rsidRPr="00F47A8D" w14:paraId="630CE90B" w14:textId="77777777" w:rsidTr="00806E04">
        <w:trPr>
          <w:trHeight w:val="223"/>
          <w:jc w:val="center"/>
        </w:trPr>
        <w:tc>
          <w:tcPr>
            <w:tcW w:w="2568" w:type="dxa"/>
            <w:tcBorders>
              <w:top w:val="single" w:sz="4" w:space="0" w:color="auto"/>
              <w:left w:val="single" w:sz="4" w:space="0" w:color="auto"/>
              <w:bottom w:val="single" w:sz="4" w:space="0" w:color="auto"/>
              <w:right w:val="single" w:sz="4" w:space="0" w:color="auto"/>
            </w:tcBorders>
            <w:vAlign w:val="bottom"/>
            <w:hideMark/>
          </w:tcPr>
          <w:p w14:paraId="38CD0CB7" w14:textId="22B667B5" w:rsidR="00C622C6" w:rsidRPr="00F47A8D" w:rsidRDefault="00F47A8D"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Sao-Tomé-Et-Principe</w:t>
            </w:r>
          </w:p>
        </w:tc>
        <w:tc>
          <w:tcPr>
            <w:tcW w:w="0" w:type="auto"/>
            <w:tcBorders>
              <w:top w:val="single" w:sz="4" w:space="0" w:color="auto"/>
              <w:left w:val="single" w:sz="4" w:space="0" w:color="auto"/>
              <w:bottom w:val="single" w:sz="4" w:space="0" w:color="auto"/>
              <w:right w:val="single" w:sz="4" w:space="0" w:color="auto"/>
            </w:tcBorders>
            <w:vAlign w:val="bottom"/>
            <w:hideMark/>
          </w:tcPr>
          <w:p w14:paraId="2D6DA984" w14:textId="77777777"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100</w:t>
            </w:r>
          </w:p>
        </w:tc>
      </w:tr>
      <w:tr w:rsidR="00C622C6" w:rsidRPr="00F47A8D" w14:paraId="72B59511" w14:textId="77777777" w:rsidTr="00806E04">
        <w:trPr>
          <w:trHeight w:val="240"/>
          <w:jc w:val="center"/>
        </w:trPr>
        <w:tc>
          <w:tcPr>
            <w:tcW w:w="2568" w:type="dxa"/>
            <w:tcBorders>
              <w:top w:val="single" w:sz="4" w:space="0" w:color="auto"/>
              <w:left w:val="single" w:sz="4" w:space="0" w:color="auto"/>
              <w:bottom w:val="single" w:sz="4" w:space="0" w:color="auto"/>
              <w:right w:val="single" w:sz="4" w:space="0" w:color="auto"/>
            </w:tcBorders>
            <w:vAlign w:val="bottom"/>
            <w:hideMark/>
          </w:tcPr>
          <w:p w14:paraId="01553EC4" w14:textId="77777777"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Sénégal</w:t>
            </w:r>
          </w:p>
        </w:tc>
        <w:tc>
          <w:tcPr>
            <w:tcW w:w="0" w:type="auto"/>
            <w:tcBorders>
              <w:top w:val="single" w:sz="4" w:space="0" w:color="auto"/>
              <w:left w:val="single" w:sz="4" w:space="0" w:color="auto"/>
              <w:bottom w:val="single" w:sz="4" w:space="0" w:color="auto"/>
              <w:right w:val="single" w:sz="4" w:space="0" w:color="auto"/>
            </w:tcBorders>
            <w:vAlign w:val="bottom"/>
            <w:hideMark/>
          </w:tcPr>
          <w:p w14:paraId="3E558AAB" w14:textId="77777777"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sz w:val="20"/>
                <w:szCs w:val="20"/>
              </w:rPr>
            </w:pPr>
            <w:r w:rsidRPr="00F47A8D">
              <w:rPr>
                <w:rFonts w:ascii="Cambria" w:hAnsi="Cambria"/>
                <w:sz w:val="20"/>
                <w:szCs w:val="20"/>
              </w:rPr>
              <w:t>417</w:t>
            </w:r>
          </w:p>
        </w:tc>
      </w:tr>
      <w:tr w:rsidR="00C622C6" w:rsidRPr="00F47A8D" w14:paraId="41FECDE5" w14:textId="77777777" w:rsidTr="00806E04">
        <w:trPr>
          <w:trHeight w:val="122"/>
          <w:jc w:val="center"/>
        </w:trPr>
        <w:tc>
          <w:tcPr>
            <w:tcW w:w="2568" w:type="dxa"/>
            <w:tcBorders>
              <w:top w:val="single" w:sz="4" w:space="0" w:color="auto"/>
              <w:left w:val="single" w:sz="4" w:space="0" w:color="auto"/>
              <w:bottom w:val="single" w:sz="4" w:space="0" w:color="auto"/>
              <w:right w:val="single" w:sz="4" w:space="0" w:color="auto"/>
            </w:tcBorders>
            <w:vAlign w:val="bottom"/>
            <w:hideMark/>
          </w:tcPr>
          <w:p w14:paraId="3B249567" w14:textId="77777777"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Corée</w:t>
            </w:r>
          </w:p>
        </w:tc>
        <w:tc>
          <w:tcPr>
            <w:tcW w:w="0" w:type="auto"/>
            <w:tcBorders>
              <w:top w:val="single" w:sz="4" w:space="0" w:color="auto"/>
              <w:left w:val="single" w:sz="4" w:space="0" w:color="auto"/>
              <w:bottom w:val="single" w:sz="4" w:space="0" w:color="auto"/>
              <w:right w:val="single" w:sz="4" w:space="0" w:color="auto"/>
            </w:tcBorders>
            <w:vAlign w:val="bottom"/>
            <w:hideMark/>
          </w:tcPr>
          <w:p w14:paraId="05845D60" w14:textId="77777777"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50</w:t>
            </w:r>
          </w:p>
        </w:tc>
      </w:tr>
      <w:tr w:rsidR="00C622C6" w:rsidRPr="00F47A8D" w14:paraId="0D5EE91E" w14:textId="77777777" w:rsidTr="00806E04">
        <w:trPr>
          <w:trHeight w:val="213"/>
          <w:jc w:val="center"/>
        </w:trPr>
        <w:tc>
          <w:tcPr>
            <w:tcW w:w="2568" w:type="dxa"/>
            <w:tcBorders>
              <w:top w:val="single" w:sz="4" w:space="0" w:color="auto"/>
              <w:left w:val="single" w:sz="4" w:space="0" w:color="auto"/>
              <w:bottom w:val="single" w:sz="4" w:space="0" w:color="auto"/>
              <w:right w:val="single" w:sz="4" w:space="0" w:color="auto"/>
            </w:tcBorders>
            <w:vAlign w:val="bottom"/>
            <w:hideMark/>
          </w:tcPr>
          <w:p w14:paraId="672D8F7F" w14:textId="77777777"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Belize</w:t>
            </w:r>
          </w:p>
        </w:tc>
        <w:tc>
          <w:tcPr>
            <w:tcW w:w="0" w:type="auto"/>
            <w:tcBorders>
              <w:top w:val="single" w:sz="4" w:space="0" w:color="auto"/>
              <w:left w:val="single" w:sz="4" w:space="0" w:color="auto"/>
              <w:bottom w:val="single" w:sz="4" w:space="0" w:color="auto"/>
              <w:right w:val="single" w:sz="4" w:space="0" w:color="auto"/>
            </w:tcBorders>
            <w:vAlign w:val="bottom"/>
            <w:hideMark/>
          </w:tcPr>
          <w:p w14:paraId="59E6FC03" w14:textId="77777777" w:rsidR="00C622C6" w:rsidRPr="00F47A8D" w:rsidRDefault="00C622C6" w:rsidP="00C622C6">
            <w:pPr>
              <w:tabs>
                <w:tab w:val="left" w:pos="440"/>
                <w:tab w:val="left" w:pos="660"/>
                <w:tab w:val="left" w:pos="990"/>
              </w:tabs>
              <w:autoSpaceDE w:val="0"/>
              <w:autoSpaceDN w:val="0"/>
              <w:adjustRightInd w:val="0"/>
              <w:jc w:val="center"/>
              <w:rPr>
                <w:rFonts w:ascii="Cambria" w:eastAsia="Times New Roman" w:hAnsi="Cambria"/>
                <w:bCs/>
                <w:iCs/>
                <w:sz w:val="20"/>
                <w:szCs w:val="20"/>
              </w:rPr>
            </w:pPr>
            <w:r w:rsidRPr="00F47A8D">
              <w:rPr>
                <w:rFonts w:ascii="Cambria" w:hAnsi="Cambria"/>
                <w:bCs/>
                <w:iCs/>
                <w:sz w:val="20"/>
                <w:szCs w:val="20"/>
              </w:rPr>
              <w:t>125</w:t>
            </w:r>
          </w:p>
        </w:tc>
      </w:tr>
    </w:tbl>
    <w:p w14:paraId="55A5E038" w14:textId="60340E7A" w:rsidR="00BC1B6D" w:rsidRPr="00F47A8D" w:rsidRDefault="00706E77" w:rsidP="00BC1B6D">
      <w:pPr>
        <w:tabs>
          <w:tab w:val="left" w:pos="567"/>
          <w:tab w:val="left" w:pos="990"/>
          <w:tab w:val="left" w:pos="1134"/>
        </w:tabs>
        <w:autoSpaceDE w:val="0"/>
        <w:autoSpaceDN w:val="0"/>
        <w:adjustRightInd w:val="0"/>
        <w:spacing w:after="0" w:line="240" w:lineRule="auto"/>
        <w:ind w:left="987" w:right="567" w:hanging="278"/>
        <w:jc w:val="both"/>
        <w:rPr>
          <w:rFonts w:ascii="Cambria" w:eastAsia="Times New Roman" w:hAnsi="Cambria" w:cs="Times New Roman"/>
          <w:sz w:val="18"/>
          <w:szCs w:val="18"/>
        </w:rPr>
      </w:pPr>
      <w:r w:rsidRPr="00F47A8D">
        <w:rPr>
          <w:rFonts w:ascii="Cambria" w:hAnsi="Cambria"/>
          <w:sz w:val="18"/>
          <w:szCs w:val="18"/>
        </w:rPr>
        <w:lastRenderedPageBreak/>
        <w:t>1</w:t>
      </w:r>
      <w:r w:rsidR="00BC1B6D" w:rsidRPr="00F47A8D">
        <w:rPr>
          <w:rFonts w:ascii="Cambria" w:hAnsi="Cambria"/>
          <w:sz w:val="18"/>
          <w:szCs w:val="18"/>
        </w:rPr>
        <w:t>)</w:t>
      </w:r>
      <w:r w:rsidR="00BC1B6D" w:rsidRPr="00F47A8D">
        <w:rPr>
          <w:rFonts w:ascii="Cambria" w:hAnsi="Cambria"/>
          <w:sz w:val="18"/>
          <w:szCs w:val="18"/>
        </w:rPr>
        <w:tab/>
        <w:t>Le Brésil pourrait capturer jusqu’à 200 t de sa limite de capture annuelle dans la zone comprise entre 5º de latitude Nord et 15º de latitude Nord.</w:t>
      </w:r>
    </w:p>
    <w:p w14:paraId="54C51CA8" w14:textId="14A32CB8" w:rsidR="006B7149" w:rsidRPr="00F47A8D" w:rsidRDefault="00706E77" w:rsidP="008A543D">
      <w:pPr>
        <w:tabs>
          <w:tab w:val="left" w:pos="567"/>
          <w:tab w:val="left" w:pos="990"/>
          <w:tab w:val="left" w:pos="1134"/>
        </w:tabs>
        <w:autoSpaceDE w:val="0"/>
        <w:autoSpaceDN w:val="0"/>
        <w:adjustRightInd w:val="0"/>
        <w:spacing w:after="0" w:line="240" w:lineRule="auto"/>
        <w:ind w:left="987" w:right="566" w:hanging="278"/>
        <w:jc w:val="both"/>
        <w:rPr>
          <w:rFonts w:ascii="Cambria" w:eastAsia="Times New Roman" w:hAnsi="Cambria" w:cs="Times New Roman"/>
          <w:sz w:val="18"/>
          <w:szCs w:val="18"/>
        </w:rPr>
      </w:pPr>
      <w:r w:rsidRPr="00F47A8D">
        <w:rPr>
          <w:rFonts w:ascii="Cambria" w:hAnsi="Cambria"/>
          <w:sz w:val="18"/>
          <w:szCs w:val="18"/>
        </w:rPr>
        <w:t>2</w:t>
      </w:r>
      <w:r w:rsidR="00BC1B6D" w:rsidRPr="00F47A8D">
        <w:rPr>
          <w:rFonts w:ascii="Cambria" w:hAnsi="Cambria"/>
          <w:sz w:val="18"/>
          <w:szCs w:val="18"/>
        </w:rPr>
        <w:t>)</w:t>
      </w:r>
      <w:r w:rsidR="00BC1B6D" w:rsidRPr="00F47A8D">
        <w:rPr>
          <w:rFonts w:ascii="Cambria" w:hAnsi="Cambria"/>
          <w:sz w:val="18"/>
          <w:szCs w:val="18"/>
        </w:rPr>
        <w:tab/>
      </w:r>
      <w:r w:rsidR="008A543D" w:rsidRPr="00F47A8D">
        <w:rPr>
          <w:rFonts w:ascii="Cambria" w:hAnsi="Cambria"/>
          <w:sz w:val="18"/>
          <w:szCs w:val="18"/>
        </w:rPr>
        <w:t xml:space="preserve">Le Japon, les États-Unis et le Taipei chinois pourraient reporter leurs parties non utilisées </w:t>
      </w:r>
      <w:r w:rsidR="009A71D2" w:rsidRPr="00F47A8D">
        <w:rPr>
          <w:rFonts w:ascii="Cambria" w:hAnsi="Cambria"/>
          <w:sz w:val="18"/>
          <w:szCs w:val="18"/>
        </w:rPr>
        <w:t xml:space="preserve">de leurs limites de capture respectives spécifiées dans ce tableau </w:t>
      </w:r>
      <w:r w:rsidR="008A543D" w:rsidRPr="00F47A8D">
        <w:rPr>
          <w:rFonts w:ascii="Cambria" w:hAnsi="Cambria"/>
          <w:sz w:val="18"/>
          <w:szCs w:val="18"/>
        </w:rPr>
        <w:t xml:space="preserve">en 2023-2026, mais ces quantités reportées chaque année ne devront pas dépasser </w:t>
      </w:r>
      <w:r w:rsidR="00A77BAF" w:rsidRPr="00F47A8D">
        <w:rPr>
          <w:rFonts w:ascii="Cambria" w:hAnsi="Cambria"/>
          <w:sz w:val="18"/>
          <w:szCs w:val="18"/>
        </w:rPr>
        <w:t>600 t, 100 t et 300 t respectivement.</w:t>
      </w:r>
    </w:p>
    <w:p w14:paraId="47C5C0EF" w14:textId="08877E13" w:rsidR="00A77BAF" w:rsidRPr="00F47A8D" w:rsidRDefault="00A77BAF" w:rsidP="00BC1B6D">
      <w:pPr>
        <w:tabs>
          <w:tab w:val="left" w:pos="2268"/>
        </w:tabs>
        <w:autoSpaceDE w:val="0"/>
        <w:autoSpaceDN w:val="0"/>
        <w:adjustRightInd w:val="0"/>
        <w:spacing w:after="0" w:line="240" w:lineRule="auto"/>
        <w:ind w:left="709" w:right="992"/>
        <w:rPr>
          <w:rFonts w:ascii="Cambria" w:eastAsia="Times New Roman" w:hAnsi="Cambria" w:cs="Times New Roman"/>
          <w:sz w:val="20"/>
          <w:szCs w:val="20"/>
        </w:rPr>
      </w:pPr>
    </w:p>
    <w:p w14:paraId="2E82DC9D" w14:textId="73D80F57" w:rsidR="00BC1B6D" w:rsidRPr="00F47A8D" w:rsidRDefault="00D22CEC" w:rsidP="00A77BAF">
      <w:pPr>
        <w:tabs>
          <w:tab w:val="left" w:pos="2268"/>
        </w:tabs>
        <w:autoSpaceDE w:val="0"/>
        <w:autoSpaceDN w:val="0"/>
        <w:adjustRightInd w:val="0"/>
        <w:spacing w:after="0" w:line="240" w:lineRule="auto"/>
        <w:ind w:left="426" w:right="992"/>
        <w:rPr>
          <w:rFonts w:ascii="Cambria" w:eastAsia="Times New Roman" w:hAnsi="Cambria" w:cs="Times New Roman"/>
          <w:sz w:val="20"/>
          <w:szCs w:val="20"/>
        </w:rPr>
      </w:pPr>
      <w:r w:rsidRPr="00F47A8D">
        <w:rPr>
          <w:rFonts w:ascii="Cambria" w:hAnsi="Cambria"/>
          <w:sz w:val="20"/>
          <w:szCs w:val="20"/>
        </w:rPr>
        <w:t>Les transferts devront être autorisés conformément aux dispositions du paragraphe 5.</w:t>
      </w:r>
    </w:p>
    <w:p w14:paraId="5B323BD7" w14:textId="7DF62002" w:rsidR="00333E7D" w:rsidRPr="00F47A8D" w:rsidRDefault="00333E7D" w:rsidP="00BC1B6D">
      <w:pPr>
        <w:tabs>
          <w:tab w:val="left" w:pos="2268"/>
        </w:tabs>
        <w:autoSpaceDE w:val="0"/>
        <w:autoSpaceDN w:val="0"/>
        <w:adjustRightInd w:val="0"/>
        <w:spacing w:after="0" w:line="240" w:lineRule="auto"/>
        <w:ind w:left="426" w:right="992"/>
        <w:rPr>
          <w:rFonts w:ascii="Cambria" w:eastAsia="Times New Roman" w:hAnsi="Cambria" w:cs="Times New Roman"/>
          <w:sz w:val="20"/>
          <w:szCs w:val="20"/>
        </w:rPr>
      </w:pPr>
    </w:p>
    <w:p w14:paraId="088870D0" w14:textId="3B4EA50B" w:rsidR="002144A0" w:rsidRPr="00F47A8D" w:rsidRDefault="00A77BAF" w:rsidP="00A77BAF">
      <w:pPr>
        <w:tabs>
          <w:tab w:val="left" w:pos="7088"/>
        </w:tabs>
        <w:autoSpaceDE w:val="0"/>
        <w:autoSpaceDN w:val="0"/>
        <w:adjustRightInd w:val="0"/>
        <w:spacing w:after="0" w:line="240" w:lineRule="auto"/>
        <w:ind w:left="851" w:hanging="425"/>
        <w:jc w:val="both"/>
        <w:rPr>
          <w:rFonts w:ascii="Cambria" w:eastAsia="Times New Roman" w:hAnsi="Cambria" w:cs="Times New Roman"/>
          <w:sz w:val="20"/>
          <w:szCs w:val="20"/>
        </w:rPr>
      </w:pPr>
      <w:r w:rsidRPr="00F47A8D">
        <w:rPr>
          <w:rFonts w:ascii="Cambria" w:eastAsia="Times New Roman" w:hAnsi="Cambria" w:cs="Times New Roman"/>
          <w:sz w:val="20"/>
          <w:szCs w:val="20"/>
        </w:rPr>
        <w:t xml:space="preserve">c) </w:t>
      </w:r>
      <w:r w:rsidRPr="00F47A8D">
        <w:rPr>
          <w:rFonts w:ascii="Cambria" w:eastAsia="Times New Roman" w:hAnsi="Cambria" w:cs="Times New Roman"/>
          <w:sz w:val="20"/>
          <w:szCs w:val="20"/>
        </w:rPr>
        <w:tab/>
        <w:t xml:space="preserve">Si la capture annuelle dépasse le TAC de 10.000 t, les CPC qui ont dépassé leurs limites de capture </w:t>
      </w:r>
      <w:r w:rsidRPr="00F47A8D">
        <w:rPr>
          <w:rFonts w:ascii="Cambria" w:hAnsi="Cambria"/>
          <w:sz w:val="20"/>
          <w:szCs w:val="20"/>
        </w:rPr>
        <w:t>individuelles</w:t>
      </w:r>
      <w:r w:rsidRPr="00F47A8D">
        <w:rPr>
          <w:rFonts w:ascii="Cambria" w:eastAsia="Times New Roman" w:hAnsi="Cambria" w:cs="Times New Roman"/>
          <w:sz w:val="20"/>
          <w:szCs w:val="20"/>
        </w:rPr>
        <w:t xml:space="preserve"> devront rembourser leur surconsommation conformément au paragraphe 2 de la présente Recommandation. Tout montant de la surconsommation restant après cet ajustement devra être déduit de la limite de capture annuelle de chaque CPC dans l'année suivant le dépassement, au prorata des limites de capture du tableau 1 b) ci-dessus. »</w:t>
      </w:r>
    </w:p>
    <w:p w14:paraId="009E20E5" w14:textId="77777777" w:rsidR="00A77BAF" w:rsidRPr="00F47A8D" w:rsidRDefault="00A77BAF" w:rsidP="00BC1B6D">
      <w:pPr>
        <w:tabs>
          <w:tab w:val="left" w:pos="2268"/>
        </w:tabs>
        <w:autoSpaceDE w:val="0"/>
        <w:autoSpaceDN w:val="0"/>
        <w:adjustRightInd w:val="0"/>
        <w:spacing w:after="0" w:line="240" w:lineRule="auto"/>
        <w:ind w:left="426" w:right="992"/>
        <w:rPr>
          <w:rFonts w:ascii="Cambria" w:eastAsia="Times New Roman" w:hAnsi="Cambria" w:cs="Times New Roman"/>
          <w:sz w:val="20"/>
          <w:szCs w:val="20"/>
        </w:rPr>
      </w:pPr>
    </w:p>
    <w:p w14:paraId="10D0A40C" w14:textId="3C0E25F2" w:rsidR="00333E7D" w:rsidRPr="00F47A8D" w:rsidRDefault="00333E7D" w:rsidP="00333E7D">
      <w:pPr>
        <w:pStyle w:val="ListParagraph"/>
        <w:numPr>
          <w:ilvl w:val="0"/>
          <w:numId w:val="6"/>
        </w:numPr>
        <w:tabs>
          <w:tab w:val="left" w:pos="426"/>
          <w:tab w:val="left" w:pos="567"/>
          <w:tab w:val="left" w:pos="990"/>
          <w:tab w:val="left" w:pos="7088"/>
        </w:tabs>
        <w:autoSpaceDE w:val="0"/>
        <w:autoSpaceDN w:val="0"/>
        <w:adjustRightInd w:val="0"/>
        <w:spacing w:after="0" w:line="240" w:lineRule="auto"/>
        <w:jc w:val="both"/>
        <w:rPr>
          <w:rFonts w:ascii="Cambria" w:eastAsia="Times New Roman" w:hAnsi="Cambria" w:cs="Times New Roman"/>
          <w:sz w:val="20"/>
          <w:szCs w:val="20"/>
        </w:rPr>
      </w:pPr>
      <w:r w:rsidRPr="00F47A8D">
        <w:rPr>
          <w:rFonts w:ascii="Cambria" w:hAnsi="Cambria"/>
          <w:sz w:val="20"/>
          <w:szCs w:val="20"/>
        </w:rPr>
        <w:t>Le paragraphe 2 devra être remplacé par :</w:t>
      </w:r>
    </w:p>
    <w:p w14:paraId="05D29533" w14:textId="77777777" w:rsidR="00151DE8" w:rsidRPr="00F47A8D" w:rsidRDefault="00151DE8" w:rsidP="00151DE8">
      <w:pPr>
        <w:pStyle w:val="ListParagraph"/>
        <w:tabs>
          <w:tab w:val="left" w:pos="426"/>
          <w:tab w:val="left" w:pos="567"/>
          <w:tab w:val="left" w:pos="990"/>
          <w:tab w:val="left" w:pos="7088"/>
        </w:tabs>
        <w:autoSpaceDE w:val="0"/>
        <w:autoSpaceDN w:val="0"/>
        <w:adjustRightInd w:val="0"/>
        <w:spacing w:after="0" w:line="240" w:lineRule="auto"/>
        <w:ind w:left="786"/>
        <w:jc w:val="both"/>
        <w:rPr>
          <w:rFonts w:ascii="Cambria" w:eastAsia="Times New Roman" w:hAnsi="Cambria" w:cs="Times New Roman"/>
          <w:sz w:val="20"/>
          <w:szCs w:val="20"/>
        </w:rPr>
      </w:pPr>
    </w:p>
    <w:p w14:paraId="66F9D5C3" w14:textId="5AD7A94B" w:rsidR="00B538B8" w:rsidRPr="00F47A8D" w:rsidRDefault="00FA3902" w:rsidP="00806E04">
      <w:pPr>
        <w:tabs>
          <w:tab w:val="left" w:pos="426"/>
          <w:tab w:val="left" w:pos="567"/>
        </w:tabs>
        <w:autoSpaceDE w:val="0"/>
        <w:autoSpaceDN w:val="0"/>
        <w:adjustRightInd w:val="0"/>
        <w:spacing w:after="120" w:line="240" w:lineRule="auto"/>
        <w:ind w:left="426" w:hanging="426"/>
        <w:jc w:val="both"/>
        <w:rPr>
          <w:rFonts w:ascii="Cambria" w:hAnsi="Cambria"/>
          <w:sz w:val="20"/>
          <w:szCs w:val="20"/>
        </w:rPr>
      </w:pPr>
      <w:r w:rsidRPr="00F47A8D">
        <w:rPr>
          <w:rFonts w:ascii="Cambria" w:hAnsi="Cambria"/>
          <w:sz w:val="20"/>
          <w:szCs w:val="20"/>
        </w:rPr>
        <w:tab/>
      </w:r>
      <w:r w:rsidR="1DE4CE98" w:rsidRPr="00F47A8D">
        <w:rPr>
          <w:rFonts w:ascii="Cambria" w:hAnsi="Cambria"/>
          <w:sz w:val="20"/>
          <w:szCs w:val="20"/>
        </w:rPr>
        <w:t>« 2.</w:t>
      </w:r>
      <w:r w:rsidR="1DE4CE98" w:rsidRPr="00F47A8D">
        <w:rPr>
          <w:rFonts w:ascii="Cambria" w:hAnsi="Cambria"/>
          <w:sz w:val="20"/>
          <w:szCs w:val="20"/>
        </w:rPr>
        <w:tab/>
        <w:t>Toute partie non utilisée ou excédentaire du quota/limite de capture annuel pourra être ajoutée ou devra être déduite, selon le cas, du quota/limite de capture respectif pendant ou avant l'année d'ajustement de la façon suivante pour l’espadon de l’Atlantique Sud</w:t>
      </w:r>
      <w:r w:rsidR="00867513" w:rsidRPr="00F47A8D">
        <w:rPr>
          <w:rFonts w:ascii="Cambria" w:hAnsi="Cambria"/>
          <w:sz w:val="20"/>
          <w:szCs w:val="20"/>
        </w:rPr>
        <w:t> :</w:t>
      </w:r>
      <w:r w:rsidR="1DE4CE98" w:rsidRPr="00F47A8D">
        <w:rPr>
          <w:rFonts w:ascii="Cambria" w:hAnsi="Cambria"/>
          <w:sz w:val="20"/>
          <w:szCs w:val="20"/>
        </w:rPr>
        <w:t xml:space="preserve"> </w:t>
      </w:r>
    </w:p>
    <w:p w14:paraId="0A6BDED4" w14:textId="77777777" w:rsidR="00BC1B6D" w:rsidRPr="00F47A8D" w:rsidRDefault="00BC1B6D" w:rsidP="66D95573">
      <w:pPr>
        <w:tabs>
          <w:tab w:val="left" w:pos="284"/>
          <w:tab w:val="left" w:pos="567"/>
        </w:tabs>
        <w:autoSpaceDE w:val="0"/>
        <w:autoSpaceDN w:val="0"/>
        <w:adjustRightInd w:val="0"/>
        <w:spacing w:after="120" w:line="240" w:lineRule="auto"/>
        <w:ind w:left="284" w:hanging="284"/>
        <w:jc w:val="both"/>
        <w:rPr>
          <w:rFonts w:ascii="Cambria" w:eastAsia="Times New Roman" w:hAnsi="Cambria" w:cs="Times New Roman"/>
          <w:sz w:val="20"/>
          <w:szCs w:val="20"/>
        </w:rPr>
      </w:pPr>
    </w:p>
    <w:tbl>
      <w:tblPr>
        <w:tblStyle w:val="TableauNorm12"/>
        <w:tblpPr w:leftFromText="180" w:rightFromText="180" w:vertAnchor="text" w:horzAnchor="margin" w:tblpXSpec="center" w:tblpY="14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1856"/>
      </w:tblGrid>
      <w:tr w:rsidR="00F5353E" w:rsidRPr="00F47A8D" w14:paraId="3AEB6F7F" w14:textId="77777777" w:rsidTr="00806E04">
        <w:trPr>
          <w:trHeight w:val="340"/>
        </w:trPr>
        <w:tc>
          <w:tcPr>
            <w:tcW w:w="2120" w:type="dxa"/>
            <w:tcBorders>
              <w:top w:val="single" w:sz="4" w:space="0" w:color="auto"/>
              <w:left w:val="single" w:sz="4" w:space="0" w:color="auto"/>
              <w:bottom w:val="single" w:sz="4" w:space="0" w:color="auto"/>
              <w:right w:val="single" w:sz="4" w:space="0" w:color="auto"/>
            </w:tcBorders>
            <w:vAlign w:val="center"/>
            <w:hideMark/>
          </w:tcPr>
          <w:p w14:paraId="47618EEF" w14:textId="77777777" w:rsidR="00F5353E" w:rsidRPr="00F47A8D" w:rsidRDefault="00F5353E" w:rsidP="00F5353E">
            <w:pPr>
              <w:tabs>
                <w:tab w:val="left" w:pos="284"/>
                <w:tab w:val="left" w:pos="440"/>
                <w:tab w:val="left" w:pos="567"/>
                <w:tab w:val="left" w:pos="660"/>
                <w:tab w:val="left" w:pos="990"/>
              </w:tabs>
              <w:jc w:val="center"/>
              <w:rPr>
                <w:rFonts w:ascii="Cambria" w:eastAsia="Times New Roman" w:hAnsi="Cambria"/>
                <w:i/>
                <w:sz w:val="20"/>
                <w:szCs w:val="20"/>
              </w:rPr>
            </w:pPr>
            <w:r w:rsidRPr="00F47A8D">
              <w:rPr>
                <w:rFonts w:ascii="Cambria" w:hAnsi="Cambria"/>
                <w:i/>
                <w:sz w:val="20"/>
                <w:szCs w:val="20"/>
              </w:rPr>
              <w:t>Année de capture</w:t>
            </w:r>
          </w:p>
        </w:tc>
        <w:tc>
          <w:tcPr>
            <w:tcW w:w="0" w:type="auto"/>
            <w:tcBorders>
              <w:top w:val="single" w:sz="4" w:space="0" w:color="auto"/>
              <w:left w:val="single" w:sz="4" w:space="0" w:color="auto"/>
              <w:bottom w:val="single" w:sz="4" w:space="0" w:color="auto"/>
              <w:right w:val="single" w:sz="4" w:space="0" w:color="auto"/>
            </w:tcBorders>
            <w:vAlign w:val="center"/>
            <w:hideMark/>
          </w:tcPr>
          <w:p w14:paraId="04B550DA" w14:textId="77777777" w:rsidR="00F5353E" w:rsidRPr="00F47A8D" w:rsidRDefault="00F5353E" w:rsidP="00F5353E">
            <w:pPr>
              <w:tabs>
                <w:tab w:val="left" w:pos="284"/>
                <w:tab w:val="left" w:pos="440"/>
                <w:tab w:val="left" w:pos="567"/>
                <w:tab w:val="left" w:pos="660"/>
                <w:tab w:val="left" w:pos="990"/>
              </w:tabs>
              <w:jc w:val="center"/>
              <w:rPr>
                <w:rFonts w:ascii="Cambria" w:eastAsia="Times New Roman" w:hAnsi="Cambria"/>
                <w:i/>
                <w:sz w:val="20"/>
                <w:szCs w:val="20"/>
              </w:rPr>
            </w:pPr>
            <w:r w:rsidRPr="00F47A8D">
              <w:rPr>
                <w:rFonts w:ascii="Cambria" w:hAnsi="Cambria"/>
                <w:i/>
                <w:sz w:val="20"/>
                <w:szCs w:val="20"/>
              </w:rPr>
              <w:t>Année d'ajustement</w:t>
            </w:r>
          </w:p>
        </w:tc>
      </w:tr>
      <w:tr w:rsidR="00F5353E" w:rsidRPr="00F47A8D" w14:paraId="45366809" w14:textId="77777777" w:rsidTr="00806E04">
        <w:trPr>
          <w:trHeight w:val="230"/>
        </w:trPr>
        <w:tc>
          <w:tcPr>
            <w:tcW w:w="2120" w:type="dxa"/>
            <w:tcBorders>
              <w:top w:val="single" w:sz="4" w:space="0" w:color="auto"/>
              <w:left w:val="single" w:sz="4" w:space="0" w:color="auto"/>
              <w:bottom w:val="single" w:sz="4" w:space="0" w:color="auto"/>
              <w:right w:val="single" w:sz="4" w:space="0" w:color="auto"/>
            </w:tcBorders>
            <w:vAlign w:val="bottom"/>
            <w:hideMark/>
          </w:tcPr>
          <w:p w14:paraId="4E2C57F1" w14:textId="77777777" w:rsidR="00F5353E" w:rsidRPr="00F47A8D" w:rsidRDefault="00F5353E" w:rsidP="00F5353E">
            <w:pPr>
              <w:tabs>
                <w:tab w:val="left" w:pos="284"/>
                <w:tab w:val="left" w:pos="440"/>
                <w:tab w:val="left" w:pos="567"/>
                <w:tab w:val="left" w:pos="660"/>
                <w:tab w:val="left" w:pos="990"/>
              </w:tabs>
              <w:spacing w:after="60"/>
              <w:jc w:val="center"/>
              <w:rPr>
                <w:rFonts w:ascii="Cambria" w:eastAsia="Times New Roman" w:hAnsi="Cambria"/>
                <w:sz w:val="20"/>
                <w:szCs w:val="20"/>
              </w:rPr>
            </w:pPr>
            <w:r w:rsidRPr="00F47A8D">
              <w:rPr>
                <w:rFonts w:ascii="Cambria" w:hAnsi="Cambria"/>
                <w:sz w:val="20"/>
                <w:szCs w:val="20"/>
              </w:rPr>
              <w:t>2021</w:t>
            </w:r>
          </w:p>
        </w:tc>
        <w:tc>
          <w:tcPr>
            <w:tcW w:w="0" w:type="auto"/>
            <w:tcBorders>
              <w:top w:val="single" w:sz="4" w:space="0" w:color="auto"/>
              <w:left w:val="single" w:sz="4" w:space="0" w:color="auto"/>
              <w:bottom w:val="single" w:sz="4" w:space="0" w:color="auto"/>
              <w:right w:val="single" w:sz="4" w:space="0" w:color="auto"/>
            </w:tcBorders>
            <w:vAlign w:val="bottom"/>
            <w:hideMark/>
          </w:tcPr>
          <w:p w14:paraId="1636891A" w14:textId="6D2B4689" w:rsidR="00F5353E" w:rsidRPr="00F47A8D" w:rsidRDefault="00F5353E" w:rsidP="00B538B8">
            <w:pPr>
              <w:tabs>
                <w:tab w:val="left" w:pos="284"/>
                <w:tab w:val="left" w:pos="440"/>
                <w:tab w:val="left" w:pos="567"/>
                <w:tab w:val="left" w:pos="660"/>
                <w:tab w:val="left" w:pos="990"/>
                <w:tab w:val="left" w:pos="3544"/>
                <w:tab w:val="left" w:pos="3686"/>
              </w:tabs>
              <w:spacing w:after="60"/>
              <w:jc w:val="center"/>
              <w:rPr>
                <w:rFonts w:ascii="Cambria" w:hAnsi="Cambria"/>
                <w:sz w:val="20"/>
                <w:szCs w:val="20"/>
              </w:rPr>
            </w:pPr>
            <w:r w:rsidRPr="00F47A8D">
              <w:rPr>
                <w:rFonts w:ascii="Cambria" w:hAnsi="Cambria"/>
                <w:sz w:val="20"/>
                <w:szCs w:val="20"/>
              </w:rPr>
              <w:t>2023</w:t>
            </w:r>
          </w:p>
        </w:tc>
      </w:tr>
      <w:tr w:rsidR="00F5353E" w:rsidRPr="00F47A8D" w14:paraId="605FBC95" w14:textId="77777777" w:rsidTr="00806E04">
        <w:trPr>
          <w:trHeight w:val="230"/>
        </w:trPr>
        <w:tc>
          <w:tcPr>
            <w:tcW w:w="2120" w:type="dxa"/>
            <w:tcBorders>
              <w:top w:val="single" w:sz="4" w:space="0" w:color="auto"/>
              <w:left w:val="single" w:sz="4" w:space="0" w:color="auto"/>
              <w:bottom w:val="single" w:sz="4" w:space="0" w:color="auto"/>
              <w:right w:val="single" w:sz="4" w:space="0" w:color="auto"/>
            </w:tcBorders>
            <w:vAlign w:val="bottom"/>
          </w:tcPr>
          <w:p w14:paraId="534206F2" w14:textId="77777777" w:rsidR="00F5353E" w:rsidRPr="00F47A8D" w:rsidRDefault="00F5353E" w:rsidP="00F5353E">
            <w:pPr>
              <w:tabs>
                <w:tab w:val="left" w:pos="284"/>
                <w:tab w:val="left" w:pos="440"/>
                <w:tab w:val="left" w:pos="567"/>
                <w:tab w:val="left" w:pos="660"/>
                <w:tab w:val="left" w:pos="990"/>
              </w:tabs>
              <w:spacing w:after="60"/>
              <w:jc w:val="center"/>
              <w:rPr>
                <w:rFonts w:ascii="Cambria" w:eastAsia="Times New Roman" w:hAnsi="Cambria"/>
                <w:sz w:val="20"/>
                <w:szCs w:val="20"/>
              </w:rPr>
            </w:pPr>
            <w:r w:rsidRPr="00F47A8D">
              <w:rPr>
                <w:rFonts w:ascii="Cambria" w:hAnsi="Cambria"/>
                <w:sz w:val="20"/>
                <w:szCs w:val="20"/>
              </w:rPr>
              <w:t>2022</w:t>
            </w:r>
          </w:p>
        </w:tc>
        <w:tc>
          <w:tcPr>
            <w:tcW w:w="0" w:type="auto"/>
            <w:tcBorders>
              <w:top w:val="single" w:sz="4" w:space="0" w:color="auto"/>
              <w:left w:val="single" w:sz="4" w:space="0" w:color="auto"/>
              <w:bottom w:val="single" w:sz="4" w:space="0" w:color="auto"/>
              <w:right w:val="single" w:sz="4" w:space="0" w:color="auto"/>
            </w:tcBorders>
            <w:vAlign w:val="bottom"/>
          </w:tcPr>
          <w:p w14:paraId="27115E69" w14:textId="77777777" w:rsidR="00F5353E" w:rsidRPr="00F47A8D" w:rsidRDefault="00F5353E" w:rsidP="00B538B8">
            <w:pPr>
              <w:tabs>
                <w:tab w:val="left" w:pos="284"/>
                <w:tab w:val="left" w:pos="440"/>
                <w:tab w:val="left" w:pos="567"/>
                <w:tab w:val="left" w:pos="660"/>
                <w:tab w:val="left" w:pos="990"/>
                <w:tab w:val="left" w:pos="3544"/>
                <w:tab w:val="left" w:pos="3686"/>
              </w:tabs>
              <w:spacing w:after="60"/>
              <w:jc w:val="center"/>
              <w:rPr>
                <w:rFonts w:ascii="Cambria" w:hAnsi="Cambria"/>
                <w:sz w:val="20"/>
                <w:szCs w:val="20"/>
              </w:rPr>
            </w:pPr>
            <w:r w:rsidRPr="00F47A8D">
              <w:rPr>
                <w:rFonts w:ascii="Cambria" w:hAnsi="Cambria"/>
                <w:sz w:val="20"/>
                <w:szCs w:val="20"/>
              </w:rPr>
              <w:t>2024</w:t>
            </w:r>
          </w:p>
        </w:tc>
      </w:tr>
      <w:tr w:rsidR="00F5353E" w:rsidRPr="00F47A8D" w14:paraId="5DFF4925" w14:textId="77777777" w:rsidTr="00806E04">
        <w:trPr>
          <w:trHeight w:val="230"/>
        </w:trPr>
        <w:tc>
          <w:tcPr>
            <w:tcW w:w="2120" w:type="dxa"/>
            <w:tcBorders>
              <w:top w:val="single" w:sz="4" w:space="0" w:color="auto"/>
              <w:left w:val="single" w:sz="4" w:space="0" w:color="auto"/>
              <w:bottom w:val="single" w:sz="4" w:space="0" w:color="auto"/>
              <w:right w:val="single" w:sz="4" w:space="0" w:color="auto"/>
            </w:tcBorders>
            <w:vAlign w:val="bottom"/>
          </w:tcPr>
          <w:p w14:paraId="53D2832F" w14:textId="77777777" w:rsidR="00F5353E" w:rsidRPr="00F47A8D" w:rsidRDefault="00F5353E" w:rsidP="00F5353E">
            <w:pPr>
              <w:tabs>
                <w:tab w:val="left" w:pos="284"/>
                <w:tab w:val="left" w:pos="440"/>
                <w:tab w:val="left" w:pos="567"/>
                <w:tab w:val="left" w:pos="660"/>
                <w:tab w:val="left" w:pos="990"/>
              </w:tabs>
              <w:spacing w:after="60"/>
              <w:jc w:val="center"/>
              <w:rPr>
                <w:rFonts w:ascii="Cambria" w:eastAsia="Times New Roman" w:hAnsi="Cambria"/>
                <w:sz w:val="20"/>
                <w:szCs w:val="20"/>
              </w:rPr>
            </w:pPr>
            <w:r w:rsidRPr="00F47A8D">
              <w:rPr>
                <w:rFonts w:ascii="Cambria" w:hAnsi="Cambria"/>
                <w:sz w:val="20"/>
                <w:szCs w:val="20"/>
              </w:rPr>
              <w:t>2023</w:t>
            </w:r>
          </w:p>
        </w:tc>
        <w:tc>
          <w:tcPr>
            <w:tcW w:w="0" w:type="auto"/>
            <w:tcBorders>
              <w:top w:val="single" w:sz="4" w:space="0" w:color="auto"/>
              <w:left w:val="single" w:sz="4" w:space="0" w:color="auto"/>
              <w:bottom w:val="single" w:sz="4" w:space="0" w:color="auto"/>
              <w:right w:val="single" w:sz="4" w:space="0" w:color="auto"/>
            </w:tcBorders>
            <w:vAlign w:val="bottom"/>
          </w:tcPr>
          <w:p w14:paraId="4DFF80DC" w14:textId="77777777" w:rsidR="00F5353E" w:rsidRPr="00F47A8D" w:rsidRDefault="00F5353E" w:rsidP="00B538B8">
            <w:pPr>
              <w:tabs>
                <w:tab w:val="left" w:pos="284"/>
                <w:tab w:val="left" w:pos="440"/>
                <w:tab w:val="left" w:pos="567"/>
                <w:tab w:val="left" w:pos="660"/>
                <w:tab w:val="left" w:pos="990"/>
                <w:tab w:val="left" w:pos="3544"/>
                <w:tab w:val="left" w:pos="3686"/>
              </w:tabs>
              <w:spacing w:after="60"/>
              <w:jc w:val="center"/>
              <w:rPr>
                <w:rFonts w:ascii="Cambria" w:hAnsi="Cambria"/>
                <w:sz w:val="20"/>
                <w:szCs w:val="20"/>
              </w:rPr>
            </w:pPr>
            <w:r w:rsidRPr="00F47A8D">
              <w:rPr>
                <w:rFonts w:ascii="Cambria" w:hAnsi="Cambria"/>
                <w:sz w:val="20"/>
                <w:szCs w:val="20"/>
              </w:rPr>
              <w:t>2025</w:t>
            </w:r>
          </w:p>
        </w:tc>
      </w:tr>
      <w:tr w:rsidR="00F5353E" w:rsidRPr="00F47A8D" w14:paraId="307B2518" w14:textId="77777777" w:rsidTr="00806E04">
        <w:trPr>
          <w:trHeight w:val="230"/>
        </w:trPr>
        <w:tc>
          <w:tcPr>
            <w:tcW w:w="2120" w:type="dxa"/>
            <w:tcBorders>
              <w:top w:val="single" w:sz="4" w:space="0" w:color="auto"/>
              <w:left w:val="single" w:sz="4" w:space="0" w:color="auto"/>
              <w:bottom w:val="single" w:sz="4" w:space="0" w:color="auto"/>
              <w:right w:val="single" w:sz="4" w:space="0" w:color="auto"/>
            </w:tcBorders>
            <w:vAlign w:val="bottom"/>
          </w:tcPr>
          <w:p w14:paraId="25A5E663" w14:textId="77777777" w:rsidR="00F5353E" w:rsidRPr="00F47A8D" w:rsidRDefault="00F5353E" w:rsidP="00F5353E">
            <w:pPr>
              <w:tabs>
                <w:tab w:val="left" w:pos="284"/>
                <w:tab w:val="left" w:pos="440"/>
                <w:tab w:val="left" w:pos="567"/>
                <w:tab w:val="left" w:pos="660"/>
                <w:tab w:val="left" w:pos="990"/>
              </w:tabs>
              <w:spacing w:after="60"/>
              <w:jc w:val="center"/>
              <w:rPr>
                <w:rFonts w:ascii="Cambria" w:eastAsia="Times New Roman" w:hAnsi="Cambria"/>
                <w:sz w:val="20"/>
                <w:szCs w:val="20"/>
              </w:rPr>
            </w:pPr>
            <w:r w:rsidRPr="00F47A8D">
              <w:rPr>
                <w:rFonts w:ascii="Cambria" w:hAnsi="Cambria"/>
                <w:sz w:val="20"/>
                <w:szCs w:val="20"/>
              </w:rPr>
              <w:t>2024</w:t>
            </w:r>
          </w:p>
        </w:tc>
        <w:tc>
          <w:tcPr>
            <w:tcW w:w="0" w:type="auto"/>
            <w:tcBorders>
              <w:top w:val="single" w:sz="4" w:space="0" w:color="auto"/>
              <w:left w:val="single" w:sz="4" w:space="0" w:color="auto"/>
              <w:bottom w:val="single" w:sz="4" w:space="0" w:color="auto"/>
              <w:right w:val="single" w:sz="4" w:space="0" w:color="auto"/>
            </w:tcBorders>
            <w:vAlign w:val="bottom"/>
          </w:tcPr>
          <w:p w14:paraId="6884248D" w14:textId="77777777" w:rsidR="00F5353E" w:rsidRPr="00F47A8D" w:rsidRDefault="00F5353E" w:rsidP="00B538B8">
            <w:pPr>
              <w:tabs>
                <w:tab w:val="left" w:pos="284"/>
                <w:tab w:val="left" w:pos="440"/>
                <w:tab w:val="left" w:pos="567"/>
                <w:tab w:val="left" w:pos="660"/>
                <w:tab w:val="left" w:pos="990"/>
                <w:tab w:val="left" w:pos="3544"/>
                <w:tab w:val="left" w:pos="3686"/>
              </w:tabs>
              <w:spacing w:after="60"/>
              <w:jc w:val="center"/>
              <w:rPr>
                <w:rFonts w:ascii="Cambria" w:hAnsi="Cambria"/>
                <w:sz w:val="20"/>
                <w:szCs w:val="20"/>
              </w:rPr>
            </w:pPr>
            <w:r w:rsidRPr="00F47A8D">
              <w:rPr>
                <w:rFonts w:ascii="Cambria" w:hAnsi="Cambria"/>
                <w:sz w:val="20"/>
                <w:szCs w:val="20"/>
              </w:rPr>
              <w:t>2026</w:t>
            </w:r>
          </w:p>
        </w:tc>
      </w:tr>
      <w:tr w:rsidR="00F5353E" w:rsidRPr="00F47A8D" w14:paraId="602D2299" w14:textId="77777777" w:rsidTr="00806E04">
        <w:trPr>
          <w:trHeight w:val="230"/>
        </w:trPr>
        <w:tc>
          <w:tcPr>
            <w:tcW w:w="2120" w:type="dxa"/>
            <w:tcBorders>
              <w:top w:val="single" w:sz="4" w:space="0" w:color="auto"/>
              <w:left w:val="single" w:sz="4" w:space="0" w:color="auto"/>
              <w:bottom w:val="single" w:sz="4" w:space="0" w:color="auto"/>
              <w:right w:val="single" w:sz="4" w:space="0" w:color="auto"/>
            </w:tcBorders>
            <w:vAlign w:val="bottom"/>
          </w:tcPr>
          <w:p w14:paraId="7F4AC476" w14:textId="77777777" w:rsidR="00F5353E" w:rsidRPr="00F47A8D" w:rsidRDefault="00F5353E" w:rsidP="00F5353E">
            <w:pPr>
              <w:tabs>
                <w:tab w:val="left" w:pos="284"/>
                <w:tab w:val="left" w:pos="440"/>
                <w:tab w:val="left" w:pos="567"/>
                <w:tab w:val="left" w:pos="660"/>
                <w:tab w:val="left" w:pos="990"/>
              </w:tabs>
              <w:spacing w:after="60"/>
              <w:jc w:val="center"/>
              <w:rPr>
                <w:rFonts w:ascii="Cambria" w:eastAsia="Times New Roman" w:hAnsi="Cambria"/>
                <w:sz w:val="20"/>
                <w:szCs w:val="20"/>
              </w:rPr>
            </w:pPr>
            <w:r w:rsidRPr="00F47A8D">
              <w:rPr>
                <w:rFonts w:ascii="Cambria" w:hAnsi="Cambria"/>
                <w:sz w:val="20"/>
                <w:szCs w:val="20"/>
              </w:rPr>
              <w:t>2025</w:t>
            </w:r>
          </w:p>
        </w:tc>
        <w:tc>
          <w:tcPr>
            <w:tcW w:w="0" w:type="auto"/>
            <w:tcBorders>
              <w:top w:val="single" w:sz="4" w:space="0" w:color="auto"/>
              <w:left w:val="single" w:sz="4" w:space="0" w:color="auto"/>
              <w:bottom w:val="single" w:sz="4" w:space="0" w:color="auto"/>
              <w:right w:val="single" w:sz="4" w:space="0" w:color="auto"/>
            </w:tcBorders>
            <w:vAlign w:val="bottom"/>
          </w:tcPr>
          <w:p w14:paraId="725FCC4A" w14:textId="77777777" w:rsidR="00F5353E" w:rsidRPr="00F47A8D" w:rsidRDefault="00F5353E" w:rsidP="00B538B8">
            <w:pPr>
              <w:tabs>
                <w:tab w:val="left" w:pos="284"/>
                <w:tab w:val="left" w:pos="440"/>
                <w:tab w:val="left" w:pos="567"/>
                <w:tab w:val="left" w:pos="660"/>
                <w:tab w:val="left" w:pos="990"/>
                <w:tab w:val="left" w:pos="3544"/>
                <w:tab w:val="left" w:pos="3686"/>
              </w:tabs>
              <w:spacing w:after="60"/>
              <w:jc w:val="center"/>
              <w:rPr>
                <w:rFonts w:ascii="Cambria" w:hAnsi="Cambria"/>
                <w:sz w:val="20"/>
                <w:szCs w:val="20"/>
              </w:rPr>
            </w:pPr>
            <w:r w:rsidRPr="00F47A8D">
              <w:rPr>
                <w:rFonts w:ascii="Cambria" w:hAnsi="Cambria"/>
                <w:sz w:val="20"/>
                <w:szCs w:val="20"/>
              </w:rPr>
              <w:t>2027</w:t>
            </w:r>
          </w:p>
        </w:tc>
      </w:tr>
      <w:tr w:rsidR="00F5353E" w:rsidRPr="00F47A8D" w14:paraId="42CBE850" w14:textId="77777777" w:rsidTr="00806E04">
        <w:trPr>
          <w:trHeight w:val="230"/>
        </w:trPr>
        <w:tc>
          <w:tcPr>
            <w:tcW w:w="2120" w:type="dxa"/>
            <w:tcBorders>
              <w:top w:val="single" w:sz="4" w:space="0" w:color="auto"/>
              <w:left w:val="single" w:sz="4" w:space="0" w:color="auto"/>
              <w:bottom w:val="single" w:sz="4" w:space="0" w:color="auto"/>
              <w:right w:val="single" w:sz="4" w:space="0" w:color="auto"/>
            </w:tcBorders>
            <w:vAlign w:val="bottom"/>
          </w:tcPr>
          <w:p w14:paraId="3E954131" w14:textId="77777777" w:rsidR="00F5353E" w:rsidRPr="00F47A8D" w:rsidRDefault="00F5353E" w:rsidP="00F5353E">
            <w:pPr>
              <w:tabs>
                <w:tab w:val="left" w:pos="284"/>
                <w:tab w:val="left" w:pos="440"/>
                <w:tab w:val="left" w:pos="567"/>
                <w:tab w:val="left" w:pos="660"/>
                <w:tab w:val="left" w:pos="990"/>
              </w:tabs>
              <w:spacing w:after="60"/>
              <w:jc w:val="center"/>
              <w:rPr>
                <w:rFonts w:ascii="Cambria" w:eastAsia="Times New Roman" w:hAnsi="Cambria"/>
                <w:sz w:val="20"/>
                <w:szCs w:val="20"/>
              </w:rPr>
            </w:pPr>
            <w:r w:rsidRPr="00F47A8D">
              <w:rPr>
                <w:rFonts w:ascii="Cambria" w:hAnsi="Cambria"/>
                <w:sz w:val="20"/>
                <w:szCs w:val="20"/>
              </w:rPr>
              <w:t>2026</w:t>
            </w:r>
          </w:p>
        </w:tc>
        <w:tc>
          <w:tcPr>
            <w:tcW w:w="0" w:type="auto"/>
            <w:tcBorders>
              <w:top w:val="single" w:sz="4" w:space="0" w:color="auto"/>
              <w:left w:val="single" w:sz="4" w:space="0" w:color="auto"/>
              <w:bottom w:val="single" w:sz="4" w:space="0" w:color="auto"/>
              <w:right w:val="single" w:sz="4" w:space="0" w:color="auto"/>
            </w:tcBorders>
            <w:vAlign w:val="bottom"/>
          </w:tcPr>
          <w:p w14:paraId="7EF2C712" w14:textId="77777777" w:rsidR="00F5353E" w:rsidRPr="00F47A8D" w:rsidRDefault="00F5353E" w:rsidP="00B538B8">
            <w:pPr>
              <w:tabs>
                <w:tab w:val="left" w:pos="284"/>
                <w:tab w:val="left" w:pos="440"/>
                <w:tab w:val="left" w:pos="567"/>
                <w:tab w:val="left" w:pos="660"/>
                <w:tab w:val="left" w:pos="990"/>
                <w:tab w:val="left" w:pos="3544"/>
                <w:tab w:val="left" w:pos="3686"/>
              </w:tabs>
              <w:spacing w:after="60"/>
              <w:jc w:val="center"/>
              <w:rPr>
                <w:rFonts w:ascii="Cambria" w:hAnsi="Cambria"/>
                <w:sz w:val="20"/>
                <w:szCs w:val="20"/>
              </w:rPr>
            </w:pPr>
            <w:r w:rsidRPr="00F47A8D">
              <w:rPr>
                <w:rFonts w:ascii="Cambria" w:hAnsi="Cambria"/>
                <w:sz w:val="20"/>
                <w:szCs w:val="20"/>
              </w:rPr>
              <w:t>2028</w:t>
            </w:r>
          </w:p>
        </w:tc>
      </w:tr>
    </w:tbl>
    <w:p w14:paraId="1CAA80C6" w14:textId="4C64A308" w:rsidR="00BC1B6D" w:rsidRPr="00F47A8D" w:rsidRDefault="00BC1B6D" w:rsidP="66D95573">
      <w:pPr>
        <w:tabs>
          <w:tab w:val="left" w:pos="567"/>
          <w:tab w:val="left" w:pos="990"/>
          <w:tab w:val="left" w:pos="1134"/>
        </w:tabs>
        <w:autoSpaceDE w:val="0"/>
        <w:autoSpaceDN w:val="0"/>
        <w:adjustRightInd w:val="0"/>
        <w:spacing w:after="0" w:line="240" w:lineRule="auto"/>
        <w:ind w:right="566"/>
        <w:jc w:val="both"/>
        <w:rPr>
          <w:rFonts w:ascii="Cambria" w:eastAsia="Times New Roman" w:hAnsi="Cambria" w:cs="Times New Roman"/>
          <w:sz w:val="20"/>
          <w:szCs w:val="20"/>
        </w:rPr>
      </w:pPr>
    </w:p>
    <w:p w14:paraId="4B423CC9" w14:textId="77777777" w:rsidR="00151DE8" w:rsidRPr="00F47A8D" w:rsidRDefault="00151DE8" w:rsidP="00BC1B6D">
      <w:pPr>
        <w:tabs>
          <w:tab w:val="left" w:pos="284"/>
          <w:tab w:val="left" w:pos="440"/>
          <w:tab w:val="left" w:pos="567"/>
          <w:tab w:val="left" w:pos="660"/>
          <w:tab w:val="left" w:pos="990"/>
        </w:tabs>
        <w:autoSpaceDE w:val="0"/>
        <w:autoSpaceDN w:val="0"/>
        <w:adjustRightInd w:val="0"/>
        <w:spacing w:after="0" w:line="240" w:lineRule="auto"/>
        <w:ind w:left="284"/>
        <w:jc w:val="both"/>
        <w:rPr>
          <w:rFonts w:ascii="Cambria" w:eastAsia="Times New Roman" w:hAnsi="Cambria" w:cs="Times New Roman"/>
          <w:sz w:val="20"/>
          <w:szCs w:val="20"/>
        </w:rPr>
      </w:pPr>
    </w:p>
    <w:p w14:paraId="2BBF988F" w14:textId="77777777" w:rsidR="00151DE8" w:rsidRPr="00F47A8D" w:rsidRDefault="00151DE8" w:rsidP="00BC1B6D">
      <w:pPr>
        <w:tabs>
          <w:tab w:val="left" w:pos="284"/>
          <w:tab w:val="left" w:pos="440"/>
          <w:tab w:val="left" w:pos="567"/>
          <w:tab w:val="left" w:pos="660"/>
          <w:tab w:val="left" w:pos="990"/>
        </w:tabs>
        <w:autoSpaceDE w:val="0"/>
        <w:autoSpaceDN w:val="0"/>
        <w:adjustRightInd w:val="0"/>
        <w:spacing w:after="0" w:line="240" w:lineRule="auto"/>
        <w:ind w:left="284"/>
        <w:jc w:val="both"/>
        <w:rPr>
          <w:rFonts w:ascii="Cambria" w:eastAsia="Times New Roman" w:hAnsi="Cambria" w:cs="Times New Roman"/>
          <w:sz w:val="20"/>
          <w:szCs w:val="20"/>
        </w:rPr>
      </w:pPr>
    </w:p>
    <w:p w14:paraId="1E7CCC27" w14:textId="77777777" w:rsidR="00151DE8" w:rsidRPr="00F47A8D" w:rsidRDefault="00151DE8" w:rsidP="00BC1B6D">
      <w:pPr>
        <w:tabs>
          <w:tab w:val="left" w:pos="284"/>
          <w:tab w:val="left" w:pos="440"/>
          <w:tab w:val="left" w:pos="567"/>
          <w:tab w:val="left" w:pos="660"/>
          <w:tab w:val="left" w:pos="990"/>
        </w:tabs>
        <w:autoSpaceDE w:val="0"/>
        <w:autoSpaceDN w:val="0"/>
        <w:adjustRightInd w:val="0"/>
        <w:spacing w:after="0" w:line="240" w:lineRule="auto"/>
        <w:ind w:left="284"/>
        <w:jc w:val="both"/>
        <w:rPr>
          <w:rFonts w:ascii="Cambria" w:eastAsia="Times New Roman" w:hAnsi="Cambria" w:cs="Times New Roman"/>
          <w:sz w:val="20"/>
          <w:szCs w:val="20"/>
        </w:rPr>
      </w:pPr>
    </w:p>
    <w:p w14:paraId="046737D3" w14:textId="77777777" w:rsidR="00151DE8" w:rsidRPr="00F47A8D" w:rsidRDefault="00151DE8" w:rsidP="00BC1B6D">
      <w:pPr>
        <w:tabs>
          <w:tab w:val="left" w:pos="284"/>
          <w:tab w:val="left" w:pos="440"/>
          <w:tab w:val="left" w:pos="567"/>
          <w:tab w:val="left" w:pos="660"/>
          <w:tab w:val="left" w:pos="990"/>
        </w:tabs>
        <w:autoSpaceDE w:val="0"/>
        <w:autoSpaceDN w:val="0"/>
        <w:adjustRightInd w:val="0"/>
        <w:spacing w:after="0" w:line="240" w:lineRule="auto"/>
        <w:ind w:left="284"/>
        <w:jc w:val="both"/>
        <w:rPr>
          <w:rFonts w:ascii="Cambria" w:eastAsia="Times New Roman" w:hAnsi="Cambria" w:cs="Times New Roman"/>
          <w:sz w:val="20"/>
          <w:szCs w:val="20"/>
        </w:rPr>
      </w:pPr>
    </w:p>
    <w:p w14:paraId="33F8EA97" w14:textId="77777777" w:rsidR="00151DE8" w:rsidRPr="00F47A8D" w:rsidRDefault="00151DE8" w:rsidP="00BC1B6D">
      <w:pPr>
        <w:tabs>
          <w:tab w:val="left" w:pos="284"/>
          <w:tab w:val="left" w:pos="440"/>
          <w:tab w:val="left" w:pos="567"/>
          <w:tab w:val="left" w:pos="660"/>
          <w:tab w:val="left" w:pos="990"/>
        </w:tabs>
        <w:autoSpaceDE w:val="0"/>
        <w:autoSpaceDN w:val="0"/>
        <w:adjustRightInd w:val="0"/>
        <w:spacing w:after="0" w:line="240" w:lineRule="auto"/>
        <w:ind w:left="284"/>
        <w:jc w:val="both"/>
        <w:rPr>
          <w:rFonts w:ascii="Cambria" w:eastAsia="Times New Roman" w:hAnsi="Cambria" w:cs="Times New Roman"/>
          <w:sz w:val="20"/>
          <w:szCs w:val="20"/>
        </w:rPr>
      </w:pPr>
    </w:p>
    <w:p w14:paraId="64CB5A17" w14:textId="77777777" w:rsidR="00151DE8" w:rsidRPr="00F47A8D" w:rsidRDefault="00151DE8" w:rsidP="00BC1B6D">
      <w:pPr>
        <w:tabs>
          <w:tab w:val="left" w:pos="284"/>
          <w:tab w:val="left" w:pos="440"/>
          <w:tab w:val="left" w:pos="567"/>
          <w:tab w:val="left" w:pos="660"/>
          <w:tab w:val="left" w:pos="990"/>
        </w:tabs>
        <w:autoSpaceDE w:val="0"/>
        <w:autoSpaceDN w:val="0"/>
        <w:adjustRightInd w:val="0"/>
        <w:spacing w:after="0" w:line="240" w:lineRule="auto"/>
        <w:ind w:left="284"/>
        <w:jc w:val="both"/>
        <w:rPr>
          <w:rFonts w:ascii="Cambria" w:eastAsia="Times New Roman" w:hAnsi="Cambria" w:cs="Times New Roman"/>
          <w:sz w:val="20"/>
          <w:szCs w:val="20"/>
        </w:rPr>
      </w:pPr>
    </w:p>
    <w:p w14:paraId="42929C64" w14:textId="77777777" w:rsidR="00151DE8" w:rsidRPr="00F47A8D" w:rsidRDefault="00151DE8" w:rsidP="00BC1B6D">
      <w:pPr>
        <w:tabs>
          <w:tab w:val="left" w:pos="284"/>
          <w:tab w:val="left" w:pos="440"/>
          <w:tab w:val="left" w:pos="567"/>
          <w:tab w:val="left" w:pos="660"/>
          <w:tab w:val="left" w:pos="990"/>
        </w:tabs>
        <w:autoSpaceDE w:val="0"/>
        <w:autoSpaceDN w:val="0"/>
        <w:adjustRightInd w:val="0"/>
        <w:spacing w:after="0" w:line="240" w:lineRule="auto"/>
        <w:ind w:left="284"/>
        <w:jc w:val="both"/>
        <w:rPr>
          <w:rFonts w:ascii="Cambria" w:eastAsia="Times New Roman" w:hAnsi="Cambria" w:cs="Times New Roman"/>
          <w:sz w:val="20"/>
          <w:szCs w:val="20"/>
        </w:rPr>
      </w:pPr>
    </w:p>
    <w:p w14:paraId="211FE3F8" w14:textId="77777777" w:rsidR="00151DE8" w:rsidRPr="00F47A8D" w:rsidRDefault="00151DE8" w:rsidP="00BC1B6D">
      <w:pPr>
        <w:tabs>
          <w:tab w:val="left" w:pos="284"/>
          <w:tab w:val="left" w:pos="440"/>
          <w:tab w:val="left" w:pos="567"/>
          <w:tab w:val="left" w:pos="660"/>
          <w:tab w:val="left" w:pos="990"/>
        </w:tabs>
        <w:autoSpaceDE w:val="0"/>
        <w:autoSpaceDN w:val="0"/>
        <w:adjustRightInd w:val="0"/>
        <w:spacing w:after="0" w:line="240" w:lineRule="auto"/>
        <w:ind w:left="284"/>
        <w:jc w:val="both"/>
        <w:rPr>
          <w:rFonts w:ascii="Cambria" w:eastAsia="Times New Roman" w:hAnsi="Cambria" w:cs="Times New Roman"/>
          <w:sz w:val="20"/>
          <w:szCs w:val="20"/>
        </w:rPr>
      </w:pPr>
    </w:p>
    <w:p w14:paraId="24A802FB" w14:textId="77777777" w:rsidR="00151DE8" w:rsidRPr="00F47A8D" w:rsidRDefault="00151DE8" w:rsidP="00BC1B6D">
      <w:pPr>
        <w:tabs>
          <w:tab w:val="left" w:pos="284"/>
          <w:tab w:val="left" w:pos="440"/>
          <w:tab w:val="left" w:pos="567"/>
          <w:tab w:val="left" w:pos="660"/>
          <w:tab w:val="left" w:pos="990"/>
        </w:tabs>
        <w:autoSpaceDE w:val="0"/>
        <w:autoSpaceDN w:val="0"/>
        <w:adjustRightInd w:val="0"/>
        <w:spacing w:after="0" w:line="240" w:lineRule="auto"/>
        <w:ind w:left="284"/>
        <w:jc w:val="both"/>
        <w:rPr>
          <w:rFonts w:ascii="Cambria" w:eastAsia="Times New Roman" w:hAnsi="Cambria" w:cs="Times New Roman"/>
          <w:sz w:val="20"/>
          <w:szCs w:val="20"/>
        </w:rPr>
      </w:pPr>
    </w:p>
    <w:p w14:paraId="527123B9" w14:textId="77777777" w:rsidR="00151DE8" w:rsidRPr="00F47A8D" w:rsidRDefault="00151DE8" w:rsidP="00BC1B6D">
      <w:pPr>
        <w:tabs>
          <w:tab w:val="left" w:pos="284"/>
          <w:tab w:val="left" w:pos="440"/>
          <w:tab w:val="left" w:pos="567"/>
          <w:tab w:val="left" w:pos="660"/>
          <w:tab w:val="left" w:pos="990"/>
        </w:tabs>
        <w:autoSpaceDE w:val="0"/>
        <w:autoSpaceDN w:val="0"/>
        <w:adjustRightInd w:val="0"/>
        <w:spacing w:after="0" w:line="240" w:lineRule="auto"/>
        <w:ind w:left="284"/>
        <w:jc w:val="both"/>
        <w:rPr>
          <w:rFonts w:ascii="Cambria" w:eastAsia="Times New Roman" w:hAnsi="Cambria" w:cs="Times New Roman"/>
          <w:sz w:val="20"/>
          <w:szCs w:val="20"/>
        </w:rPr>
      </w:pPr>
    </w:p>
    <w:p w14:paraId="766C408A" w14:textId="77777777" w:rsidR="00151DE8" w:rsidRPr="00F47A8D" w:rsidRDefault="00151DE8" w:rsidP="00BC1B6D">
      <w:pPr>
        <w:tabs>
          <w:tab w:val="left" w:pos="284"/>
          <w:tab w:val="left" w:pos="440"/>
          <w:tab w:val="left" w:pos="567"/>
          <w:tab w:val="left" w:pos="660"/>
          <w:tab w:val="left" w:pos="990"/>
        </w:tabs>
        <w:autoSpaceDE w:val="0"/>
        <w:autoSpaceDN w:val="0"/>
        <w:adjustRightInd w:val="0"/>
        <w:spacing w:after="0" w:line="240" w:lineRule="auto"/>
        <w:ind w:left="284"/>
        <w:jc w:val="both"/>
        <w:rPr>
          <w:rFonts w:ascii="Cambria" w:eastAsia="Times New Roman" w:hAnsi="Cambria" w:cs="Times New Roman"/>
          <w:sz w:val="20"/>
          <w:szCs w:val="20"/>
        </w:rPr>
      </w:pPr>
    </w:p>
    <w:p w14:paraId="5E2E4C77" w14:textId="06984463" w:rsidR="00BC1B6D" w:rsidRPr="00F47A8D" w:rsidRDefault="00BC1B6D" w:rsidP="00BC1B6D">
      <w:pPr>
        <w:tabs>
          <w:tab w:val="left" w:pos="284"/>
          <w:tab w:val="left" w:pos="440"/>
          <w:tab w:val="left" w:pos="567"/>
          <w:tab w:val="left" w:pos="660"/>
          <w:tab w:val="left" w:pos="990"/>
        </w:tabs>
        <w:autoSpaceDE w:val="0"/>
        <w:autoSpaceDN w:val="0"/>
        <w:adjustRightInd w:val="0"/>
        <w:spacing w:after="0" w:line="240" w:lineRule="auto"/>
        <w:ind w:left="284"/>
        <w:jc w:val="both"/>
        <w:rPr>
          <w:rFonts w:ascii="Cambria" w:eastAsia="Times New Roman" w:hAnsi="Cambria" w:cs="Times New Roman"/>
          <w:sz w:val="20"/>
          <w:szCs w:val="20"/>
        </w:rPr>
      </w:pPr>
      <w:r w:rsidRPr="00F47A8D">
        <w:rPr>
          <w:rFonts w:ascii="Cambria" w:hAnsi="Cambria"/>
          <w:sz w:val="20"/>
          <w:szCs w:val="20"/>
        </w:rPr>
        <w:t xml:space="preserve">Toutefois, la sous-consommation maximale qu’une Partie pourrait reporter au cours d’une année donnée ne devra pas dépasser </w:t>
      </w:r>
      <w:r w:rsidR="00A77BAF" w:rsidRPr="00F47A8D">
        <w:rPr>
          <w:rFonts w:ascii="Cambria" w:hAnsi="Cambria"/>
          <w:sz w:val="20"/>
          <w:szCs w:val="20"/>
        </w:rPr>
        <w:t>1</w:t>
      </w:r>
      <w:r w:rsidRPr="00F47A8D">
        <w:rPr>
          <w:rFonts w:ascii="Cambria" w:hAnsi="Cambria"/>
          <w:sz w:val="20"/>
          <w:szCs w:val="20"/>
        </w:rPr>
        <w:t>0% du quota de l’année précédente.</w:t>
      </w:r>
      <w:r w:rsidR="00B538B8" w:rsidRPr="00F47A8D">
        <w:rPr>
          <w:rFonts w:ascii="Cambria" w:hAnsi="Cambria"/>
          <w:sz w:val="20"/>
          <w:szCs w:val="20"/>
        </w:rPr>
        <w:t> »</w:t>
      </w:r>
    </w:p>
    <w:p w14:paraId="0B556A99" w14:textId="77777777" w:rsidR="007622A4" w:rsidRPr="00F47A8D" w:rsidRDefault="007622A4" w:rsidP="007622A4">
      <w:pPr>
        <w:widowControl w:val="0"/>
        <w:tabs>
          <w:tab w:val="left" w:pos="426"/>
        </w:tabs>
        <w:spacing w:after="0" w:line="240" w:lineRule="auto"/>
        <w:ind w:left="360" w:right="2"/>
        <w:jc w:val="both"/>
        <w:rPr>
          <w:rFonts w:ascii="Cambria" w:eastAsia="Times New Roman" w:hAnsi="Cambria" w:cs="Times New Roman"/>
          <w:sz w:val="20"/>
          <w:szCs w:val="20"/>
        </w:rPr>
      </w:pPr>
    </w:p>
    <w:p w14:paraId="43BDFA92" w14:textId="1FF563C6" w:rsidR="00D660B9" w:rsidRPr="00F47A8D" w:rsidRDefault="00624CD5" w:rsidP="00F37486">
      <w:pPr>
        <w:tabs>
          <w:tab w:val="left" w:pos="426"/>
          <w:tab w:val="left" w:pos="567"/>
          <w:tab w:val="left" w:pos="990"/>
          <w:tab w:val="left" w:pos="7088"/>
        </w:tabs>
        <w:autoSpaceDE w:val="0"/>
        <w:autoSpaceDN w:val="0"/>
        <w:adjustRightInd w:val="0"/>
        <w:spacing w:after="0" w:line="240" w:lineRule="auto"/>
        <w:ind w:left="426" w:hanging="426"/>
        <w:jc w:val="both"/>
        <w:rPr>
          <w:rFonts w:ascii="Cambria" w:eastAsia="Times New Roman" w:hAnsi="Cambria" w:cs="Times New Roman"/>
          <w:sz w:val="20"/>
          <w:szCs w:val="20"/>
        </w:rPr>
      </w:pPr>
      <w:r w:rsidRPr="00F47A8D">
        <w:rPr>
          <w:rFonts w:ascii="Cambria" w:hAnsi="Cambria"/>
          <w:sz w:val="20"/>
          <w:szCs w:val="20"/>
        </w:rPr>
        <w:t>2</w:t>
      </w:r>
      <w:r w:rsidR="00D660B9" w:rsidRPr="00F47A8D">
        <w:rPr>
          <w:rFonts w:ascii="Cambria" w:hAnsi="Cambria"/>
          <w:sz w:val="20"/>
          <w:szCs w:val="20"/>
        </w:rPr>
        <w:t>.</w:t>
      </w:r>
      <w:r w:rsidR="00D660B9" w:rsidRPr="00F47A8D">
        <w:rPr>
          <w:rFonts w:ascii="Cambria" w:hAnsi="Cambria"/>
          <w:sz w:val="20"/>
          <w:szCs w:val="20"/>
        </w:rPr>
        <w:tab/>
        <w:t>Le SCRS procèdera au suivi des niveaux de captures en 2023, 2024, 2025 et 2026 et en fera rapport, chaque année, à la Commission.</w:t>
      </w:r>
    </w:p>
    <w:p w14:paraId="1F2F2984" w14:textId="77777777" w:rsidR="000273B9" w:rsidRPr="00F47A8D" w:rsidRDefault="000273B9" w:rsidP="00F37486">
      <w:pPr>
        <w:tabs>
          <w:tab w:val="left" w:pos="426"/>
          <w:tab w:val="left" w:pos="567"/>
          <w:tab w:val="left" w:pos="990"/>
          <w:tab w:val="left" w:pos="7088"/>
        </w:tabs>
        <w:autoSpaceDE w:val="0"/>
        <w:autoSpaceDN w:val="0"/>
        <w:adjustRightInd w:val="0"/>
        <w:spacing w:after="0" w:line="240" w:lineRule="auto"/>
        <w:ind w:left="426" w:hanging="426"/>
        <w:jc w:val="both"/>
        <w:rPr>
          <w:rFonts w:ascii="Cambria" w:eastAsia="Times New Roman" w:hAnsi="Cambria" w:cs="Times New Roman"/>
          <w:sz w:val="20"/>
          <w:szCs w:val="20"/>
        </w:rPr>
      </w:pPr>
    </w:p>
    <w:p w14:paraId="46C9EBAE" w14:textId="6CB1703E" w:rsidR="00CB2B19" w:rsidRPr="00F47A8D" w:rsidRDefault="00624CD5" w:rsidP="00C655EC">
      <w:pPr>
        <w:tabs>
          <w:tab w:val="left" w:pos="426"/>
          <w:tab w:val="left" w:pos="567"/>
          <w:tab w:val="left" w:pos="990"/>
          <w:tab w:val="left" w:pos="7088"/>
        </w:tabs>
        <w:autoSpaceDE w:val="0"/>
        <w:autoSpaceDN w:val="0"/>
        <w:adjustRightInd w:val="0"/>
        <w:spacing w:after="0" w:line="240" w:lineRule="auto"/>
        <w:ind w:left="426" w:hanging="426"/>
        <w:jc w:val="both"/>
        <w:rPr>
          <w:rFonts w:ascii="Cambria" w:hAnsi="Cambria"/>
          <w:sz w:val="20"/>
          <w:szCs w:val="20"/>
        </w:rPr>
      </w:pPr>
      <w:r w:rsidRPr="00F47A8D">
        <w:rPr>
          <w:rFonts w:ascii="Cambria" w:hAnsi="Cambria"/>
          <w:sz w:val="20"/>
          <w:szCs w:val="20"/>
        </w:rPr>
        <w:t>3</w:t>
      </w:r>
      <w:r w:rsidR="7D7C780B" w:rsidRPr="00F47A8D">
        <w:rPr>
          <w:rFonts w:ascii="Cambria" w:hAnsi="Cambria"/>
          <w:sz w:val="20"/>
          <w:szCs w:val="20"/>
        </w:rPr>
        <w:t>.</w:t>
      </w:r>
      <w:r w:rsidR="7D7C780B" w:rsidRPr="00F47A8D">
        <w:rPr>
          <w:rFonts w:ascii="Cambria" w:hAnsi="Cambria"/>
          <w:sz w:val="20"/>
          <w:szCs w:val="20"/>
        </w:rPr>
        <w:tab/>
        <w:t xml:space="preserve">La </w:t>
      </w:r>
      <w:r w:rsidR="007830C5" w:rsidRPr="00F47A8D">
        <w:rPr>
          <w:rFonts w:ascii="Cambria" w:hAnsi="Cambria"/>
          <w:sz w:val="20"/>
          <w:szCs w:val="20"/>
        </w:rPr>
        <w:t xml:space="preserve">présente Recommandation abroge et remplace la </w:t>
      </w:r>
      <w:r w:rsidR="7D7C780B" w:rsidRPr="00F47A8D">
        <w:rPr>
          <w:rFonts w:ascii="Cambria" w:hAnsi="Cambria"/>
          <w:i/>
          <w:sz w:val="20"/>
          <w:szCs w:val="20"/>
        </w:rPr>
        <w:t xml:space="preserve">Recommandation supplémentaire de l’ICCAT sur la Recommandation 17-03 </w:t>
      </w:r>
      <w:r w:rsidR="000F6828" w:rsidRPr="00F47A8D">
        <w:rPr>
          <w:rFonts w:ascii="Cambria" w:hAnsi="Cambria"/>
          <w:i/>
          <w:sz w:val="20"/>
          <w:szCs w:val="20"/>
        </w:rPr>
        <w:t xml:space="preserve">amendant la Recommandation 16-04 </w:t>
      </w:r>
      <w:r w:rsidR="7D7C780B" w:rsidRPr="00F47A8D">
        <w:rPr>
          <w:rFonts w:ascii="Cambria" w:hAnsi="Cambria"/>
          <w:i/>
          <w:sz w:val="20"/>
          <w:szCs w:val="20"/>
        </w:rPr>
        <w:t>sur la conservation de l'espadon de l’Atlantique Sud</w:t>
      </w:r>
      <w:r w:rsidR="00225243" w:rsidRPr="00F47A8D">
        <w:rPr>
          <w:rFonts w:ascii="Cambria" w:hAnsi="Cambria"/>
          <w:sz w:val="20"/>
          <w:szCs w:val="20"/>
        </w:rPr>
        <w:t xml:space="preserve"> </w:t>
      </w:r>
      <w:r w:rsidR="005E0E89" w:rsidRPr="00F47A8D">
        <w:rPr>
          <w:rFonts w:ascii="Cambria" w:hAnsi="Cambria"/>
          <w:sz w:val="20"/>
          <w:szCs w:val="20"/>
        </w:rPr>
        <w:t>(Rec.</w:t>
      </w:r>
      <w:r w:rsidR="000F6828" w:rsidRPr="00F47A8D">
        <w:rPr>
          <w:rFonts w:ascii="Cambria" w:hAnsi="Cambria"/>
          <w:sz w:val="20"/>
          <w:szCs w:val="20"/>
        </w:rPr>
        <w:t xml:space="preserve"> 21-03)</w:t>
      </w:r>
      <w:r w:rsidRPr="00F47A8D">
        <w:rPr>
          <w:rFonts w:ascii="Cambria" w:hAnsi="Cambria"/>
          <w:sz w:val="20"/>
          <w:szCs w:val="20"/>
        </w:rPr>
        <w:t>.</w:t>
      </w:r>
    </w:p>
    <w:sectPr w:rsidR="00CB2B19" w:rsidRPr="00F47A8D" w:rsidSect="00F5353E">
      <w:footerReference w:type="default" r:id="rId8"/>
      <w:pgSz w:w="11910" w:h="16840" w:code="9"/>
      <w:pgMar w:top="1418" w:right="1418" w:bottom="1418" w:left="1418" w:header="851" w:footer="113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E3EED" w14:textId="77777777" w:rsidR="00FF52A9" w:rsidRDefault="00FF52A9" w:rsidP="00CB2B19">
      <w:pPr>
        <w:spacing w:after="0" w:line="240" w:lineRule="auto"/>
      </w:pPr>
      <w:r>
        <w:separator/>
      </w:r>
    </w:p>
  </w:endnote>
  <w:endnote w:type="continuationSeparator" w:id="0">
    <w:p w14:paraId="60DB96EF" w14:textId="77777777" w:rsidR="00FF52A9" w:rsidRDefault="00FF52A9" w:rsidP="00CB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784785"/>
      <w:docPartObj>
        <w:docPartGallery w:val="Page Numbers (Bottom of Page)"/>
        <w:docPartUnique/>
      </w:docPartObj>
    </w:sdtPr>
    <w:sdtEndPr>
      <w:rPr>
        <w:noProof/>
      </w:rPr>
    </w:sdtEndPr>
    <w:sdtContent>
      <w:p w14:paraId="059994C5" w14:textId="36580281" w:rsidR="00F5353E" w:rsidRPr="004A10B0" w:rsidRDefault="004A10B0" w:rsidP="004A10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7FA61" w14:textId="77777777" w:rsidR="00FF52A9" w:rsidRDefault="00FF52A9" w:rsidP="00CB2B19">
      <w:pPr>
        <w:spacing w:after="0" w:line="240" w:lineRule="auto"/>
      </w:pPr>
      <w:r>
        <w:separator/>
      </w:r>
    </w:p>
  </w:footnote>
  <w:footnote w:type="continuationSeparator" w:id="0">
    <w:p w14:paraId="2D66EB9A" w14:textId="77777777" w:rsidR="00FF52A9" w:rsidRDefault="00FF52A9" w:rsidP="00CB2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FC0"/>
    <w:multiLevelType w:val="hybridMultilevel"/>
    <w:tmpl w:val="536246C4"/>
    <w:lvl w:ilvl="0" w:tplc="A47482C4">
      <w:start w:val="1"/>
      <w:numFmt w:val="lowerLetter"/>
      <w:lvlText w:val="%1)"/>
      <w:lvlJc w:val="left"/>
      <w:pPr>
        <w:ind w:left="861" w:hanging="435"/>
      </w:pPr>
      <w:rPr>
        <w:rFonts w:ascii="Cambria" w:hAnsi="Cambria" w:hint="default"/>
        <w:b w:val="0"/>
        <w:i w:val="0"/>
        <w:caps w:val="0"/>
        <w:strike w:val="0"/>
        <w:dstrike w:val="0"/>
        <w:vanish w:val="0"/>
        <w:color w:val="auto"/>
        <w:spacing w:val="0"/>
        <w:w w:val="100"/>
        <w:sz w:val="20"/>
        <w:szCs w:val="20"/>
        <w:u w:val="none"/>
        <w:vertAlign w:val="baseli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5900966"/>
    <w:multiLevelType w:val="hybridMultilevel"/>
    <w:tmpl w:val="4E6A990E"/>
    <w:lvl w:ilvl="0" w:tplc="FFFFFFFF">
      <w:start w:val="1"/>
      <w:numFmt w:val="lowerRoman"/>
      <w:lvlText w:val="%1."/>
      <w:lvlJc w:val="right"/>
      <w:pPr>
        <w:ind w:left="210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85534E"/>
    <w:multiLevelType w:val="multilevel"/>
    <w:tmpl w:val="57ACF7D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F100D4"/>
    <w:multiLevelType w:val="hybridMultilevel"/>
    <w:tmpl w:val="08F87CF8"/>
    <w:lvl w:ilvl="0" w:tplc="CE5E8E00">
      <w:start w:val="1"/>
      <w:numFmt w:val="decimal"/>
      <w:lvlText w:val="%1."/>
      <w:lvlJc w:val="left"/>
      <w:pPr>
        <w:ind w:left="477" w:hanging="360"/>
      </w:pPr>
      <w:rPr>
        <w:rFonts w:ascii="Cambria" w:hAnsi="Cambria" w:hint="default"/>
        <w:sz w:val="20"/>
        <w:szCs w:val="20"/>
      </w:rPr>
    </w:lvl>
    <w:lvl w:ilvl="1" w:tplc="2E96943C">
      <w:start w:val="1"/>
      <w:numFmt w:val="lowerLetter"/>
      <w:lvlText w:val="%2)"/>
      <w:lvlJc w:val="left"/>
      <w:pPr>
        <w:ind w:left="1198" w:hanging="360"/>
      </w:pPr>
      <w:rPr>
        <w:sz w:val="20"/>
        <w:szCs w:val="20"/>
      </w:rPr>
    </w:lvl>
    <w:lvl w:ilvl="2" w:tplc="FFFFFFFF">
      <w:start w:val="1"/>
      <w:numFmt w:val="lowerRoman"/>
      <w:lvlText w:val="%3."/>
      <w:lvlJc w:val="right"/>
      <w:pPr>
        <w:ind w:left="2100" w:hanging="360"/>
      </w:pPr>
      <w:rPr>
        <w:sz w:val="20"/>
        <w:szCs w:val="20"/>
      </w:rPr>
    </w:lvl>
    <w:lvl w:ilvl="3" w:tplc="D4FA22AE">
      <w:start w:val="1"/>
      <w:numFmt w:val="bullet"/>
      <w:lvlText w:val="•"/>
      <w:lvlJc w:val="left"/>
      <w:pPr>
        <w:ind w:left="3001" w:hanging="360"/>
      </w:pPr>
    </w:lvl>
    <w:lvl w:ilvl="4" w:tplc="F0F691F8">
      <w:start w:val="1"/>
      <w:numFmt w:val="bullet"/>
      <w:lvlText w:val="•"/>
      <w:lvlJc w:val="left"/>
      <w:pPr>
        <w:ind w:left="3902" w:hanging="360"/>
      </w:pPr>
    </w:lvl>
    <w:lvl w:ilvl="5" w:tplc="41525792">
      <w:start w:val="1"/>
      <w:numFmt w:val="bullet"/>
      <w:lvlText w:val="•"/>
      <w:lvlJc w:val="left"/>
      <w:pPr>
        <w:ind w:left="4802" w:hanging="360"/>
      </w:pPr>
    </w:lvl>
    <w:lvl w:ilvl="6" w:tplc="D4D0D944">
      <w:start w:val="1"/>
      <w:numFmt w:val="bullet"/>
      <w:lvlText w:val="•"/>
      <w:lvlJc w:val="left"/>
      <w:pPr>
        <w:ind w:left="5703" w:hanging="360"/>
      </w:pPr>
    </w:lvl>
    <w:lvl w:ilvl="7" w:tplc="C582A8EC">
      <w:start w:val="1"/>
      <w:numFmt w:val="bullet"/>
      <w:lvlText w:val="•"/>
      <w:lvlJc w:val="left"/>
      <w:pPr>
        <w:ind w:left="6604" w:hanging="360"/>
      </w:pPr>
    </w:lvl>
    <w:lvl w:ilvl="8" w:tplc="0824A252">
      <w:start w:val="1"/>
      <w:numFmt w:val="bullet"/>
      <w:lvlText w:val="•"/>
      <w:lvlJc w:val="left"/>
      <w:pPr>
        <w:ind w:left="7504" w:hanging="360"/>
      </w:pPr>
    </w:lvl>
  </w:abstractNum>
  <w:abstractNum w:abstractNumId="4" w15:restartNumberingAfterBreak="0">
    <w:nsid w:val="140715E8"/>
    <w:multiLevelType w:val="hybridMultilevel"/>
    <w:tmpl w:val="5E626234"/>
    <w:lvl w:ilvl="0" w:tplc="08090015">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4B1C35F4"/>
    <w:multiLevelType w:val="hybridMultilevel"/>
    <w:tmpl w:val="5ADAF19A"/>
    <w:lvl w:ilvl="0" w:tplc="A0F43DC6">
      <w:start w:val="1"/>
      <w:numFmt w:val="lowerLetter"/>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6" w15:restartNumberingAfterBreak="0">
    <w:nsid w:val="665D50B3"/>
    <w:multiLevelType w:val="hybridMultilevel"/>
    <w:tmpl w:val="4E6A990E"/>
    <w:lvl w:ilvl="0" w:tplc="FFFFFFFF">
      <w:start w:val="1"/>
      <w:numFmt w:val="lowerRoman"/>
      <w:lvlText w:val="%1."/>
      <w:lvlJc w:val="right"/>
      <w:pPr>
        <w:ind w:left="2100" w:hanging="360"/>
      </w:pPr>
      <w:rPr>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75968825">
    <w:abstractNumId w:val="2"/>
  </w:num>
  <w:num w:numId="2" w16cid:durableId="2102795560">
    <w:abstractNumId w:val="3"/>
  </w:num>
  <w:num w:numId="3" w16cid:durableId="628706352">
    <w:abstractNumId w:val="6"/>
  </w:num>
  <w:num w:numId="4" w16cid:durableId="597838262">
    <w:abstractNumId w:val="1"/>
  </w:num>
  <w:num w:numId="5" w16cid:durableId="1702055007">
    <w:abstractNumId w:val="5"/>
  </w:num>
  <w:num w:numId="6" w16cid:durableId="1957562462">
    <w:abstractNumId w:val="4"/>
  </w:num>
  <w:num w:numId="7" w16cid:durableId="1925409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IE"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CB2B19"/>
    <w:rsid w:val="00003A5E"/>
    <w:rsid w:val="000273B9"/>
    <w:rsid w:val="00071B58"/>
    <w:rsid w:val="00087D4C"/>
    <w:rsid w:val="000D21A0"/>
    <w:rsid w:val="000F6828"/>
    <w:rsid w:val="00101746"/>
    <w:rsid w:val="00113ACD"/>
    <w:rsid w:val="00151DE8"/>
    <w:rsid w:val="001A46C2"/>
    <w:rsid w:val="001C5482"/>
    <w:rsid w:val="00200B41"/>
    <w:rsid w:val="00211F36"/>
    <w:rsid w:val="002144A0"/>
    <w:rsid w:val="00225243"/>
    <w:rsid w:val="00266589"/>
    <w:rsid w:val="00287102"/>
    <w:rsid w:val="002D4758"/>
    <w:rsid w:val="003301CF"/>
    <w:rsid w:val="00333E7D"/>
    <w:rsid w:val="00350FD2"/>
    <w:rsid w:val="00396E2F"/>
    <w:rsid w:val="003B254B"/>
    <w:rsid w:val="003F555A"/>
    <w:rsid w:val="00422597"/>
    <w:rsid w:val="00474323"/>
    <w:rsid w:val="00487AF5"/>
    <w:rsid w:val="004A10B0"/>
    <w:rsid w:val="004B31D1"/>
    <w:rsid w:val="004D04CA"/>
    <w:rsid w:val="004E2029"/>
    <w:rsid w:val="00524E30"/>
    <w:rsid w:val="005301C3"/>
    <w:rsid w:val="00556D75"/>
    <w:rsid w:val="005E0E89"/>
    <w:rsid w:val="0061159F"/>
    <w:rsid w:val="006168BA"/>
    <w:rsid w:val="00624CD5"/>
    <w:rsid w:val="00666EDA"/>
    <w:rsid w:val="006A59A1"/>
    <w:rsid w:val="006B7149"/>
    <w:rsid w:val="006D04E1"/>
    <w:rsid w:val="006E6D37"/>
    <w:rsid w:val="006F3EF5"/>
    <w:rsid w:val="00706E77"/>
    <w:rsid w:val="00735003"/>
    <w:rsid w:val="0075362C"/>
    <w:rsid w:val="0075618B"/>
    <w:rsid w:val="007622A4"/>
    <w:rsid w:val="007830C5"/>
    <w:rsid w:val="007D2E00"/>
    <w:rsid w:val="007D734F"/>
    <w:rsid w:val="007E640B"/>
    <w:rsid w:val="007F7C26"/>
    <w:rsid w:val="00806E04"/>
    <w:rsid w:val="00822815"/>
    <w:rsid w:val="00846501"/>
    <w:rsid w:val="008610C6"/>
    <w:rsid w:val="00867513"/>
    <w:rsid w:val="00880519"/>
    <w:rsid w:val="008A543D"/>
    <w:rsid w:val="008A5567"/>
    <w:rsid w:val="008B0AD2"/>
    <w:rsid w:val="008D0629"/>
    <w:rsid w:val="0091389D"/>
    <w:rsid w:val="0093615D"/>
    <w:rsid w:val="009724FD"/>
    <w:rsid w:val="009A71D2"/>
    <w:rsid w:val="009B094F"/>
    <w:rsid w:val="009B5B61"/>
    <w:rsid w:val="009D7054"/>
    <w:rsid w:val="00A24662"/>
    <w:rsid w:val="00A25B67"/>
    <w:rsid w:val="00A27A94"/>
    <w:rsid w:val="00A30036"/>
    <w:rsid w:val="00A42784"/>
    <w:rsid w:val="00A77BAF"/>
    <w:rsid w:val="00A8751E"/>
    <w:rsid w:val="00AB7848"/>
    <w:rsid w:val="00B1033B"/>
    <w:rsid w:val="00B14773"/>
    <w:rsid w:val="00B538B8"/>
    <w:rsid w:val="00B6134A"/>
    <w:rsid w:val="00B91756"/>
    <w:rsid w:val="00BA2902"/>
    <w:rsid w:val="00BB6FD8"/>
    <w:rsid w:val="00BC1B6D"/>
    <w:rsid w:val="00BC27E9"/>
    <w:rsid w:val="00C24BC1"/>
    <w:rsid w:val="00C622C6"/>
    <w:rsid w:val="00C655EC"/>
    <w:rsid w:val="00C93DBA"/>
    <w:rsid w:val="00C943B3"/>
    <w:rsid w:val="00CB2B19"/>
    <w:rsid w:val="00D1191F"/>
    <w:rsid w:val="00D16539"/>
    <w:rsid w:val="00D22CEC"/>
    <w:rsid w:val="00D5626B"/>
    <w:rsid w:val="00D56859"/>
    <w:rsid w:val="00D660B9"/>
    <w:rsid w:val="00DC169C"/>
    <w:rsid w:val="00E05399"/>
    <w:rsid w:val="00E76EC2"/>
    <w:rsid w:val="00EF27A3"/>
    <w:rsid w:val="00F038E8"/>
    <w:rsid w:val="00F37486"/>
    <w:rsid w:val="00F47A8D"/>
    <w:rsid w:val="00F5353E"/>
    <w:rsid w:val="00F600A4"/>
    <w:rsid w:val="00F771C2"/>
    <w:rsid w:val="00FA3902"/>
    <w:rsid w:val="00FC7705"/>
    <w:rsid w:val="00FD776F"/>
    <w:rsid w:val="00FE766D"/>
    <w:rsid w:val="00FF52A9"/>
    <w:rsid w:val="00FF55B3"/>
    <w:rsid w:val="0101795A"/>
    <w:rsid w:val="037E5631"/>
    <w:rsid w:val="03B7AEF7"/>
    <w:rsid w:val="03F4B5EC"/>
    <w:rsid w:val="052FF5C2"/>
    <w:rsid w:val="0532E4A7"/>
    <w:rsid w:val="0621176E"/>
    <w:rsid w:val="0661C615"/>
    <w:rsid w:val="0663113B"/>
    <w:rsid w:val="06860419"/>
    <w:rsid w:val="06CEB508"/>
    <w:rsid w:val="080D3AFE"/>
    <w:rsid w:val="089F6ACA"/>
    <w:rsid w:val="099E51B5"/>
    <w:rsid w:val="09F5E3C9"/>
    <w:rsid w:val="09F89D93"/>
    <w:rsid w:val="09FB788D"/>
    <w:rsid w:val="0AF6CF15"/>
    <w:rsid w:val="0B99F2F5"/>
    <w:rsid w:val="0BC735A1"/>
    <w:rsid w:val="0BD5FE00"/>
    <w:rsid w:val="0CD5F277"/>
    <w:rsid w:val="0D24CE2F"/>
    <w:rsid w:val="0D47E307"/>
    <w:rsid w:val="0D77653C"/>
    <w:rsid w:val="0E08D4BB"/>
    <w:rsid w:val="0E96A0FE"/>
    <w:rsid w:val="0EFBB14F"/>
    <w:rsid w:val="0F214A29"/>
    <w:rsid w:val="0FAA9D3E"/>
    <w:rsid w:val="1022A1E6"/>
    <w:rsid w:val="11DF813D"/>
    <w:rsid w:val="12677F99"/>
    <w:rsid w:val="12B68566"/>
    <w:rsid w:val="12DC70D0"/>
    <w:rsid w:val="14E468F3"/>
    <w:rsid w:val="1573D410"/>
    <w:rsid w:val="159A4451"/>
    <w:rsid w:val="16269C23"/>
    <w:rsid w:val="17D34E2E"/>
    <w:rsid w:val="18903F91"/>
    <w:rsid w:val="18A5B8A9"/>
    <w:rsid w:val="18A9E13B"/>
    <w:rsid w:val="190F3C84"/>
    <w:rsid w:val="1A5DD5CA"/>
    <w:rsid w:val="1AC7801E"/>
    <w:rsid w:val="1B53AF78"/>
    <w:rsid w:val="1B5BFBA9"/>
    <w:rsid w:val="1B72FD9D"/>
    <w:rsid w:val="1BC5043D"/>
    <w:rsid w:val="1D3B3540"/>
    <w:rsid w:val="1DBEC8F2"/>
    <w:rsid w:val="1DE4CE98"/>
    <w:rsid w:val="1F499864"/>
    <w:rsid w:val="1F506670"/>
    <w:rsid w:val="1F92EEB7"/>
    <w:rsid w:val="203A026B"/>
    <w:rsid w:val="20AC9A9F"/>
    <w:rsid w:val="20F88770"/>
    <w:rsid w:val="211F3657"/>
    <w:rsid w:val="212AD49F"/>
    <w:rsid w:val="216B13D0"/>
    <w:rsid w:val="21D2C3C9"/>
    <w:rsid w:val="2373F67E"/>
    <w:rsid w:val="23E8CD5E"/>
    <w:rsid w:val="2452EB4B"/>
    <w:rsid w:val="24A1C250"/>
    <w:rsid w:val="25024572"/>
    <w:rsid w:val="284BC51B"/>
    <w:rsid w:val="2859A2E1"/>
    <w:rsid w:val="28BF00D6"/>
    <w:rsid w:val="293F8121"/>
    <w:rsid w:val="295A266F"/>
    <w:rsid w:val="29922443"/>
    <w:rsid w:val="2B1B1E6D"/>
    <w:rsid w:val="2BB759A1"/>
    <w:rsid w:val="2C436B6E"/>
    <w:rsid w:val="2C474F1C"/>
    <w:rsid w:val="2C9128F0"/>
    <w:rsid w:val="2D540EDF"/>
    <w:rsid w:val="2DA9E696"/>
    <w:rsid w:val="2DE79EE9"/>
    <w:rsid w:val="2F0DC956"/>
    <w:rsid w:val="2F1ED384"/>
    <w:rsid w:val="2F5FEC6F"/>
    <w:rsid w:val="2FCED790"/>
    <w:rsid w:val="2FE4C790"/>
    <w:rsid w:val="301D3FC1"/>
    <w:rsid w:val="30229D91"/>
    <w:rsid w:val="302A04E2"/>
    <w:rsid w:val="3049E6A6"/>
    <w:rsid w:val="308BAFA1"/>
    <w:rsid w:val="30F80D28"/>
    <w:rsid w:val="31153FDD"/>
    <w:rsid w:val="314A99F3"/>
    <w:rsid w:val="3221972F"/>
    <w:rsid w:val="32278002"/>
    <w:rsid w:val="3241AFF8"/>
    <w:rsid w:val="334181E1"/>
    <w:rsid w:val="3596701C"/>
    <w:rsid w:val="364D6888"/>
    <w:rsid w:val="367152BE"/>
    <w:rsid w:val="3716232C"/>
    <w:rsid w:val="37A52192"/>
    <w:rsid w:val="37C61E20"/>
    <w:rsid w:val="37F56D69"/>
    <w:rsid w:val="380C6891"/>
    <w:rsid w:val="39348303"/>
    <w:rsid w:val="393C837B"/>
    <w:rsid w:val="395AB1C8"/>
    <w:rsid w:val="398A3EED"/>
    <w:rsid w:val="3A31C622"/>
    <w:rsid w:val="3A339980"/>
    <w:rsid w:val="3AF17C39"/>
    <w:rsid w:val="3BC7C098"/>
    <w:rsid w:val="3BD83067"/>
    <w:rsid w:val="3C2D941A"/>
    <w:rsid w:val="3C54B795"/>
    <w:rsid w:val="3C65606C"/>
    <w:rsid w:val="3CADF148"/>
    <w:rsid w:val="3D5FF9AA"/>
    <w:rsid w:val="3E9240ED"/>
    <w:rsid w:val="3E925BFF"/>
    <w:rsid w:val="3F04E3B6"/>
    <w:rsid w:val="3F070AA3"/>
    <w:rsid w:val="4049F8B9"/>
    <w:rsid w:val="406A91AD"/>
    <w:rsid w:val="41178CD0"/>
    <w:rsid w:val="417BD23F"/>
    <w:rsid w:val="4181626B"/>
    <w:rsid w:val="41A98BAC"/>
    <w:rsid w:val="41C55667"/>
    <w:rsid w:val="426ADA19"/>
    <w:rsid w:val="42E365C1"/>
    <w:rsid w:val="4349254B"/>
    <w:rsid w:val="4350602F"/>
    <w:rsid w:val="4356A17C"/>
    <w:rsid w:val="439EF336"/>
    <w:rsid w:val="44336A51"/>
    <w:rsid w:val="44876745"/>
    <w:rsid w:val="448B78CB"/>
    <w:rsid w:val="448E97A3"/>
    <w:rsid w:val="456409B7"/>
    <w:rsid w:val="45A8C98B"/>
    <w:rsid w:val="45C08F57"/>
    <w:rsid w:val="461F3FE2"/>
    <w:rsid w:val="4628AF93"/>
    <w:rsid w:val="46761504"/>
    <w:rsid w:val="46AA9295"/>
    <w:rsid w:val="4740B48E"/>
    <w:rsid w:val="4744F58F"/>
    <w:rsid w:val="47E262D3"/>
    <w:rsid w:val="484A7281"/>
    <w:rsid w:val="487BE775"/>
    <w:rsid w:val="49623CB2"/>
    <w:rsid w:val="49C5E300"/>
    <w:rsid w:val="4A470B98"/>
    <w:rsid w:val="4A4A171E"/>
    <w:rsid w:val="4A7B42D9"/>
    <w:rsid w:val="4ABDB595"/>
    <w:rsid w:val="4B98D188"/>
    <w:rsid w:val="4C031B9B"/>
    <w:rsid w:val="4C1FBFB6"/>
    <w:rsid w:val="4C80EF23"/>
    <w:rsid w:val="4CD5A345"/>
    <w:rsid w:val="4E924B5D"/>
    <w:rsid w:val="4EC6048F"/>
    <w:rsid w:val="4ED0724A"/>
    <w:rsid w:val="4ED2EDF3"/>
    <w:rsid w:val="4F494F17"/>
    <w:rsid w:val="4FA587D2"/>
    <w:rsid w:val="4FDE6A5C"/>
    <w:rsid w:val="4FFEAEF0"/>
    <w:rsid w:val="5043E646"/>
    <w:rsid w:val="50CCE0C9"/>
    <w:rsid w:val="513C9D92"/>
    <w:rsid w:val="51415833"/>
    <w:rsid w:val="515DBB21"/>
    <w:rsid w:val="51B77DDF"/>
    <w:rsid w:val="5298529A"/>
    <w:rsid w:val="52D3A8AA"/>
    <w:rsid w:val="530BFC71"/>
    <w:rsid w:val="53C56050"/>
    <w:rsid w:val="53CEB557"/>
    <w:rsid w:val="540AF14C"/>
    <w:rsid w:val="5421895D"/>
    <w:rsid w:val="544C28FF"/>
    <w:rsid w:val="545582AC"/>
    <w:rsid w:val="546077D4"/>
    <w:rsid w:val="546224DB"/>
    <w:rsid w:val="54FC23F3"/>
    <w:rsid w:val="55794D3C"/>
    <w:rsid w:val="55D47DF9"/>
    <w:rsid w:val="562970FF"/>
    <w:rsid w:val="5634CB78"/>
    <w:rsid w:val="5697F454"/>
    <w:rsid w:val="56FD0112"/>
    <w:rsid w:val="57010465"/>
    <w:rsid w:val="5753DD0E"/>
    <w:rsid w:val="5793D42A"/>
    <w:rsid w:val="579B04B3"/>
    <w:rsid w:val="582D68C7"/>
    <w:rsid w:val="5898D173"/>
    <w:rsid w:val="58A79544"/>
    <w:rsid w:val="595E67DC"/>
    <w:rsid w:val="5968B1DE"/>
    <w:rsid w:val="59E3F450"/>
    <w:rsid w:val="5A39845A"/>
    <w:rsid w:val="5A8B7DD0"/>
    <w:rsid w:val="5ABE62A9"/>
    <w:rsid w:val="5B18CB9F"/>
    <w:rsid w:val="5C05A8FF"/>
    <w:rsid w:val="5C3F3590"/>
    <w:rsid w:val="5C53A61B"/>
    <w:rsid w:val="5CDD31F8"/>
    <w:rsid w:val="5CF12746"/>
    <w:rsid w:val="5D0735D8"/>
    <w:rsid w:val="5D498F7F"/>
    <w:rsid w:val="5DAF4346"/>
    <w:rsid w:val="5DB0D4DE"/>
    <w:rsid w:val="5DB4D2EC"/>
    <w:rsid w:val="5DB99C8A"/>
    <w:rsid w:val="5DFF1288"/>
    <w:rsid w:val="5EB78825"/>
    <w:rsid w:val="5F52B80C"/>
    <w:rsid w:val="5F9766DF"/>
    <w:rsid w:val="5FA18A57"/>
    <w:rsid w:val="6022DFCA"/>
    <w:rsid w:val="6058418C"/>
    <w:rsid w:val="60891429"/>
    <w:rsid w:val="61333740"/>
    <w:rsid w:val="618BEEC5"/>
    <w:rsid w:val="61A2A581"/>
    <w:rsid w:val="61C77912"/>
    <w:rsid w:val="61EC53B0"/>
    <w:rsid w:val="6263A672"/>
    <w:rsid w:val="6274F955"/>
    <w:rsid w:val="629C9097"/>
    <w:rsid w:val="6302F131"/>
    <w:rsid w:val="63219335"/>
    <w:rsid w:val="63B716BD"/>
    <w:rsid w:val="63CCCE50"/>
    <w:rsid w:val="63F6A3E9"/>
    <w:rsid w:val="64569400"/>
    <w:rsid w:val="64F01224"/>
    <w:rsid w:val="651247BD"/>
    <w:rsid w:val="660307C6"/>
    <w:rsid w:val="665E099C"/>
    <w:rsid w:val="66D95573"/>
    <w:rsid w:val="6733998A"/>
    <w:rsid w:val="6750D87B"/>
    <w:rsid w:val="6758124B"/>
    <w:rsid w:val="67B9764B"/>
    <w:rsid w:val="67F25AA7"/>
    <w:rsid w:val="6800D36F"/>
    <w:rsid w:val="684A2B14"/>
    <w:rsid w:val="68A3E936"/>
    <w:rsid w:val="692520C8"/>
    <w:rsid w:val="6948C1F9"/>
    <w:rsid w:val="69BCBC99"/>
    <w:rsid w:val="6AC05376"/>
    <w:rsid w:val="6AF39D55"/>
    <w:rsid w:val="6B19075E"/>
    <w:rsid w:val="6B5ABE9F"/>
    <w:rsid w:val="6BB00FC2"/>
    <w:rsid w:val="6BCDEB8E"/>
    <w:rsid w:val="6BE9DA83"/>
    <w:rsid w:val="6CE2E2BD"/>
    <w:rsid w:val="6D4FAEA6"/>
    <w:rsid w:val="6D539185"/>
    <w:rsid w:val="6D759A57"/>
    <w:rsid w:val="6DE6F093"/>
    <w:rsid w:val="6E0C5372"/>
    <w:rsid w:val="6EA001A6"/>
    <w:rsid w:val="6EA74956"/>
    <w:rsid w:val="6EB7984E"/>
    <w:rsid w:val="6F707A0A"/>
    <w:rsid w:val="6F9690D6"/>
    <w:rsid w:val="70E8A523"/>
    <w:rsid w:val="7129F25E"/>
    <w:rsid w:val="717E16F4"/>
    <w:rsid w:val="7187BC33"/>
    <w:rsid w:val="71E29DB3"/>
    <w:rsid w:val="722AB6E2"/>
    <w:rsid w:val="725F8AD9"/>
    <w:rsid w:val="7451272A"/>
    <w:rsid w:val="7488B87B"/>
    <w:rsid w:val="74AAAB17"/>
    <w:rsid w:val="74FA7810"/>
    <w:rsid w:val="750F432A"/>
    <w:rsid w:val="752FDE22"/>
    <w:rsid w:val="75B06C45"/>
    <w:rsid w:val="75D8667B"/>
    <w:rsid w:val="76489FA2"/>
    <w:rsid w:val="768CF89B"/>
    <w:rsid w:val="76F4FADE"/>
    <w:rsid w:val="779ED67E"/>
    <w:rsid w:val="77F2DF21"/>
    <w:rsid w:val="78D2717A"/>
    <w:rsid w:val="78D78D66"/>
    <w:rsid w:val="79362A09"/>
    <w:rsid w:val="79804064"/>
    <w:rsid w:val="79E73F24"/>
    <w:rsid w:val="7AB0A03B"/>
    <w:rsid w:val="7AD768C7"/>
    <w:rsid w:val="7AF3E172"/>
    <w:rsid w:val="7B0C44F0"/>
    <w:rsid w:val="7BD3D763"/>
    <w:rsid w:val="7C07EBD3"/>
    <w:rsid w:val="7C49BD35"/>
    <w:rsid w:val="7C82C962"/>
    <w:rsid w:val="7CB89B1D"/>
    <w:rsid w:val="7CBA0BAF"/>
    <w:rsid w:val="7CE40B6C"/>
    <w:rsid w:val="7D7C780B"/>
    <w:rsid w:val="7EC33AEF"/>
    <w:rsid w:val="7F5BB3E7"/>
    <w:rsid w:val="7F60D3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6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B19"/>
    <w:pPr>
      <w:widowControl w:val="0"/>
      <w:tabs>
        <w:tab w:val="center" w:pos="4513"/>
        <w:tab w:val="right" w:pos="9026"/>
      </w:tabs>
      <w:spacing w:after="0" w:line="240" w:lineRule="auto"/>
    </w:pPr>
    <w:rPr>
      <w:rFonts w:ascii="Cambria" w:eastAsia="Cambria" w:hAnsi="Cambria" w:cs="Cambria"/>
    </w:rPr>
  </w:style>
  <w:style w:type="character" w:customStyle="1" w:styleId="HeaderChar">
    <w:name w:val="Header Char"/>
    <w:basedOn w:val="DefaultParagraphFont"/>
    <w:link w:val="Header"/>
    <w:uiPriority w:val="99"/>
    <w:rsid w:val="00CB2B19"/>
    <w:rPr>
      <w:rFonts w:ascii="Cambria" w:eastAsia="Cambria" w:hAnsi="Cambria" w:cs="Cambria"/>
      <w:lang w:val="fr-FR"/>
    </w:rPr>
  </w:style>
  <w:style w:type="paragraph" w:styleId="Footer">
    <w:name w:val="footer"/>
    <w:basedOn w:val="Normal"/>
    <w:link w:val="FooterChar"/>
    <w:uiPriority w:val="99"/>
    <w:unhideWhenUsed/>
    <w:rsid w:val="00CB2B19"/>
    <w:pPr>
      <w:widowControl w:val="0"/>
      <w:tabs>
        <w:tab w:val="center" w:pos="4513"/>
        <w:tab w:val="right" w:pos="9026"/>
      </w:tabs>
      <w:spacing w:after="0" w:line="240" w:lineRule="auto"/>
    </w:pPr>
    <w:rPr>
      <w:rFonts w:ascii="Cambria" w:eastAsia="Cambria" w:hAnsi="Cambria" w:cs="Cambria"/>
    </w:rPr>
  </w:style>
  <w:style w:type="character" w:customStyle="1" w:styleId="FooterChar">
    <w:name w:val="Footer Char"/>
    <w:basedOn w:val="DefaultParagraphFont"/>
    <w:link w:val="Footer"/>
    <w:uiPriority w:val="99"/>
    <w:rsid w:val="00CB2B19"/>
    <w:rPr>
      <w:rFonts w:ascii="Cambria" w:eastAsia="Cambria" w:hAnsi="Cambria" w:cs="Cambria"/>
      <w:lang w:val="fr-FR"/>
    </w:rPr>
  </w:style>
  <w:style w:type="paragraph" w:styleId="FootnoteText">
    <w:name w:val="footnote text"/>
    <w:basedOn w:val="Normal"/>
    <w:link w:val="FootnoteTextChar"/>
    <w:uiPriority w:val="99"/>
    <w:semiHidden/>
    <w:unhideWhenUsed/>
    <w:rsid w:val="00CB2B19"/>
    <w:pPr>
      <w:widowControl w:val="0"/>
      <w:spacing w:after="0" w:line="240" w:lineRule="auto"/>
    </w:pPr>
    <w:rPr>
      <w:rFonts w:ascii="Cambria" w:eastAsia="Cambria" w:hAnsi="Cambria" w:cs="Cambria"/>
      <w:sz w:val="20"/>
      <w:szCs w:val="20"/>
    </w:rPr>
  </w:style>
  <w:style w:type="character" w:customStyle="1" w:styleId="FootnoteTextChar">
    <w:name w:val="Footnote Text Char"/>
    <w:basedOn w:val="DefaultParagraphFont"/>
    <w:link w:val="FootnoteText"/>
    <w:uiPriority w:val="99"/>
    <w:semiHidden/>
    <w:rsid w:val="00CB2B19"/>
    <w:rPr>
      <w:rFonts w:ascii="Cambria" w:eastAsia="Cambria" w:hAnsi="Cambria" w:cs="Cambria"/>
      <w:sz w:val="20"/>
      <w:szCs w:val="20"/>
      <w:lang w:val="fr-FR"/>
    </w:rPr>
  </w:style>
  <w:style w:type="character" w:styleId="FootnoteReference">
    <w:name w:val="footnote reference"/>
    <w:basedOn w:val="DefaultParagraphFont"/>
    <w:uiPriority w:val="99"/>
    <w:semiHidden/>
    <w:unhideWhenUsed/>
    <w:rsid w:val="00CB2B19"/>
    <w:rPr>
      <w:vertAlign w:val="superscript"/>
    </w:rPr>
  </w:style>
  <w:style w:type="character" w:customStyle="1" w:styleId="Mention1">
    <w:name w:val="Mention1"/>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4B3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55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55A"/>
    <w:rPr>
      <w:rFonts w:ascii="Segoe UI" w:hAnsi="Segoe UI" w:cs="Segoe UI"/>
      <w:sz w:val="18"/>
      <w:szCs w:val="18"/>
    </w:rPr>
  </w:style>
  <w:style w:type="table" w:customStyle="1" w:styleId="TableauNorm12">
    <w:name w:val="Tableau Norm12"/>
    <w:uiPriority w:val="99"/>
    <w:semiHidden/>
    <w:rsid w:val="00BC1B6D"/>
    <w:pPr>
      <w:spacing w:after="0" w:line="240" w:lineRule="auto"/>
    </w:pPr>
    <w:rPr>
      <w:rFonts w:ascii="Calibri" w:eastAsia="Calibri" w:hAnsi="Calibri" w:cs="Times New Roman"/>
      <w:sz w:val="24"/>
      <w:szCs w:val="24"/>
    </w:rPr>
    <w:tblPr>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BC1B6D"/>
    <w:rPr>
      <w:b/>
      <w:bCs/>
    </w:rPr>
  </w:style>
  <w:style w:type="character" w:customStyle="1" w:styleId="CommentSubjectChar">
    <w:name w:val="Comment Subject Char"/>
    <w:basedOn w:val="CommentTextChar"/>
    <w:link w:val="CommentSubject"/>
    <w:uiPriority w:val="99"/>
    <w:semiHidden/>
    <w:rsid w:val="00BC1B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301378">
      <w:bodyDiv w:val="1"/>
      <w:marLeft w:val="0"/>
      <w:marRight w:val="0"/>
      <w:marTop w:val="0"/>
      <w:marBottom w:val="0"/>
      <w:divBdr>
        <w:top w:val="none" w:sz="0" w:space="0" w:color="auto"/>
        <w:left w:val="none" w:sz="0" w:space="0" w:color="auto"/>
        <w:bottom w:val="none" w:sz="0" w:space="0" w:color="auto"/>
        <w:right w:val="none" w:sz="0" w:space="0" w:color="auto"/>
      </w:divBdr>
    </w:div>
    <w:div w:id="417865529">
      <w:bodyDiv w:val="1"/>
      <w:marLeft w:val="0"/>
      <w:marRight w:val="0"/>
      <w:marTop w:val="0"/>
      <w:marBottom w:val="0"/>
      <w:divBdr>
        <w:top w:val="none" w:sz="0" w:space="0" w:color="auto"/>
        <w:left w:val="none" w:sz="0" w:space="0" w:color="auto"/>
        <w:bottom w:val="none" w:sz="0" w:space="0" w:color="auto"/>
        <w:right w:val="none" w:sz="0" w:space="0" w:color="auto"/>
      </w:divBdr>
    </w:div>
    <w:div w:id="548148705">
      <w:bodyDiv w:val="1"/>
      <w:marLeft w:val="0"/>
      <w:marRight w:val="0"/>
      <w:marTop w:val="0"/>
      <w:marBottom w:val="0"/>
      <w:divBdr>
        <w:top w:val="none" w:sz="0" w:space="0" w:color="auto"/>
        <w:left w:val="none" w:sz="0" w:space="0" w:color="auto"/>
        <w:bottom w:val="none" w:sz="0" w:space="0" w:color="auto"/>
        <w:right w:val="none" w:sz="0" w:space="0" w:color="auto"/>
      </w:divBdr>
    </w:div>
    <w:div w:id="732703352">
      <w:bodyDiv w:val="1"/>
      <w:marLeft w:val="0"/>
      <w:marRight w:val="0"/>
      <w:marTop w:val="0"/>
      <w:marBottom w:val="0"/>
      <w:divBdr>
        <w:top w:val="none" w:sz="0" w:space="0" w:color="auto"/>
        <w:left w:val="none" w:sz="0" w:space="0" w:color="auto"/>
        <w:bottom w:val="none" w:sz="0" w:space="0" w:color="auto"/>
        <w:right w:val="none" w:sz="0" w:space="0" w:color="auto"/>
      </w:divBdr>
    </w:div>
    <w:div w:id="1517576613">
      <w:bodyDiv w:val="1"/>
      <w:marLeft w:val="0"/>
      <w:marRight w:val="0"/>
      <w:marTop w:val="0"/>
      <w:marBottom w:val="0"/>
      <w:divBdr>
        <w:top w:val="none" w:sz="0" w:space="0" w:color="auto"/>
        <w:left w:val="none" w:sz="0" w:space="0" w:color="auto"/>
        <w:bottom w:val="none" w:sz="0" w:space="0" w:color="auto"/>
        <w:right w:val="none" w:sz="0" w:space="0" w:color="auto"/>
      </w:divBdr>
    </w:div>
    <w:div w:id="191843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6CCF1-2ADA-4232-AF58-6636BDB18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2022-11-07T16:02:00Z</dcterms:created>
  <dcterms:modified xsi:type="dcterms:W3CDTF">2022-12-19T13:05:00Z</dcterms:modified>
</cp:coreProperties>
</file>