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AC27" w14:textId="77777777" w:rsidR="009E7AA0" w:rsidRPr="009618E7" w:rsidRDefault="009E7AA0" w:rsidP="009510BA">
      <w:pPr>
        <w:widowControl w:val="0"/>
        <w:spacing w:before="1" w:after="0" w:line="240" w:lineRule="auto"/>
        <w:ind w:right="2"/>
        <w:jc w:val="center"/>
        <w:rPr>
          <w:rFonts w:ascii="Cambria" w:eastAsia="Cambria" w:hAnsi="Cambria" w:cs="Cambria"/>
          <w:b/>
          <w:sz w:val="20"/>
          <w:szCs w:val="20"/>
          <w:lang w:val="en-US"/>
        </w:rPr>
      </w:pPr>
    </w:p>
    <w:p w14:paraId="21BB66EB" w14:textId="1B218446" w:rsidR="008E06A4" w:rsidRPr="009618E7" w:rsidRDefault="008E06A4" w:rsidP="008E06A4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" w:after="0" w:line="240" w:lineRule="auto"/>
        <w:ind w:right="2"/>
        <w:jc w:val="center"/>
        <w:rPr>
          <w:rFonts w:ascii="Cambria" w:eastAsia="Cambria" w:hAnsi="Cambria" w:cs="Cambria"/>
          <w:b/>
          <w:sz w:val="20"/>
          <w:szCs w:val="20"/>
          <w:lang w:val="en-US"/>
        </w:rPr>
      </w:pPr>
      <w:r w:rsidRPr="009618E7">
        <w:rPr>
          <w:rFonts w:ascii="Cambria" w:eastAsia="Cambria" w:hAnsi="Cambria" w:cs="Cambria"/>
          <w:b/>
          <w:sz w:val="20"/>
          <w:szCs w:val="20"/>
          <w:lang w:val="en-US"/>
        </w:rPr>
        <w:t>22-</w:t>
      </w:r>
      <w:r w:rsidR="005A14D2" w:rsidRPr="009618E7">
        <w:rPr>
          <w:rFonts w:ascii="Cambria" w:eastAsia="Cambria" w:hAnsi="Cambria" w:cs="Cambria"/>
          <w:b/>
          <w:sz w:val="20"/>
          <w:szCs w:val="20"/>
          <w:lang w:val="en-US"/>
        </w:rPr>
        <w:t>04</w:t>
      </w:r>
      <w:r w:rsidRPr="009618E7">
        <w:rPr>
          <w:rFonts w:ascii="Cambria" w:eastAsia="Cambria" w:hAnsi="Cambria" w:cs="Cambria"/>
          <w:b/>
          <w:sz w:val="20"/>
          <w:szCs w:val="20"/>
          <w:lang w:val="en-US"/>
        </w:rPr>
        <w:tab/>
      </w:r>
      <w:r w:rsidRPr="009618E7">
        <w:rPr>
          <w:rFonts w:ascii="Cambria" w:eastAsia="Cambria" w:hAnsi="Cambria" w:cs="Cambria"/>
          <w:b/>
          <w:sz w:val="20"/>
          <w:szCs w:val="20"/>
          <w:lang w:val="en-US"/>
        </w:rPr>
        <w:tab/>
      </w:r>
      <w:r w:rsidRPr="009618E7">
        <w:rPr>
          <w:rFonts w:ascii="Cambria" w:eastAsia="Cambria" w:hAnsi="Cambria" w:cs="Cambria"/>
          <w:b/>
          <w:sz w:val="20"/>
          <w:szCs w:val="20"/>
          <w:lang w:val="en-US"/>
        </w:rPr>
        <w:tab/>
      </w:r>
      <w:r w:rsidRPr="009618E7">
        <w:rPr>
          <w:rFonts w:ascii="Cambria" w:eastAsia="Cambria" w:hAnsi="Cambria" w:cs="Cambria"/>
          <w:b/>
          <w:sz w:val="20"/>
          <w:szCs w:val="20"/>
          <w:lang w:val="en-US"/>
        </w:rPr>
        <w:tab/>
      </w:r>
      <w:r w:rsidRPr="009618E7">
        <w:rPr>
          <w:rFonts w:ascii="Cambria" w:eastAsia="Cambria" w:hAnsi="Cambria" w:cs="Cambria"/>
          <w:b/>
          <w:sz w:val="20"/>
          <w:szCs w:val="20"/>
          <w:lang w:val="en-US"/>
        </w:rPr>
        <w:tab/>
      </w:r>
      <w:r w:rsidRPr="009618E7">
        <w:rPr>
          <w:rFonts w:ascii="Cambria" w:eastAsia="Cambria" w:hAnsi="Cambria" w:cs="Cambria"/>
          <w:b/>
          <w:sz w:val="20"/>
          <w:szCs w:val="20"/>
          <w:lang w:val="en-US"/>
        </w:rPr>
        <w:tab/>
      </w:r>
      <w:r w:rsidRPr="009618E7">
        <w:rPr>
          <w:rFonts w:ascii="Cambria" w:eastAsia="Cambria" w:hAnsi="Cambria" w:cs="Cambria"/>
          <w:b/>
          <w:sz w:val="20"/>
          <w:szCs w:val="20"/>
          <w:lang w:val="en-US"/>
        </w:rPr>
        <w:tab/>
      </w:r>
      <w:r w:rsidRPr="009618E7">
        <w:rPr>
          <w:rFonts w:ascii="Cambria" w:eastAsia="Cambria" w:hAnsi="Cambria" w:cs="Cambria"/>
          <w:b/>
          <w:sz w:val="20"/>
          <w:szCs w:val="20"/>
          <w:lang w:val="en-US"/>
        </w:rPr>
        <w:tab/>
      </w:r>
      <w:r w:rsidRPr="009618E7">
        <w:rPr>
          <w:rFonts w:ascii="Cambria" w:eastAsia="Cambria" w:hAnsi="Cambria" w:cs="Cambria"/>
          <w:b/>
          <w:sz w:val="20"/>
          <w:szCs w:val="20"/>
          <w:lang w:val="en-US"/>
        </w:rPr>
        <w:tab/>
      </w:r>
      <w:r w:rsidRPr="009618E7">
        <w:rPr>
          <w:rFonts w:ascii="Cambria" w:eastAsia="Cambria" w:hAnsi="Cambria" w:cs="Cambria"/>
          <w:b/>
          <w:sz w:val="20"/>
          <w:szCs w:val="20"/>
          <w:lang w:val="en-US"/>
        </w:rPr>
        <w:tab/>
      </w:r>
      <w:r w:rsidRPr="009618E7">
        <w:rPr>
          <w:rFonts w:ascii="Cambria" w:eastAsia="Cambria" w:hAnsi="Cambria" w:cs="Cambria"/>
          <w:b/>
          <w:sz w:val="20"/>
          <w:szCs w:val="20"/>
          <w:lang w:val="en-US"/>
        </w:rPr>
        <w:tab/>
      </w:r>
      <w:r w:rsidR="005A14D2" w:rsidRPr="009618E7">
        <w:rPr>
          <w:rFonts w:ascii="Cambria" w:eastAsia="Cambria" w:hAnsi="Cambria" w:cs="Cambria"/>
          <w:b/>
          <w:sz w:val="20"/>
          <w:szCs w:val="20"/>
          <w:lang w:val="en-US"/>
        </w:rPr>
        <w:t xml:space="preserve">               </w:t>
      </w:r>
      <w:r w:rsidRPr="009618E7">
        <w:rPr>
          <w:rFonts w:ascii="Cambria" w:eastAsia="Cambria" w:hAnsi="Cambria" w:cs="Cambria"/>
          <w:b/>
          <w:sz w:val="20"/>
          <w:szCs w:val="20"/>
          <w:lang w:val="en-US"/>
        </w:rPr>
        <w:t>SWO</w:t>
      </w:r>
    </w:p>
    <w:p w14:paraId="4E050621" w14:textId="77777777" w:rsidR="008E06A4" w:rsidRPr="009618E7" w:rsidRDefault="00F245CC" w:rsidP="008E06A4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" w:after="0" w:line="240" w:lineRule="auto"/>
        <w:ind w:right="2"/>
        <w:jc w:val="center"/>
        <w:rPr>
          <w:rFonts w:ascii="Cambria" w:eastAsia="Cambria" w:hAnsi="Cambria" w:cs="Cambria"/>
          <w:b/>
          <w:sz w:val="20"/>
          <w:szCs w:val="20"/>
          <w:lang w:val="en-US"/>
        </w:rPr>
      </w:pPr>
      <w:r w:rsidRPr="009618E7">
        <w:rPr>
          <w:rFonts w:ascii="Cambria" w:eastAsia="Cambria" w:hAnsi="Cambria" w:cs="Cambria"/>
          <w:b/>
          <w:sz w:val="20"/>
          <w:szCs w:val="20"/>
          <w:lang w:val="en-US"/>
        </w:rPr>
        <w:t xml:space="preserve">RECOMMENDATION BY ICCAT REPLACING SUPPLEMENTAL </w:t>
      </w:r>
    </w:p>
    <w:p w14:paraId="36B9B1BA" w14:textId="77777777" w:rsidR="00230386" w:rsidRPr="009618E7" w:rsidRDefault="00F245CC" w:rsidP="008E06A4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" w:after="0" w:line="240" w:lineRule="auto"/>
        <w:ind w:right="2"/>
        <w:jc w:val="center"/>
        <w:rPr>
          <w:rFonts w:ascii="Cambria" w:eastAsia="Cambria" w:hAnsi="Cambria" w:cs="Cambria"/>
          <w:b/>
          <w:sz w:val="20"/>
          <w:szCs w:val="20"/>
        </w:rPr>
      </w:pPr>
      <w:r w:rsidRPr="009618E7">
        <w:rPr>
          <w:rFonts w:ascii="Cambria" w:eastAsia="Cambria" w:hAnsi="Cambria" w:cs="Cambria"/>
          <w:b/>
          <w:sz w:val="20"/>
          <w:szCs w:val="20"/>
        </w:rPr>
        <w:t xml:space="preserve">RECOMMENDATION 21-03 EXTENDING AND AMENDING RECOMMENDATION </w:t>
      </w:r>
    </w:p>
    <w:p w14:paraId="3E164396" w14:textId="5A638387" w:rsidR="00F245CC" w:rsidRPr="009618E7" w:rsidRDefault="00F245CC" w:rsidP="008E06A4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" w:after="0" w:line="240" w:lineRule="auto"/>
        <w:ind w:right="2"/>
        <w:jc w:val="center"/>
        <w:rPr>
          <w:rFonts w:ascii="Cambria" w:eastAsia="Cambria" w:hAnsi="Cambria" w:cs="Cambria"/>
          <w:b/>
          <w:sz w:val="20"/>
          <w:szCs w:val="20"/>
          <w:lang w:val="en-US"/>
        </w:rPr>
      </w:pPr>
      <w:r w:rsidRPr="009618E7">
        <w:rPr>
          <w:rFonts w:ascii="Cambria" w:eastAsia="Cambria" w:hAnsi="Cambria" w:cs="Cambria"/>
          <w:b/>
          <w:sz w:val="20"/>
          <w:szCs w:val="20"/>
        </w:rPr>
        <w:t>17-03</w:t>
      </w:r>
      <w:r w:rsidR="008E06A4" w:rsidRPr="009618E7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Pr="009618E7">
        <w:rPr>
          <w:rFonts w:ascii="Cambria" w:eastAsia="Cambria" w:hAnsi="Cambria" w:cs="Cambria"/>
          <w:b/>
          <w:sz w:val="20"/>
          <w:szCs w:val="20"/>
          <w:lang w:val="en-US"/>
        </w:rPr>
        <w:t>FOR THE CONSERVATION OF SOUTH ATLANTIC SWORDFISH</w:t>
      </w:r>
    </w:p>
    <w:p w14:paraId="3C2DB6F1" w14:textId="77777777" w:rsidR="009E7AA0" w:rsidRPr="009618E7" w:rsidRDefault="009E7AA0" w:rsidP="00DB4AC0">
      <w:pPr>
        <w:widowControl w:val="0"/>
        <w:spacing w:after="0" w:line="240" w:lineRule="auto"/>
        <w:ind w:left="911" w:right="2"/>
        <w:jc w:val="center"/>
        <w:rPr>
          <w:rFonts w:ascii="Cambria" w:hAnsi="Cambria"/>
          <w:i/>
          <w:sz w:val="20"/>
          <w:szCs w:val="20"/>
          <w:lang w:val="en-US"/>
        </w:rPr>
      </w:pPr>
    </w:p>
    <w:p w14:paraId="16D84865" w14:textId="2E3C08AD" w:rsidR="0091389D" w:rsidRPr="009618E7" w:rsidRDefault="0091389D" w:rsidP="009510BA">
      <w:pPr>
        <w:widowControl w:val="0"/>
        <w:spacing w:after="0" w:line="240" w:lineRule="auto"/>
        <w:ind w:right="2"/>
        <w:jc w:val="center"/>
        <w:rPr>
          <w:rFonts w:ascii="Cambria" w:eastAsia="Cambria" w:hAnsi="Cambria" w:cs="Cambria"/>
          <w:i/>
          <w:sz w:val="20"/>
          <w:szCs w:val="20"/>
          <w:lang w:val="en-US" w:eastAsia="en-IE"/>
        </w:rPr>
      </w:pPr>
    </w:p>
    <w:p w14:paraId="1CC4446C" w14:textId="5516D6CC" w:rsidR="000D21A0" w:rsidRPr="009618E7" w:rsidRDefault="4FDE6A5C" w:rsidP="00DB4AC0">
      <w:pPr>
        <w:widowControl w:val="0"/>
        <w:tabs>
          <w:tab w:val="left" w:pos="426"/>
        </w:tabs>
        <w:spacing w:after="0" w:line="240" w:lineRule="auto"/>
        <w:ind w:right="2" w:firstLine="426"/>
        <w:jc w:val="both"/>
        <w:rPr>
          <w:rFonts w:ascii="Cambria" w:eastAsia="Cambria" w:hAnsi="Cambria" w:cs="Cambria"/>
          <w:sz w:val="20"/>
          <w:szCs w:val="20"/>
        </w:rPr>
      </w:pPr>
      <w:r w:rsidRPr="009618E7">
        <w:rPr>
          <w:rFonts w:ascii="Cambria" w:eastAsia="Cambria" w:hAnsi="Cambria" w:cs="Cambria"/>
          <w:i/>
          <w:iCs/>
          <w:sz w:val="20"/>
          <w:szCs w:val="20"/>
        </w:rPr>
        <w:t>NOTING</w:t>
      </w:r>
      <w:r w:rsidRPr="009618E7">
        <w:rPr>
          <w:rFonts w:ascii="Cambria" w:hAnsi="Cambria"/>
          <w:i/>
          <w:sz w:val="20"/>
          <w:szCs w:val="20"/>
        </w:rPr>
        <w:t xml:space="preserve"> </w:t>
      </w:r>
      <w:r w:rsidRPr="009618E7">
        <w:rPr>
          <w:rFonts w:ascii="Cambria" w:eastAsia="Cambria" w:hAnsi="Cambria" w:cs="Cambria"/>
          <w:sz w:val="20"/>
          <w:szCs w:val="20"/>
        </w:rPr>
        <w:t xml:space="preserve">the need to continue with sound management for the </w:t>
      </w:r>
      <w:r w:rsidR="1F506670" w:rsidRPr="009618E7">
        <w:rPr>
          <w:rFonts w:ascii="Cambria" w:eastAsia="Cambria" w:hAnsi="Cambria" w:cs="Cambria"/>
          <w:sz w:val="20"/>
          <w:szCs w:val="20"/>
        </w:rPr>
        <w:t>sustainable exploitation</w:t>
      </w:r>
      <w:r w:rsidRPr="009618E7">
        <w:rPr>
          <w:rFonts w:ascii="Cambria" w:eastAsia="Cambria" w:hAnsi="Cambria" w:cs="Cambria"/>
          <w:sz w:val="20"/>
          <w:szCs w:val="20"/>
        </w:rPr>
        <w:t xml:space="preserve"> of the South Atlantic swordfish </w:t>
      </w:r>
      <w:proofErr w:type="gramStart"/>
      <w:r w:rsidRPr="009618E7">
        <w:rPr>
          <w:rFonts w:ascii="Cambria" w:eastAsia="Cambria" w:hAnsi="Cambria" w:cs="Cambria"/>
          <w:sz w:val="20"/>
          <w:szCs w:val="20"/>
        </w:rPr>
        <w:t>stock;</w:t>
      </w:r>
      <w:proofErr w:type="gramEnd"/>
      <w:r w:rsidRPr="009618E7">
        <w:rPr>
          <w:rFonts w:ascii="Cambria" w:eastAsia="Cambria" w:hAnsi="Cambria" w:cs="Cambria"/>
          <w:sz w:val="20"/>
          <w:szCs w:val="20"/>
        </w:rPr>
        <w:t xml:space="preserve"> </w:t>
      </w:r>
    </w:p>
    <w:p w14:paraId="2EEDD7FA" w14:textId="77777777" w:rsidR="000D21A0" w:rsidRPr="009618E7" w:rsidRDefault="000D21A0" w:rsidP="00DB4AC0">
      <w:pPr>
        <w:widowControl w:val="0"/>
        <w:tabs>
          <w:tab w:val="left" w:pos="426"/>
        </w:tabs>
        <w:spacing w:after="0" w:line="240" w:lineRule="auto"/>
        <w:ind w:right="2" w:firstLine="426"/>
        <w:jc w:val="both"/>
        <w:rPr>
          <w:rFonts w:ascii="Cambria" w:hAnsi="Cambria"/>
          <w:sz w:val="20"/>
          <w:szCs w:val="20"/>
        </w:rPr>
      </w:pPr>
    </w:p>
    <w:p w14:paraId="4D8E7B1E" w14:textId="7A9EA395" w:rsidR="004B31D1" w:rsidRPr="009618E7" w:rsidRDefault="461F3FE2" w:rsidP="78D78D66">
      <w:pPr>
        <w:widowControl w:val="0"/>
        <w:tabs>
          <w:tab w:val="left" w:pos="426"/>
        </w:tabs>
        <w:spacing w:after="0" w:line="240" w:lineRule="auto"/>
        <w:ind w:right="2" w:firstLine="426"/>
        <w:jc w:val="both"/>
        <w:rPr>
          <w:rFonts w:ascii="Cambria" w:eastAsia="Cambria" w:hAnsi="Cambria" w:cs="Cambria"/>
          <w:sz w:val="20"/>
          <w:szCs w:val="20"/>
        </w:rPr>
      </w:pPr>
      <w:bookmarkStart w:id="0" w:name="_Hlk81558281"/>
      <w:r w:rsidRPr="009618E7">
        <w:rPr>
          <w:rFonts w:ascii="Cambria" w:eastAsia="Cambria" w:hAnsi="Cambria" w:cs="Cambria"/>
          <w:i/>
          <w:iCs/>
          <w:sz w:val="20"/>
          <w:szCs w:val="20"/>
        </w:rPr>
        <w:t xml:space="preserve">CONSIDERING </w:t>
      </w:r>
      <w:r w:rsidRPr="009618E7">
        <w:rPr>
          <w:rFonts w:ascii="Cambria" w:eastAsia="Cambria" w:hAnsi="Cambria" w:cs="Cambria"/>
          <w:sz w:val="20"/>
          <w:szCs w:val="20"/>
        </w:rPr>
        <w:t xml:space="preserve">that </w:t>
      </w:r>
      <w:r w:rsidR="63CCCE50" w:rsidRPr="009618E7">
        <w:rPr>
          <w:rFonts w:ascii="Cambria" w:eastAsia="Cambria" w:hAnsi="Cambria" w:cs="Cambria"/>
          <w:sz w:val="20"/>
          <w:szCs w:val="20"/>
        </w:rPr>
        <w:t xml:space="preserve">in 2022 </w:t>
      </w:r>
      <w:r w:rsidRPr="009618E7">
        <w:rPr>
          <w:rFonts w:ascii="Cambria" w:eastAsia="Cambria" w:hAnsi="Cambria" w:cs="Cambria"/>
          <w:sz w:val="20"/>
          <w:szCs w:val="20"/>
        </w:rPr>
        <w:t xml:space="preserve">the Standing Committee on Research and Statistics (SCRS) </w:t>
      </w:r>
      <w:r w:rsidR="6733998A" w:rsidRPr="009618E7">
        <w:rPr>
          <w:rFonts w:ascii="Cambria" w:eastAsia="Cambria" w:hAnsi="Cambria" w:cs="Cambria"/>
          <w:sz w:val="20"/>
          <w:szCs w:val="20"/>
        </w:rPr>
        <w:t xml:space="preserve">provided </w:t>
      </w:r>
      <w:r w:rsidR="4FDE6A5C" w:rsidRPr="009618E7">
        <w:rPr>
          <w:rFonts w:ascii="Cambria" w:eastAsia="Cambria" w:hAnsi="Cambria" w:cs="Cambria"/>
          <w:sz w:val="20"/>
          <w:szCs w:val="20"/>
        </w:rPr>
        <w:t>an assessment</w:t>
      </w:r>
      <w:r w:rsidR="6733998A" w:rsidRPr="009618E7">
        <w:rPr>
          <w:rFonts w:ascii="Cambria" w:eastAsia="Cambria" w:hAnsi="Cambria" w:cs="Cambria"/>
          <w:sz w:val="20"/>
          <w:szCs w:val="20"/>
        </w:rPr>
        <w:t xml:space="preserve"> of the </w:t>
      </w:r>
      <w:r w:rsidR="4CD5A345" w:rsidRPr="009618E7">
        <w:rPr>
          <w:rFonts w:ascii="Cambria" w:eastAsia="Cambria" w:hAnsi="Cambria" w:cs="Cambria"/>
          <w:sz w:val="20"/>
          <w:szCs w:val="20"/>
        </w:rPr>
        <w:t xml:space="preserve">status </w:t>
      </w:r>
      <w:r w:rsidR="4FDE6A5C" w:rsidRPr="009618E7">
        <w:rPr>
          <w:rFonts w:ascii="Cambria" w:eastAsia="Cambria" w:hAnsi="Cambria" w:cs="Cambria"/>
          <w:sz w:val="20"/>
          <w:szCs w:val="20"/>
        </w:rPr>
        <w:t xml:space="preserve">whereby </w:t>
      </w:r>
      <w:r w:rsidR="31153FDD" w:rsidRPr="009618E7">
        <w:rPr>
          <w:rFonts w:ascii="Cambria" w:eastAsia="Cambria" w:hAnsi="Cambria" w:cs="Cambria"/>
          <w:sz w:val="20"/>
          <w:szCs w:val="20"/>
        </w:rPr>
        <w:t xml:space="preserve">it noted that </w:t>
      </w:r>
      <w:r w:rsidR="53CEB557" w:rsidRPr="009618E7">
        <w:rPr>
          <w:rFonts w:ascii="Cambria" w:eastAsia="Cambria" w:hAnsi="Cambria" w:cs="Cambria"/>
          <w:sz w:val="20"/>
          <w:szCs w:val="20"/>
        </w:rPr>
        <w:t xml:space="preserve">the stock </w:t>
      </w:r>
      <w:r w:rsidR="008E06A4" w:rsidRPr="009618E7">
        <w:rPr>
          <w:rFonts w:ascii="Cambria" w:eastAsia="Cambria" w:hAnsi="Cambria" w:cs="Cambria"/>
          <w:sz w:val="20"/>
          <w:szCs w:val="20"/>
        </w:rPr>
        <w:t xml:space="preserve">status </w:t>
      </w:r>
      <w:r w:rsidR="53CEB557" w:rsidRPr="009618E7">
        <w:rPr>
          <w:rFonts w:ascii="Cambria" w:eastAsia="Cambria" w:hAnsi="Cambria" w:cs="Cambria"/>
          <w:sz w:val="20"/>
          <w:szCs w:val="20"/>
        </w:rPr>
        <w:t xml:space="preserve">is overfished and subject to overfishing and </w:t>
      </w:r>
      <w:r w:rsidR="7BD3D763" w:rsidRPr="009618E7">
        <w:rPr>
          <w:rFonts w:ascii="Cambria" w:eastAsia="Cambria" w:hAnsi="Cambria" w:cs="Cambria"/>
          <w:sz w:val="20"/>
          <w:szCs w:val="20"/>
        </w:rPr>
        <w:t>reported</w:t>
      </w:r>
      <w:r w:rsidR="00C02390" w:rsidRPr="009618E7">
        <w:rPr>
          <w:rFonts w:ascii="Cambria" w:eastAsia="Cambria" w:hAnsi="Cambria" w:cs="Cambria"/>
          <w:sz w:val="20"/>
          <w:szCs w:val="20"/>
        </w:rPr>
        <w:t xml:space="preserve"> that the current T</w:t>
      </w:r>
      <w:r w:rsidR="00717CD0" w:rsidRPr="009618E7">
        <w:rPr>
          <w:rFonts w:ascii="Cambria" w:eastAsia="Cambria" w:hAnsi="Cambria" w:cs="Cambria"/>
          <w:sz w:val="20"/>
          <w:szCs w:val="20"/>
        </w:rPr>
        <w:t xml:space="preserve">otal </w:t>
      </w:r>
      <w:r w:rsidR="00C02390" w:rsidRPr="009618E7">
        <w:rPr>
          <w:rFonts w:ascii="Cambria" w:eastAsia="Cambria" w:hAnsi="Cambria" w:cs="Cambria"/>
          <w:sz w:val="20"/>
          <w:szCs w:val="20"/>
        </w:rPr>
        <w:t>A</w:t>
      </w:r>
      <w:r w:rsidR="00717CD0" w:rsidRPr="009618E7">
        <w:rPr>
          <w:rFonts w:ascii="Cambria" w:eastAsia="Cambria" w:hAnsi="Cambria" w:cs="Cambria"/>
          <w:sz w:val="20"/>
          <w:szCs w:val="20"/>
        </w:rPr>
        <w:t xml:space="preserve">llowable </w:t>
      </w:r>
      <w:r w:rsidR="00C02390" w:rsidRPr="009618E7">
        <w:rPr>
          <w:rFonts w:ascii="Cambria" w:eastAsia="Cambria" w:hAnsi="Cambria" w:cs="Cambria"/>
          <w:sz w:val="20"/>
          <w:szCs w:val="20"/>
        </w:rPr>
        <w:t>C</w:t>
      </w:r>
      <w:r w:rsidR="00717CD0" w:rsidRPr="009618E7">
        <w:rPr>
          <w:rFonts w:ascii="Cambria" w:eastAsia="Cambria" w:hAnsi="Cambria" w:cs="Cambria"/>
          <w:sz w:val="20"/>
          <w:szCs w:val="20"/>
        </w:rPr>
        <w:t>atch (TAC)</w:t>
      </w:r>
      <w:r w:rsidR="00C02390" w:rsidRPr="009618E7">
        <w:rPr>
          <w:rFonts w:ascii="Cambria" w:eastAsia="Cambria" w:hAnsi="Cambria" w:cs="Cambria"/>
          <w:sz w:val="20"/>
          <w:szCs w:val="20"/>
        </w:rPr>
        <w:t xml:space="preserve"> of 14,000 t is unlikely (3% probability) to achieve the objective of bringing the stock to a green quadrant of a Kobe plot by 2033 and </w:t>
      </w:r>
      <w:r w:rsidR="5A39845A" w:rsidRPr="009618E7">
        <w:rPr>
          <w:rFonts w:ascii="Cambria" w:eastAsia="Cambria" w:hAnsi="Cambria" w:cs="Cambria"/>
          <w:sz w:val="20"/>
          <w:szCs w:val="20"/>
        </w:rPr>
        <w:t>that</w:t>
      </w:r>
      <w:r w:rsidR="12677F99" w:rsidRPr="009618E7">
        <w:rPr>
          <w:rFonts w:ascii="Cambria" w:eastAsia="Cambria" w:hAnsi="Cambria" w:cs="Cambria"/>
          <w:sz w:val="20"/>
          <w:szCs w:val="20"/>
        </w:rPr>
        <w:t xml:space="preserve"> </w:t>
      </w:r>
      <w:r w:rsidR="31153FDD" w:rsidRPr="009618E7">
        <w:rPr>
          <w:rFonts w:ascii="Cambria" w:eastAsia="Cambria" w:hAnsi="Cambria" w:cs="Cambria"/>
          <w:sz w:val="20"/>
          <w:szCs w:val="20"/>
        </w:rPr>
        <w:t>catch</w:t>
      </w:r>
      <w:r w:rsidR="7BD3D763" w:rsidRPr="009618E7">
        <w:rPr>
          <w:rFonts w:ascii="Cambria" w:eastAsia="Cambria" w:hAnsi="Cambria" w:cs="Cambria"/>
          <w:sz w:val="20"/>
          <w:szCs w:val="20"/>
        </w:rPr>
        <w:t>e</w:t>
      </w:r>
      <w:r w:rsidR="63CCCE50" w:rsidRPr="009618E7">
        <w:rPr>
          <w:rFonts w:ascii="Cambria" w:eastAsia="Cambria" w:hAnsi="Cambria" w:cs="Cambria"/>
          <w:sz w:val="20"/>
          <w:szCs w:val="20"/>
        </w:rPr>
        <w:t>s at levels</w:t>
      </w:r>
      <w:r w:rsidR="31153FDD" w:rsidRPr="009618E7">
        <w:rPr>
          <w:rFonts w:ascii="Cambria" w:eastAsia="Cambria" w:hAnsi="Cambria" w:cs="Cambria"/>
          <w:sz w:val="20"/>
          <w:szCs w:val="20"/>
        </w:rPr>
        <w:t xml:space="preserve"> below </w:t>
      </w:r>
      <w:r w:rsidR="63CCCE50" w:rsidRPr="009618E7">
        <w:rPr>
          <w:rFonts w:ascii="Cambria" w:eastAsia="Cambria" w:hAnsi="Cambria" w:cs="Cambria"/>
          <w:sz w:val="20"/>
          <w:szCs w:val="20"/>
        </w:rPr>
        <w:t xml:space="preserve">10,000 t </w:t>
      </w:r>
      <w:r w:rsidR="7C49BD35" w:rsidRPr="009618E7">
        <w:rPr>
          <w:rFonts w:ascii="Cambria" w:eastAsia="Cambria" w:hAnsi="Cambria" w:cs="Cambria"/>
          <w:sz w:val="20"/>
          <w:szCs w:val="20"/>
        </w:rPr>
        <w:t>would</w:t>
      </w:r>
      <w:r w:rsidR="4ED2EDF3" w:rsidRPr="009618E7">
        <w:rPr>
          <w:rFonts w:ascii="Cambria" w:eastAsia="Cambria" w:hAnsi="Cambria" w:cs="Cambria"/>
          <w:sz w:val="20"/>
          <w:szCs w:val="20"/>
        </w:rPr>
        <w:t xml:space="preserve"> accelerate rebuilding of the stock</w:t>
      </w:r>
      <w:r w:rsidR="68A3E936" w:rsidRPr="009618E7">
        <w:rPr>
          <w:rFonts w:ascii="Cambria" w:eastAsia="Cambria" w:hAnsi="Cambria" w:cs="Cambria"/>
          <w:sz w:val="20"/>
          <w:szCs w:val="20"/>
        </w:rPr>
        <w:t>;</w:t>
      </w:r>
    </w:p>
    <w:p w14:paraId="13C50999" w14:textId="77777777" w:rsidR="004B31D1" w:rsidRPr="009618E7" w:rsidRDefault="004B31D1" w:rsidP="00CB2B19">
      <w:pPr>
        <w:widowControl w:val="0"/>
        <w:tabs>
          <w:tab w:val="left" w:pos="426"/>
        </w:tabs>
        <w:spacing w:after="0" w:line="240" w:lineRule="auto"/>
        <w:ind w:right="2" w:firstLine="426"/>
        <w:jc w:val="both"/>
        <w:rPr>
          <w:rFonts w:ascii="Cambria" w:eastAsia="Cambria" w:hAnsi="Cambria" w:cs="Cambria"/>
          <w:i/>
          <w:sz w:val="20"/>
          <w:szCs w:val="20"/>
        </w:rPr>
      </w:pPr>
    </w:p>
    <w:p w14:paraId="454F5537" w14:textId="3E9FE17F" w:rsidR="00FC7705" w:rsidRPr="009618E7" w:rsidRDefault="63CCCE50" w:rsidP="00DB4AC0">
      <w:pPr>
        <w:widowControl w:val="0"/>
        <w:tabs>
          <w:tab w:val="left" w:pos="426"/>
        </w:tabs>
        <w:spacing w:after="0" w:line="240" w:lineRule="auto"/>
        <w:ind w:right="2" w:firstLine="426"/>
        <w:jc w:val="both"/>
        <w:rPr>
          <w:rFonts w:ascii="Cambria" w:eastAsia="Cambria" w:hAnsi="Cambria" w:cs="Cambria"/>
          <w:sz w:val="20"/>
          <w:szCs w:val="20"/>
        </w:rPr>
      </w:pPr>
      <w:r w:rsidRPr="009618E7">
        <w:rPr>
          <w:rFonts w:ascii="Cambria" w:eastAsia="Cambria" w:hAnsi="Cambria" w:cs="Cambria"/>
          <w:i/>
          <w:iCs/>
          <w:sz w:val="20"/>
          <w:szCs w:val="20"/>
        </w:rPr>
        <w:t xml:space="preserve">RECOGNISING </w:t>
      </w:r>
      <w:r w:rsidRPr="009618E7">
        <w:rPr>
          <w:rFonts w:ascii="Cambria" w:eastAsia="Cambria" w:hAnsi="Cambria" w:cs="Cambria"/>
          <w:sz w:val="20"/>
          <w:szCs w:val="20"/>
        </w:rPr>
        <w:t xml:space="preserve">that the SCRS recommended that the current </w:t>
      </w:r>
      <w:bookmarkEnd w:id="0"/>
      <w:r w:rsidRPr="009618E7">
        <w:rPr>
          <w:rFonts w:ascii="Cambria" w:eastAsia="Cambria" w:hAnsi="Cambria" w:cs="Cambria"/>
          <w:sz w:val="20"/>
          <w:szCs w:val="20"/>
        </w:rPr>
        <w:t>levels of exploitation not be exceeded</w:t>
      </w:r>
      <w:r w:rsidRPr="009618E7">
        <w:rPr>
          <w:rFonts w:ascii="Cambria" w:hAnsi="Cambria"/>
          <w:sz w:val="20"/>
          <w:szCs w:val="20"/>
        </w:rPr>
        <w:t xml:space="preserve"> </w:t>
      </w:r>
      <w:r w:rsidRPr="009618E7">
        <w:rPr>
          <w:rFonts w:ascii="Cambria" w:eastAsia="Cambria" w:hAnsi="Cambria" w:cs="Cambria"/>
          <w:sz w:val="20"/>
          <w:szCs w:val="20"/>
        </w:rPr>
        <w:t xml:space="preserve">under the current exploitation </w:t>
      </w:r>
      <w:proofErr w:type="gramStart"/>
      <w:r w:rsidRPr="009618E7">
        <w:rPr>
          <w:rFonts w:ascii="Cambria" w:eastAsia="Cambria" w:hAnsi="Cambria" w:cs="Cambria"/>
          <w:sz w:val="20"/>
          <w:szCs w:val="20"/>
        </w:rPr>
        <w:t>patterns;</w:t>
      </w:r>
      <w:proofErr w:type="gramEnd"/>
    </w:p>
    <w:p w14:paraId="58DA86C4" w14:textId="569C9A8B" w:rsidR="004B31D1" w:rsidRPr="009618E7" w:rsidRDefault="004B31D1" w:rsidP="00DB4AC0">
      <w:pPr>
        <w:widowControl w:val="0"/>
        <w:tabs>
          <w:tab w:val="left" w:pos="426"/>
        </w:tabs>
        <w:spacing w:after="0" w:line="240" w:lineRule="auto"/>
        <w:ind w:right="2"/>
        <w:jc w:val="both"/>
        <w:rPr>
          <w:rFonts w:ascii="Cambria" w:hAnsi="Cambria"/>
          <w:i/>
          <w:sz w:val="20"/>
          <w:szCs w:val="20"/>
        </w:rPr>
      </w:pPr>
    </w:p>
    <w:p w14:paraId="446E6B5E" w14:textId="48EE2D80" w:rsidR="009E7AA0" w:rsidRPr="009618E7" w:rsidRDefault="4FDE6A5C" w:rsidP="009E7AA0">
      <w:pPr>
        <w:widowControl w:val="0"/>
        <w:tabs>
          <w:tab w:val="left" w:pos="426"/>
        </w:tabs>
        <w:spacing w:after="0" w:line="240" w:lineRule="auto"/>
        <w:ind w:right="2" w:firstLine="426"/>
        <w:jc w:val="both"/>
        <w:rPr>
          <w:rFonts w:ascii="Cambria" w:eastAsia="Cambria" w:hAnsi="Cambria" w:cs="Cambria"/>
          <w:sz w:val="20"/>
          <w:szCs w:val="20"/>
        </w:rPr>
      </w:pPr>
      <w:r w:rsidRPr="009618E7">
        <w:rPr>
          <w:rFonts w:ascii="Cambria" w:eastAsia="Cambria" w:hAnsi="Cambria" w:cs="Cambria"/>
          <w:i/>
          <w:iCs/>
          <w:sz w:val="20"/>
          <w:szCs w:val="20"/>
        </w:rPr>
        <w:t>CONFIRMING</w:t>
      </w:r>
      <w:r w:rsidRPr="009618E7">
        <w:rPr>
          <w:rFonts w:ascii="Cambria" w:hAnsi="Cambria"/>
          <w:i/>
          <w:sz w:val="20"/>
          <w:szCs w:val="20"/>
        </w:rPr>
        <w:t xml:space="preserve"> </w:t>
      </w:r>
      <w:r w:rsidR="0093615D" w:rsidRPr="009618E7">
        <w:rPr>
          <w:rFonts w:ascii="Cambria" w:eastAsia="Cambria" w:hAnsi="Cambria" w:cs="Cambria"/>
          <w:sz w:val="20"/>
          <w:szCs w:val="20"/>
        </w:rPr>
        <w:t xml:space="preserve">the commitment of CPCs to not increase their fishing efforts </w:t>
      </w:r>
      <w:r w:rsidR="562970FF" w:rsidRPr="009618E7">
        <w:rPr>
          <w:rFonts w:ascii="Cambria" w:eastAsia="Cambria" w:hAnsi="Cambria" w:cs="Cambria"/>
          <w:sz w:val="20"/>
          <w:szCs w:val="20"/>
        </w:rPr>
        <w:t xml:space="preserve">so as to ensure that catches </w:t>
      </w:r>
      <w:r w:rsidR="4A4A171E" w:rsidRPr="009618E7">
        <w:rPr>
          <w:rFonts w:ascii="Cambria" w:eastAsia="Cambria" w:hAnsi="Cambria" w:cs="Cambria"/>
          <w:sz w:val="20"/>
          <w:szCs w:val="20"/>
        </w:rPr>
        <w:t>will no</w:t>
      </w:r>
      <w:r w:rsidR="562970FF" w:rsidRPr="009618E7">
        <w:rPr>
          <w:rFonts w:ascii="Cambria" w:eastAsia="Cambria" w:hAnsi="Cambria" w:cs="Cambria"/>
          <w:sz w:val="20"/>
          <w:szCs w:val="20"/>
        </w:rPr>
        <w:t>t exceed</w:t>
      </w:r>
      <w:r w:rsidR="29922443" w:rsidRPr="009618E7">
        <w:rPr>
          <w:rFonts w:ascii="Cambria" w:eastAsia="Cambria" w:hAnsi="Cambria" w:cs="Cambria"/>
          <w:sz w:val="20"/>
          <w:szCs w:val="20"/>
        </w:rPr>
        <w:t xml:space="preserve"> 10,000 t while acknowledging</w:t>
      </w:r>
      <w:r w:rsidR="562970FF" w:rsidRPr="009618E7">
        <w:rPr>
          <w:rFonts w:ascii="Cambria" w:eastAsia="Cambria" w:hAnsi="Cambria" w:cs="Cambria"/>
          <w:sz w:val="20"/>
          <w:szCs w:val="20"/>
        </w:rPr>
        <w:t xml:space="preserve"> </w:t>
      </w:r>
      <w:r w:rsidRPr="009618E7">
        <w:rPr>
          <w:rFonts w:ascii="Cambria" w:eastAsia="Cambria" w:hAnsi="Cambria" w:cs="Cambria"/>
          <w:sz w:val="20"/>
          <w:szCs w:val="20"/>
        </w:rPr>
        <w:t>that the extension of current measures in no way prejudices any future measures or discussions</w:t>
      </w:r>
      <w:r w:rsidR="7AB0A03B" w:rsidRPr="009618E7">
        <w:rPr>
          <w:rFonts w:ascii="Cambria" w:eastAsia="Cambria" w:hAnsi="Cambria" w:cs="Cambria"/>
          <w:sz w:val="20"/>
          <w:szCs w:val="20"/>
        </w:rPr>
        <w:t xml:space="preserve">, including the existing </w:t>
      </w:r>
      <w:proofErr w:type="gramStart"/>
      <w:r w:rsidR="7AB0A03B" w:rsidRPr="009618E7">
        <w:rPr>
          <w:rFonts w:ascii="Cambria" w:eastAsia="Cambria" w:hAnsi="Cambria" w:cs="Cambria"/>
          <w:sz w:val="20"/>
          <w:szCs w:val="20"/>
        </w:rPr>
        <w:t>allocation</w:t>
      </w:r>
      <w:r w:rsidRPr="009618E7">
        <w:rPr>
          <w:rFonts w:ascii="Cambria" w:eastAsia="Cambria" w:hAnsi="Cambria" w:cs="Cambria"/>
          <w:sz w:val="20"/>
          <w:szCs w:val="20"/>
        </w:rPr>
        <w:t>;</w:t>
      </w:r>
      <w:proofErr w:type="gramEnd"/>
    </w:p>
    <w:p w14:paraId="06E4A012" w14:textId="77777777" w:rsidR="009E7AA0" w:rsidRPr="009618E7" w:rsidRDefault="009E7AA0" w:rsidP="009E7AA0">
      <w:pPr>
        <w:widowControl w:val="0"/>
        <w:tabs>
          <w:tab w:val="left" w:pos="426"/>
        </w:tabs>
        <w:spacing w:after="0" w:line="240" w:lineRule="auto"/>
        <w:ind w:right="2" w:firstLine="426"/>
        <w:jc w:val="both"/>
        <w:rPr>
          <w:rFonts w:ascii="Cambria" w:eastAsia="Cambria" w:hAnsi="Cambria" w:cs="Cambria"/>
          <w:sz w:val="20"/>
          <w:szCs w:val="20"/>
        </w:rPr>
      </w:pPr>
    </w:p>
    <w:p w14:paraId="4C87D7D5" w14:textId="77777777" w:rsidR="009E7AA0" w:rsidRPr="009618E7" w:rsidRDefault="009E7AA0" w:rsidP="009E7AA0">
      <w:pPr>
        <w:widowControl w:val="0"/>
        <w:tabs>
          <w:tab w:val="left" w:pos="426"/>
        </w:tabs>
        <w:spacing w:after="0" w:line="240" w:lineRule="auto"/>
        <w:ind w:right="2" w:firstLine="426"/>
        <w:jc w:val="both"/>
        <w:rPr>
          <w:rFonts w:ascii="Cambria" w:eastAsia="Cambria" w:hAnsi="Cambria" w:cs="Cambria"/>
          <w:sz w:val="20"/>
          <w:szCs w:val="20"/>
        </w:rPr>
      </w:pPr>
    </w:p>
    <w:p w14:paraId="50DB9ACA" w14:textId="126FDCED" w:rsidR="00CB2B19" w:rsidRPr="009618E7" w:rsidRDefault="00CB2B19" w:rsidP="009E7AA0">
      <w:pPr>
        <w:widowControl w:val="0"/>
        <w:tabs>
          <w:tab w:val="left" w:pos="426"/>
        </w:tabs>
        <w:spacing w:after="0" w:line="240" w:lineRule="auto"/>
        <w:ind w:right="2"/>
        <w:jc w:val="center"/>
        <w:rPr>
          <w:rFonts w:ascii="Cambria" w:hAnsi="Cambria"/>
          <w:sz w:val="20"/>
          <w:szCs w:val="20"/>
          <w:lang w:val="en-US"/>
        </w:rPr>
      </w:pPr>
      <w:r w:rsidRPr="009618E7">
        <w:rPr>
          <w:rFonts w:ascii="Cambria" w:hAnsi="Cambria"/>
          <w:sz w:val="20"/>
          <w:szCs w:val="20"/>
          <w:lang w:val="en-US"/>
        </w:rPr>
        <w:t>THE INTERNATIONAL COMMISSION FOR THE CONSERVATION</w:t>
      </w:r>
    </w:p>
    <w:p w14:paraId="13CE0649" w14:textId="77777777" w:rsidR="00CB2B19" w:rsidRPr="009618E7" w:rsidRDefault="00CB2B19" w:rsidP="00DB4A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"/>
        <w:jc w:val="center"/>
        <w:rPr>
          <w:rFonts w:ascii="Cambria" w:hAnsi="Cambria"/>
          <w:sz w:val="20"/>
          <w:szCs w:val="20"/>
          <w:lang w:val="en-US"/>
        </w:rPr>
      </w:pPr>
      <w:r w:rsidRPr="009618E7">
        <w:rPr>
          <w:rFonts w:ascii="Cambria" w:hAnsi="Cambria"/>
          <w:sz w:val="20"/>
          <w:szCs w:val="20"/>
          <w:lang w:val="en-US"/>
        </w:rPr>
        <w:t>OF ATLANTIC TUNAS (ICCAT) RECOMMENDS THAT:</w:t>
      </w:r>
    </w:p>
    <w:p w14:paraId="61D3DC42" w14:textId="77777777" w:rsidR="00CB2B19" w:rsidRPr="009618E7" w:rsidRDefault="00CB2B19" w:rsidP="00DB4A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"/>
        <w:rPr>
          <w:rFonts w:ascii="Cambria" w:hAnsi="Cambria"/>
          <w:color w:val="000000"/>
          <w:sz w:val="20"/>
          <w:szCs w:val="20"/>
          <w:lang w:val="en-US"/>
        </w:rPr>
      </w:pPr>
    </w:p>
    <w:p w14:paraId="29CF697B" w14:textId="59D217AE" w:rsidR="00BC1B6D" w:rsidRPr="009618E7" w:rsidRDefault="00BC1B6D" w:rsidP="00BC1B6D">
      <w:pPr>
        <w:tabs>
          <w:tab w:val="left" w:pos="426"/>
          <w:tab w:val="left" w:pos="709"/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i/>
          <w:sz w:val="20"/>
          <w:szCs w:val="20"/>
          <w:lang w:val="en-GB"/>
        </w:rPr>
      </w:pPr>
      <w:r w:rsidRPr="009618E7">
        <w:rPr>
          <w:rFonts w:ascii="Cambria" w:eastAsia="Times New Roman" w:hAnsi="Cambria" w:cs="Times New Roman"/>
          <w:b/>
          <w:i/>
          <w:sz w:val="20"/>
          <w:szCs w:val="20"/>
          <w:lang w:val="en-GB"/>
        </w:rPr>
        <w:t>TAC and catch limits</w:t>
      </w:r>
    </w:p>
    <w:p w14:paraId="150E59F8" w14:textId="77777777" w:rsidR="00BC1B6D" w:rsidRPr="009618E7" w:rsidRDefault="00BC1B6D" w:rsidP="00BC1B6D">
      <w:pPr>
        <w:tabs>
          <w:tab w:val="left" w:pos="440"/>
          <w:tab w:val="left" w:pos="709"/>
          <w:tab w:val="left" w:pos="990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val="en-GB"/>
        </w:rPr>
      </w:pPr>
    </w:p>
    <w:p w14:paraId="231D5742" w14:textId="1D617123" w:rsidR="00333E7D" w:rsidRPr="009618E7" w:rsidRDefault="629C9097" w:rsidP="00DB4AC0">
      <w:pPr>
        <w:tabs>
          <w:tab w:val="left" w:pos="426"/>
          <w:tab w:val="left" w:pos="567"/>
          <w:tab w:val="left" w:pos="990"/>
          <w:tab w:val="left" w:pos="708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9618E7">
        <w:rPr>
          <w:rFonts w:ascii="Cambria" w:hAnsi="Cambria"/>
          <w:sz w:val="20"/>
          <w:szCs w:val="20"/>
          <w:lang w:val="en-US"/>
        </w:rPr>
        <w:t>1.</w:t>
      </w:r>
      <w:r w:rsidR="00BC1B6D" w:rsidRPr="009618E7">
        <w:rPr>
          <w:rFonts w:ascii="Cambria" w:hAnsi="Cambria"/>
          <w:sz w:val="20"/>
          <w:szCs w:val="20"/>
        </w:rPr>
        <w:tab/>
      </w:r>
      <w:r w:rsidR="7BD3D763" w:rsidRPr="009618E7">
        <w:rPr>
          <w:rFonts w:ascii="Cambria" w:eastAsia="Times New Roman" w:hAnsi="Cambria" w:cs="Times New Roman"/>
          <w:sz w:val="20"/>
          <w:szCs w:val="20"/>
        </w:rPr>
        <w:t xml:space="preserve">The terms of the </w:t>
      </w:r>
      <w:r w:rsidR="7BD3D763" w:rsidRPr="009618E7">
        <w:rPr>
          <w:rFonts w:ascii="Cambria" w:eastAsia="Times New Roman" w:hAnsi="Cambria" w:cs="Times New Roman"/>
          <w:i/>
          <w:iCs/>
          <w:sz w:val="20"/>
          <w:szCs w:val="20"/>
        </w:rPr>
        <w:t>Recommendation by ICCAT amending the Recommendation for the conservation of South Atlantic swordfish, Rec. 16-04</w:t>
      </w:r>
      <w:r w:rsidR="7BD3D763" w:rsidRPr="009618E7">
        <w:rPr>
          <w:rFonts w:ascii="Cambria" w:hAnsi="Cambria"/>
          <w:sz w:val="20"/>
          <w:szCs w:val="20"/>
        </w:rPr>
        <w:t xml:space="preserve"> </w:t>
      </w:r>
      <w:r w:rsidR="7BD3D763" w:rsidRPr="009618E7">
        <w:rPr>
          <w:rFonts w:ascii="Cambria" w:eastAsia="Times New Roman" w:hAnsi="Cambria" w:cs="Times New Roman"/>
          <w:sz w:val="20"/>
          <w:szCs w:val="20"/>
        </w:rPr>
        <w:t>(Rec. 17-03) shall be extended through 2023</w:t>
      </w:r>
      <w:r w:rsidR="46761504" w:rsidRPr="009618E7">
        <w:rPr>
          <w:rFonts w:ascii="Cambria" w:eastAsia="Times New Roman" w:hAnsi="Cambria" w:cs="Times New Roman"/>
          <w:sz w:val="20"/>
          <w:szCs w:val="20"/>
        </w:rPr>
        <w:t>,</w:t>
      </w:r>
      <w:r w:rsidR="7BD3D763" w:rsidRPr="009618E7">
        <w:rPr>
          <w:rFonts w:ascii="Cambria" w:eastAsia="Times New Roman" w:hAnsi="Cambria" w:cs="Times New Roman"/>
          <w:sz w:val="20"/>
          <w:szCs w:val="20"/>
        </w:rPr>
        <w:t xml:space="preserve"> 2024</w:t>
      </w:r>
      <w:r w:rsidR="63B716BD" w:rsidRPr="009618E7">
        <w:rPr>
          <w:rFonts w:ascii="Cambria" w:eastAsia="Times New Roman" w:hAnsi="Cambria" w:cs="Times New Roman"/>
          <w:sz w:val="20"/>
          <w:szCs w:val="20"/>
        </w:rPr>
        <w:t>, 2025 and 2026</w:t>
      </w:r>
      <w:r w:rsidR="7BD3D763" w:rsidRPr="009618E7">
        <w:rPr>
          <w:rFonts w:ascii="Cambria" w:eastAsia="Times New Roman" w:hAnsi="Cambria" w:cs="Times New Roman"/>
          <w:sz w:val="20"/>
          <w:szCs w:val="20"/>
        </w:rPr>
        <w:t xml:space="preserve"> with the following amendments:</w:t>
      </w:r>
    </w:p>
    <w:p w14:paraId="6FDD81FF" w14:textId="21DEA21A" w:rsidR="00333E7D" w:rsidRPr="009618E7" w:rsidRDefault="00333E7D" w:rsidP="00DB4AC0">
      <w:pPr>
        <w:tabs>
          <w:tab w:val="left" w:pos="426"/>
          <w:tab w:val="left" w:pos="567"/>
          <w:tab w:val="left" w:pos="990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74FD8F04" w14:textId="5083221E" w:rsidR="00333E7D" w:rsidRPr="009618E7" w:rsidRDefault="00333E7D" w:rsidP="000E4808">
      <w:pPr>
        <w:pStyle w:val="ListParagraph"/>
        <w:numPr>
          <w:ilvl w:val="0"/>
          <w:numId w:val="6"/>
        </w:numPr>
        <w:tabs>
          <w:tab w:val="left" w:pos="426"/>
          <w:tab w:val="left" w:pos="567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9618E7">
        <w:rPr>
          <w:rFonts w:ascii="Cambria" w:eastAsia="Times New Roman" w:hAnsi="Cambria" w:cs="Times New Roman"/>
          <w:sz w:val="20"/>
          <w:szCs w:val="20"/>
        </w:rPr>
        <w:t>Paragraph 1 shall be replaced with:</w:t>
      </w:r>
    </w:p>
    <w:p w14:paraId="51C0B25D" w14:textId="2A92EDF8" w:rsidR="00333E7D" w:rsidRPr="009618E7" w:rsidRDefault="00333E7D" w:rsidP="00DB4AC0">
      <w:pPr>
        <w:tabs>
          <w:tab w:val="left" w:pos="426"/>
          <w:tab w:val="left" w:pos="567"/>
          <w:tab w:val="left" w:pos="990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40874CAC" w14:textId="4BE5EBCA" w:rsidR="00BC1B6D" w:rsidRPr="009618E7" w:rsidRDefault="00F37486" w:rsidP="00F85B4E">
      <w:pPr>
        <w:tabs>
          <w:tab w:val="left" w:pos="426"/>
          <w:tab w:val="left" w:pos="567"/>
          <w:tab w:val="left" w:pos="990"/>
          <w:tab w:val="left" w:pos="7088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Cambria" w:hAnsi="Cambria"/>
          <w:b/>
          <w:bCs/>
          <w:sz w:val="20"/>
          <w:szCs w:val="20"/>
          <w:shd w:val="clear" w:color="auto" w:fill="E6E6E6"/>
          <w:lang w:val="en-US"/>
        </w:rPr>
      </w:pPr>
      <w:r w:rsidRPr="009618E7">
        <w:rPr>
          <w:rFonts w:ascii="Cambria" w:eastAsia="Times New Roman" w:hAnsi="Cambria" w:cs="Times New Roman"/>
          <w:sz w:val="20"/>
          <w:szCs w:val="20"/>
        </w:rPr>
        <w:tab/>
      </w:r>
      <w:r w:rsidR="42F53466" w:rsidRPr="009618E7">
        <w:rPr>
          <w:rFonts w:ascii="Cambria" w:eastAsia="Times New Roman" w:hAnsi="Cambria" w:cs="Times New Roman"/>
          <w:sz w:val="20"/>
          <w:szCs w:val="20"/>
        </w:rPr>
        <w:t>“</w:t>
      </w:r>
      <w:r w:rsidR="42F53466" w:rsidRPr="009618E7">
        <w:rPr>
          <w:rFonts w:ascii="Cambria" w:hAnsi="Cambria"/>
          <w:sz w:val="20"/>
          <w:szCs w:val="20"/>
          <w:lang w:val="en-US"/>
        </w:rPr>
        <w:t>1.</w:t>
      </w:r>
      <w:r w:rsidR="00F85B4E" w:rsidRPr="009618E7">
        <w:rPr>
          <w:rFonts w:ascii="Cambria" w:hAnsi="Cambria"/>
          <w:sz w:val="20"/>
          <w:szCs w:val="20"/>
          <w:lang w:val="en-US"/>
        </w:rPr>
        <w:tab/>
      </w:r>
      <w:r w:rsidR="599B992F" w:rsidRPr="009618E7">
        <w:rPr>
          <w:rFonts w:ascii="Cambria" w:eastAsia="Times New Roman" w:hAnsi="Cambria" w:cs="Times New Roman"/>
          <w:b/>
          <w:bCs/>
          <w:sz w:val="20"/>
          <w:szCs w:val="20"/>
        </w:rPr>
        <w:t>TAC and catch limits</w:t>
      </w:r>
    </w:p>
    <w:p w14:paraId="1E8B8F01" w14:textId="77777777" w:rsidR="00657151" w:rsidRPr="009618E7" w:rsidRDefault="00657151" w:rsidP="4F52BBB2">
      <w:pPr>
        <w:tabs>
          <w:tab w:val="left" w:pos="426"/>
          <w:tab w:val="left" w:pos="567"/>
          <w:tab w:val="left" w:pos="990"/>
          <w:tab w:val="left" w:pos="7088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Cambria" w:hAnsi="Cambria"/>
          <w:sz w:val="20"/>
          <w:szCs w:val="20"/>
          <w:lang w:val="en-US"/>
        </w:rPr>
      </w:pPr>
    </w:p>
    <w:p w14:paraId="08B9FD7A" w14:textId="14E441B4" w:rsidR="00BC1B6D" w:rsidRPr="009618E7" w:rsidRDefault="4AF49243" w:rsidP="009E7AA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mbria" w:hAnsi="Cambria"/>
          <w:sz w:val="20"/>
          <w:szCs w:val="20"/>
          <w:lang w:val="en-US"/>
        </w:rPr>
      </w:pPr>
      <w:r w:rsidRPr="009618E7">
        <w:rPr>
          <w:rFonts w:ascii="Cambria" w:hAnsi="Cambria"/>
          <w:sz w:val="20"/>
          <w:szCs w:val="20"/>
          <w:lang w:val="en-US"/>
        </w:rPr>
        <w:t xml:space="preserve">The total allowable catch (TAC) shall be 10,000 t </w:t>
      </w:r>
      <w:r w:rsidR="7198DCA3" w:rsidRPr="009618E7">
        <w:rPr>
          <w:rFonts w:ascii="Cambria" w:hAnsi="Cambria"/>
          <w:sz w:val="20"/>
          <w:szCs w:val="20"/>
          <w:lang w:val="en-US"/>
        </w:rPr>
        <w:t xml:space="preserve">for South Atlantic swordfish for the </w:t>
      </w:r>
      <w:r w:rsidR="272699A2" w:rsidRPr="009618E7">
        <w:rPr>
          <w:rFonts w:ascii="Cambria" w:hAnsi="Cambria"/>
          <w:sz w:val="20"/>
          <w:szCs w:val="20"/>
          <w:lang w:val="en-US"/>
        </w:rPr>
        <w:t>years 2023</w:t>
      </w:r>
      <w:r w:rsidR="7198DCA3" w:rsidRPr="009618E7">
        <w:rPr>
          <w:rFonts w:ascii="Cambria" w:hAnsi="Cambria"/>
          <w:sz w:val="20"/>
          <w:szCs w:val="20"/>
          <w:lang w:val="en-US"/>
        </w:rPr>
        <w:t>, 2024, 2025 and 2026.</w:t>
      </w:r>
    </w:p>
    <w:p w14:paraId="3A232736" w14:textId="0802F07A" w:rsidR="00BC1B6D" w:rsidRPr="009618E7" w:rsidRDefault="00BC1B6D" w:rsidP="3DF22459">
      <w:pPr>
        <w:tabs>
          <w:tab w:val="left" w:pos="426"/>
          <w:tab w:val="left" w:pos="567"/>
          <w:tab w:val="left" w:pos="990"/>
          <w:tab w:val="left" w:pos="7088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Cambria" w:hAnsi="Cambria"/>
          <w:sz w:val="20"/>
          <w:szCs w:val="20"/>
          <w:lang w:val="en-US"/>
        </w:rPr>
      </w:pPr>
    </w:p>
    <w:p w14:paraId="08AD0541" w14:textId="77777777" w:rsidR="008E06A4" w:rsidRPr="009618E7" w:rsidRDefault="4EC10AE3" w:rsidP="009E7AA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9618E7">
        <w:rPr>
          <w:rFonts w:ascii="Cambria" w:hAnsi="Cambria"/>
          <w:sz w:val="20"/>
          <w:szCs w:val="20"/>
          <w:lang w:val="en-US"/>
        </w:rPr>
        <w:t>The annual catch limits as shown in the table below shall be applied for the years</w:t>
      </w:r>
      <w:r w:rsidR="24411477" w:rsidRPr="009618E7">
        <w:rPr>
          <w:rFonts w:ascii="Cambria" w:eastAsia="Times New Roman" w:hAnsi="Cambria" w:cs="Times New Roman"/>
          <w:sz w:val="20"/>
          <w:szCs w:val="20"/>
          <w:lang w:val="en-US"/>
        </w:rPr>
        <w:t xml:space="preserve"> 2023</w:t>
      </w:r>
      <w:r w:rsidR="39B3EB2C" w:rsidRPr="009618E7">
        <w:rPr>
          <w:rFonts w:ascii="Cambria" w:eastAsia="Times New Roman" w:hAnsi="Cambria" w:cs="Times New Roman"/>
          <w:sz w:val="20"/>
          <w:szCs w:val="20"/>
          <w:lang w:val="en-US"/>
        </w:rPr>
        <w:t xml:space="preserve">, </w:t>
      </w:r>
      <w:r w:rsidR="24411477" w:rsidRPr="009618E7">
        <w:rPr>
          <w:rFonts w:ascii="Cambria" w:eastAsia="Times New Roman" w:hAnsi="Cambria" w:cs="Times New Roman"/>
          <w:sz w:val="20"/>
          <w:szCs w:val="20"/>
          <w:lang w:val="en-US"/>
        </w:rPr>
        <w:t>2024,</w:t>
      </w:r>
      <w:r w:rsidR="4E24CB68" w:rsidRPr="009618E7">
        <w:rPr>
          <w:rFonts w:ascii="Cambria" w:eastAsia="Times New Roman" w:hAnsi="Cambria" w:cs="Times New Roman"/>
          <w:sz w:val="20"/>
          <w:szCs w:val="20"/>
          <w:lang w:val="en-US"/>
        </w:rPr>
        <w:t xml:space="preserve"> 2025</w:t>
      </w:r>
      <w:r w:rsidR="00657151" w:rsidRPr="009618E7">
        <w:rPr>
          <w:rFonts w:ascii="Cambria" w:eastAsia="Times New Roman" w:hAnsi="Cambria" w:cs="Times New Roman"/>
          <w:sz w:val="20"/>
          <w:szCs w:val="20"/>
          <w:lang w:val="en-US"/>
        </w:rPr>
        <w:t xml:space="preserve"> </w:t>
      </w:r>
      <w:r w:rsidR="4E24CB68" w:rsidRPr="009618E7">
        <w:rPr>
          <w:rFonts w:ascii="Cambria" w:hAnsi="Cambria"/>
          <w:sz w:val="20"/>
          <w:szCs w:val="20"/>
          <w:lang w:val="en-US"/>
        </w:rPr>
        <w:t xml:space="preserve">and </w:t>
      </w:r>
      <w:r w:rsidR="4E24CB68" w:rsidRPr="009618E7">
        <w:rPr>
          <w:rFonts w:ascii="Cambria" w:eastAsia="Times New Roman" w:hAnsi="Cambria" w:cs="Times New Roman"/>
          <w:sz w:val="20"/>
          <w:szCs w:val="20"/>
          <w:lang w:val="en-US"/>
        </w:rPr>
        <w:t>2026</w:t>
      </w:r>
      <w:r w:rsidR="23D718E0" w:rsidRPr="009618E7">
        <w:rPr>
          <w:rFonts w:ascii="Cambria" w:hAnsi="Cambria"/>
          <w:sz w:val="20"/>
          <w:szCs w:val="20"/>
          <w:lang w:val="en-US"/>
        </w:rPr>
        <w:t>:</w:t>
      </w:r>
      <w:r w:rsidR="00F37486" w:rsidRPr="009618E7">
        <w:tab/>
      </w:r>
    </w:p>
    <w:p w14:paraId="0CAA1380" w14:textId="77777777" w:rsidR="008E06A4" w:rsidRPr="009618E7" w:rsidRDefault="008E06A4">
      <w:r w:rsidRPr="009618E7">
        <w:br w:type="page"/>
      </w:r>
    </w:p>
    <w:p w14:paraId="629E411B" w14:textId="06AD2FC8" w:rsidR="00BC1B6D" w:rsidRPr="009618E7" w:rsidRDefault="00BC1B6D" w:rsidP="008E06A4">
      <w:pPr>
        <w:pStyle w:val="ListParagraph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mbria" w:eastAsia="Times New Roman" w:hAnsi="Cambria" w:cs="Times New Roman"/>
          <w:sz w:val="20"/>
          <w:szCs w:val="20"/>
        </w:rPr>
      </w:pPr>
    </w:p>
    <w:tbl>
      <w:tblPr>
        <w:tblStyle w:val="TableauNorm12"/>
        <w:tblpPr w:leftFromText="142" w:rightFromText="142" w:vertAnchor="text" w:horzAnchor="margin" w:tblpXSpec="center" w:tblpY="58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013"/>
      </w:tblGrid>
      <w:tr w:rsidR="004C0D76" w:rsidRPr="009618E7" w14:paraId="60F10FDD" w14:textId="77777777" w:rsidTr="00576D99">
        <w:trPr>
          <w:trHeight w:val="284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A4A4C" w14:textId="1A66FB22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9618E7">
              <w:rPr>
                <w:rFonts w:ascii="Cambria" w:hAnsi="Cambria"/>
                <w:sz w:val="20"/>
                <w:szCs w:val="20"/>
              </w:rPr>
              <w:t>TAC:</w:t>
            </w:r>
            <w:proofErr w:type="gramEnd"/>
            <w:r w:rsidRPr="009618E7">
              <w:rPr>
                <w:rFonts w:ascii="Cambria" w:hAnsi="Cambria"/>
                <w:sz w:val="20"/>
                <w:szCs w:val="20"/>
              </w:rPr>
              <w:t xml:space="preserve"> 10,000 t</w:t>
            </w:r>
          </w:p>
        </w:tc>
      </w:tr>
      <w:tr w:rsidR="004C0D76" w:rsidRPr="009618E7" w14:paraId="32EC6DDC" w14:textId="77777777" w:rsidTr="008E06A4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C3D4" w14:textId="01038CA6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i/>
                <w:sz w:val="20"/>
                <w:szCs w:val="20"/>
                <w:lang w:val="en-GB"/>
              </w:rPr>
            </w:pPr>
            <w:r w:rsidRPr="009618E7">
              <w:rPr>
                <w:rFonts w:ascii="Cambria" w:hAnsi="Cambria"/>
                <w:i/>
                <w:sz w:val="20"/>
                <w:szCs w:val="20"/>
                <w:lang w:val="en-GB"/>
              </w:rPr>
              <w:t>CPC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82D2" w14:textId="00375B1B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618E7">
              <w:rPr>
                <w:rFonts w:ascii="Cambria" w:hAnsi="Cambria"/>
                <w:i/>
                <w:iCs/>
                <w:sz w:val="20"/>
                <w:szCs w:val="20"/>
              </w:rPr>
              <w:t>Catch Limit (</w:t>
            </w:r>
            <w:proofErr w:type="gramStart"/>
            <w:r w:rsidRPr="009618E7">
              <w:rPr>
                <w:rFonts w:ascii="Cambria" w:hAnsi="Cambria"/>
                <w:i/>
                <w:iCs/>
                <w:sz w:val="20"/>
                <w:szCs w:val="20"/>
              </w:rPr>
              <w:t>Unit:</w:t>
            </w:r>
            <w:proofErr w:type="gramEnd"/>
            <w:r w:rsidRPr="009618E7">
              <w:rPr>
                <w:rFonts w:ascii="Cambria" w:hAnsi="Cambria"/>
                <w:i/>
                <w:iCs/>
                <w:sz w:val="20"/>
                <w:szCs w:val="20"/>
              </w:rPr>
              <w:t xml:space="preserve"> t)</w:t>
            </w:r>
          </w:p>
        </w:tc>
      </w:tr>
      <w:tr w:rsidR="004C0D76" w:rsidRPr="009618E7" w14:paraId="06CF6A5A" w14:textId="77777777" w:rsidTr="008E06A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743D5" w14:textId="75D6DF99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Brazil</w:t>
            </w:r>
            <w:r w:rsidRPr="009618E7">
              <w:rPr>
                <w:rFonts w:ascii="Cambria" w:hAnsi="Cambria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29ED" w14:textId="77777777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3,940</w:t>
            </w:r>
          </w:p>
        </w:tc>
      </w:tr>
      <w:tr w:rsidR="004C0D76" w:rsidRPr="009618E7" w14:paraId="05683ED6" w14:textId="77777777" w:rsidTr="008E06A4">
        <w:trPr>
          <w:trHeight w:val="2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FBEE8" w14:textId="336AAB88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European Union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BBDAB" w14:textId="77777777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4,824</w:t>
            </w:r>
          </w:p>
        </w:tc>
      </w:tr>
      <w:tr w:rsidR="004C0D76" w:rsidRPr="009618E7" w14:paraId="702CA5D5" w14:textId="77777777" w:rsidTr="008E06A4">
        <w:trPr>
          <w:trHeight w:val="1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F58EF" w14:textId="1E434D49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South Africa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37D5A" w14:textId="77777777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1,001</w:t>
            </w:r>
          </w:p>
        </w:tc>
      </w:tr>
      <w:tr w:rsidR="004C0D76" w:rsidRPr="009618E7" w14:paraId="5B5E6BAC" w14:textId="77777777" w:rsidTr="008E06A4">
        <w:trPr>
          <w:trHeight w:val="1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2C8CC" w14:textId="16F8AAEF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Namibia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E3405" w14:textId="77777777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1,168</w:t>
            </w:r>
          </w:p>
        </w:tc>
      </w:tr>
      <w:tr w:rsidR="004C0D76" w:rsidRPr="009618E7" w14:paraId="4B1DBF38" w14:textId="77777777" w:rsidTr="008E06A4">
        <w:trPr>
          <w:trHeight w:val="25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586BE" w14:textId="5CC25C41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Uruguay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EF805" w14:textId="77777777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1,252</w:t>
            </w:r>
          </w:p>
        </w:tc>
      </w:tr>
      <w:tr w:rsidR="004C0D76" w:rsidRPr="009618E7" w14:paraId="22F9A896" w14:textId="77777777" w:rsidTr="008E06A4">
        <w:trPr>
          <w:trHeight w:val="1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D944B" w14:textId="56425AD1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United States</w:t>
            </w:r>
            <w:r w:rsidRPr="009618E7"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EEFFE" w14:textId="77777777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100</w:t>
            </w:r>
          </w:p>
        </w:tc>
      </w:tr>
      <w:tr w:rsidR="004C0D76" w:rsidRPr="009618E7" w14:paraId="5405BD9C" w14:textId="77777777" w:rsidTr="008E06A4">
        <w:trPr>
          <w:trHeight w:val="2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536A4" w14:textId="40B38E84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eastAsia="Times New Roman" w:hAnsi="Cambria"/>
                <w:bCs/>
                <w:iCs/>
                <w:sz w:val="20"/>
                <w:szCs w:val="20"/>
              </w:rPr>
              <w:t>Côte</w:t>
            </w:r>
            <w:r w:rsidRPr="009618E7">
              <w:rPr>
                <w:rFonts w:ascii="Cambria" w:hAnsi="Cambria"/>
                <w:sz w:val="20"/>
                <w:szCs w:val="20"/>
              </w:rPr>
              <w:t xml:space="preserve"> d’Ivoire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E1B9A" w14:textId="77777777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125</w:t>
            </w:r>
          </w:p>
        </w:tc>
      </w:tr>
      <w:tr w:rsidR="004C0D76" w:rsidRPr="009618E7" w14:paraId="1FB965C2" w14:textId="77777777" w:rsidTr="008E06A4">
        <w:trPr>
          <w:trHeight w:val="13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7DB44" w14:textId="436F2DAD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China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3B87E" w14:textId="77777777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313</w:t>
            </w:r>
          </w:p>
        </w:tc>
      </w:tr>
      <w:tr w:rsidR="004C0D76" w:rsidRPr="009618E7" w14:paraId="14170994" w14:textId="77777777" w:rsidTr="008E06A4">
        <w:trPr>
          <w:trHeight w:val="2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18EDB" w14:textId="26F3C784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618E7">
              <w:rPr>
                <w:rFonts w:ascii="Cambria" w:hAnsi="Cambria"/>
                <w:sz w:val="20"/>
                <w:szCs w:val="20"/>
              </w:rPr>
              <w:t>Chinese</w:t>
            </w:r>
            <w:proofErr w:type="spellEnd"/>
            <w:r w:rsidRPr="009618E7">
              <w:rPr>
                <w:rFonts w:ascii="Cambria" w:hAnsi="Cambria"/>
                <w:sz w:val="20"/>
                <w:szCs w:val="20"/>
              </w:rPr>
              <w:t xml:space="preserve"> Taipei</w:t>
            </w:r>
            <w:r w:rsidRPr="009618E7"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2370F" w14:textId="77777777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459</w:t>
            </w:r>
          </w:p>
        </w:tc>
      </w:tr>
      <w:tr w:rsidR="004C0D76" w:rsidRPr="009618E7" w14:paraId="1BD7A40D" w14:textId="77777777" w:rsidTr="008E06A4">
        <w:trPr>
          <w:trHeight w:val="2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71F0C" w14:textId="54AB6305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 xml:space="preserve">United </w:t>
            </w:r>
            <w:proofErr w:type="spellStart"/>
            <w:r w:rsidRPr="009618E7">
              <w:rPr>
                <w:rFonts w:ascii="Cambria" w:hAnsi="Cambria"/>
                <w:sz w:val="20"/>
                <w:szCs w:val="20"/>
              </w:rPr>
              <w:t>Kingdom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EF69D" w14:textId="77777777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25</w:t>
            </w:r>
          </w:p>
        </w:tc>
      </w:tr>
      <w:tr w:rsidR="004C0D76" w:rsidRPr="009618E7" w14:paraId="246ACD63" w14:textId="77777777" w:rsidTr="008E06A4">
        <w:trPr>
          <w:trHeight w:val="2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D5759" w14:textId="53585AC8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Japan</w:t>
            </w:r>
            <w:r w:rsidRPr="009618E7"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CB5E5" w14:textId="77777777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901</w:t>
            </w:r>
          </w:p>
        </w:tc>
      </w:tr>
      <w:tr w:rsidR="004C0D76" w:rsidRPr="009618E7" w14:paraId="3A55F4D3" w14:textId="77777777" w:rsidTr="008E06A4">
        <w:trPr>
          <w:trHeight w:val="17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61579" w14:textId="55A1F59D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Angola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299DF" w14:textId="77777777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100</w:t>
            </w:r>
          </w:p>
        </w:tc>
      </w:tr>
      <w:tr w:rsidR="004C0D76" w:rsidRPr="009618E7" w14:paraId="6451FFBE" w14:textId="77777777" w:rsidTr="008E06A4">
        <w:trPr>
          <w:trHeight w:val="26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E2363" w14:textId="41586792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Ghana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0538C" w14:textId="77777777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100</w:t>
            </w:r>
          </w:p>
        </w:tc>
      </w:tr>
      <w:tr w:rsidR="004C0D76" w:rsidRPr="009618E7" w14:paraId="630CE90B" w14:textId="77777777" w:rsidTr="008E06A4">
        <w:trPr>
          <w:trHeight w:val="2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D0CB7" w14:textId="778A1637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St. Tomé &amp; Principe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DA984" w14:textId="77777777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100</w:t>
            </w:r>
          </w:p>
        </w:tc>
      </w:tr>
      <w:tr w:rsidR="004C0D76" w:rsidRPr="009618E7" w14:paraId="72B59511" w14:textId="77777777" w:rsidTr="008E06A4">
        <w:trPr>
          <w:trHeight w:val="2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53EC4" w14:textId="07833571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618E7">
              <w:rPr>
                <w:rFonts w:ascii="Cambria" w:hAnsi="Cambria"/>
                <w:sz w:val="20"/>
                <w:szCs w:val="20"/>
              </w:rPr>
              <w:t>Senegal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58AAB" w14:textId="77777777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417</w:t>
            </w:r>
          </w:p>
        </w:tc>
      </w:tr>
      <w:tr w:rsidR="004C0D76" w:rsidRPr="009618E7" w14:paraId="41FECDE5" w14:textId="77777777" w:rsidTr="008E06A4">
        <w:trPr>
          <w:trHeight w:val="12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49567" w14:textId="77777777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618E7">
              <w:rPr>
                <w:rFonts w:ascii="Cambria" w:hAnsi="Cambria"/>
                <w:sz w:val="20"/>
                <w:szCs w:val="20"/>
              </w:rPr>
              <w:t>Korea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45D60" w14:textId="77777777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50</w:t>
            </w:r>
          </w:p>
        </w:tc>
      </w:tr>
      <w:tr w:rsidR="004C0D76" w:rsidRPr="009618E7" w14:paraId="0D5EE91E" w14:textId="77777777" w:rsidTr="008E06A4">
        <w:trPr>
          <w:trHeight w:val="21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D8F7F" w14:textId="77777777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Belize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6FC03" w14:textId="77777777" w:rsidR="004C0D76" w:rsidRPr="009618E7" w:rsidRDefault="004C0D76" w:rsidP="004C0D76">
            <w:pPr>
              <w:tabs>
                <w:tab w:val="left" w:pos="440"/>
                <w:tab w:val="left" w:pos="660"/>
                <w:tab w:val="left" w:pos="99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hAnsi="Cambria"/>
                <w:sz w:val="20"/>
                <w:szCs w:val="20"/>
              </w:rPr>
              <w:t>125</w:t>
            </w:r>
          </w:p>
        </w:tc>
      </w:tr>
    </w:tbl>
    <w:p w14:paraId="0D21D834" w14:textId="77777777" w:rsidR="00BC1B6D" w:rsidRPr="009618E7" w:rsidRDefault="00BC1B6D" w:rsidP="00BC1B6D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6" w:hanging="278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2D9DBCAB" w14:textId="7216E6B0" w:rsidR="00BC1B6D" w:rsidRPr="009618E7" w:rsidRDefault="00BC1B6D" w:rsidP="00F37486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right="567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175BBD7F" w14:textId="77777777" w:rsidR="00BC1B6D" w:rsidRPr="009618E7" w:rsidRDefault="00BC1B6D" w:rsidP="00BC1B6D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7" w:hanging="278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35816EA7" w14:textId="77777777" w:rsidR="00BC1B6D" w:rsidRPr="009618E7" w:rsidRDefault="00BC1B6D" w:rsidP="00BC1B6D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7" w:hanging="278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417EDB61" w14:textId="77777777" w:rsidR="00BC1B6D" w:rsidRPr="009618E7" w:rsidRDefault="00BC1B6D" w:rsidP="00BC1B6D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7" w:hanging="278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37031446" w14:textId="77777777" w:rsidR="00ED5499" w:rsidRPr="009618E7" w:rsidRDefault="00ED5499" w:rsidP="00DB4AC0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7" w:hanging="278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6ED1010C" w14:textId="7E134523" w:rsidR="00EA3336" w:rsidRPr="009618E7" w:rsidRDefault="00EA3336" w:rsidP="00DB4AC0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7" w:hanging="278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0CACAD51" w14:textId="77777777" w:rsidR="009E7AA0" w:rsidRPr="009618E7" w:rsidRDefault="009E7AA0" w:rsidP="00EC5DD8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7" w:hanging="278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2346599D" w14:textId="77777777" w:rsidR="009E7AA0" w:rsidRPr="009618E7" w:rsidRDefault="009E7AA0" w:rsidP="00EC5DD8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7" w:hanging="278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61775F05" w14:textId="77777777" w:rsidR="009E7AA0" w:rsidRPr="009618E7" w:rsidRDefault="009E7AA0" w:rsidP="00EC5DD8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7" w:hanging="278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7C80EC83" w14:textId="77777777" w:rsidR="009E7AA0" w:rsidRPr="009618E7" w:rsidRDefault="009E7AA0" w:rsidP="00EC5DD8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7" w:hanging="278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4E75A81E" w14:textId="77777777" w:rsidR="009E7AA0" w:rsidRPr="009618E7" w:rsidRDefault="009E7AA0" w:rsidP="00EC5DD8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7" w:hanging="278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53847D9B" w14:textId="77777777" w:rsidR="009E7AA0" w:rsidRPr="009618E7" w:rsidRDefault="009E7AA0" w:rsidP="00EC5DD8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7" w:hanging="278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7AC511D5" w14:textId="77777777" w:rsidR="009E7AA0" w:rsidRPr="009618E7" w:rsidRDefault="009E7AA0" w:rsidP="00EC5DD8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7" w:hanging="278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35CEE730" w14:textId="77777777" w:rsidR="009E7AA0" w:rsidRPr="009618E7" w:rsidRDefault="009E7AA0" w:rsidP="00EC5DD8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7" w:hanging="278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4375D9AC" w14:textId="77777777" w:rsidR="009E7AA0" w:rsidRPr="009618E7" w:rsidRDefault="009E7AA0" w:rsidP="00EC5DD8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7" w:hanging="278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14727942" w14:textId="77777777" w:rsidR="009E7AA0" w:rsidRPr="009618E7" w:rsidRDefault="009E7AA0" w:rsidP="00EC5DD8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7" w:hanging="278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252C8D3A" w14:textId="77777777" w:rsidR="009E7AA0" w:rsidRPr="009618E7" w:rsidRDefault="009E7AA0" w:rsidP="00EC5DD8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7" w:hanging="278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6AA6DDEB" w14:textId="77777777" w:rsidR="009E7AA0" w:rsidRPr="009618E7" w:rsidRDefault="009E7AA0" w:rsidP="00EC5DD8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7" w:hanging="278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73D26685" w14:textId="77777777" w:rsidR="009E7AA0" w:rsidRPr="009618E7" w:rsidRDefault="009E7AA0" w:rsidP="00EC5DD8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7" w:hanging="278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39D70176" w14:textId="77777777" w:rsidR="009E7AA0" w:rsidRPr="009618E7" w:rsidRDefault="009E7AA0" w:rsidP="00EC5DD8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7" w:hanging="278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5E502CB7" w14:textId="77777777" w:rsidR="009E7AA0" w:rsidRPr="009618E7" w:rsidRDefault="009E7AA0" w:rsidP="00EC5DD8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7" w:hanging="278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55A5E038" w14:textId="085FCD35" w:rsidR="00BC1B6D" w:rsidRPr="009618E7" w:rsidRDefault="00BC1B6D" w:rsidP="00EC5DD8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7" w:hanging="278"/>
        <w:jc w:val="both"/>
        <w:rPr>
          <w:rFonts w:ascii="Cambria" w:hAnsi="Cambria"/>
          <w:sz w:val="16"/>
          <w:szCs w:val="16"/>
          <w:lang w:val="en-US"/>
        </w:rPr>
      </w:pPr>
      <w:r w:rsidRPr="009618E7">
        <w:rPr>
          <w:rFonts w:ascii="Cambria" w:eastAsia="Times New Roman" w:hAnsi="Cambria" w:cs="Times New Roman"/>
          <w:sz w:val="16"/>
          <w:szCs w:val="16"/>
          <w:lang w:val="en-US"/>
        </w:rPr>
        <w:t>(</w:t>
      </w:r>
      <w:r w:rsidR="00652772" w:rsidRPr="009618E7">
        <w:rPr>
          <w:rFonts w:ascii="Cambria" w:eastAsia="Times New Roman" w:hAnsi="Cambria" w:cs="Times New Roman"/>
          <w:sz w:val="16"/>
          <w:szCs w:val="16"/>
          <w:lang w:val="en-US"/>
        </w:rPr>
        <w:t>1</w:t>
      </w:r>
      <w:r w:rsidRPr="009618E7">
        <w:rPr>
          <w:rFonts w:ascii="Cambria" w:eastAsia="Times New Roman" w:hAnsi="Cambria" w:cs="Times New Roman"/>
          <w:sz w:val="16"/>
          <w:szCs w:val="16"/>
          <w:lang w:val="en-US"/>
        </w:rPr>
        <w:t>)</w:t>
      </w:r>
      <w:r w:rsidRPr="009618E7">
        <w:rPr>
          <w:rFonts w:ascii="Cambria" w:eastAsia="Times New Roman" w:hAnsi="Cambria" w:cs="Times New Roman"/>
          <w:sz w:val="16"/>
          <w:szCs w:val="16"/>
          <w:lang w:val="en-US"/>
        </w:rPr>
        <w:tab/>
      </w:r>
      <w:r w:rsidRPr="009618E7">
        <w:rPr>
          <w:rFonts w:ascii="Cambria" w:hAnsi="Cambria"/>
          <w:sz w:val="16"/>
          <w:szCs w:val="16"/>
          <w:lang w:val="en-US"/>
        </w:rPr>
        <w:t>Brazil may harvest up to 200 t of its annual catch limit within the area between 5 degrees North latitude and 15 degrees North latitude.</w:t>
      </w:r>
    </w:p>
    <w:p w14:paraId="5797AEBE" w14:textId="7F9F9F77" w:rsidR="00BC1B6D" w:rsidRPr="009618E7" w:rsidRDefault="7F571AD4" w:rsidP="00DB4AC0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6" w:hanging="278"/>
        <w:jc w:val="both"/>
        <w:rPr>
          <w:rFonts w:ascii="Cambria" w:hAnsi="Cambria"/>
          <w:sz w:val="16"/>
          <w:szCs w:val="16"/>
          <w:lang w:val="en-US"/>
        </w:rPr>
      </w:pPr>
      <w:r w:rsidRPr="009618E7">
        <w:rPr>
          <w:rFonts w:ascii="Cambria" w:eastAsia="Times New Roman" w:hAnsi="Cambria" w:cs="Times New Roman"/>
          <w:sz w:val="16"/>
          <w:szCs w:val="16"/>
          <w:lang w:val="en-US"/>
        </w:rPr>
        <w:t>(</w:t>
      </w:r>
      <w:r w:rsidR="00652772" w:rsidRPr="009618E7">
        <w:rPr>
          <w:rFonts w:ascii="Cambria" w:eastAsia="Times New Roman" w:hAnsi="Cambria" w:cs="Times New Roman"/>
          <w:sz w:val="16"/>
          <w:szCs w:val="16"/>
          <w:lang w:val="en-US"/>
        </w:rPr>
        <w:t>2</w:t>
      </w:r>
      <w:r w:rsidRPr="009618E7">
        <w:rPr>
          <w:rFonts w:ascii="Cambria" w:eastAsia="Times New Roman" w:hAnsi="Cambria" w:cs="Times New Roman"/>
          <w:sz w:val="16"/>
          <w:szCs w:val="16"/>
          <w:lang w:val="en-US"/>
        </w:rPr>
        <w:t>)</w:t>
      </w:r>
      <w:r w:rsidR="00BC1B6D" w:rsidRPr="009618E7">
        <w:rPr>
          <w:sz w:val="16"/>
          <w:szCs w:val="16"/>
        </w:rPr>
        <w:tab/>
      </w:r>
      <w:r w:rsidRPr="009618E7">
        <w:rPr>
          <w:rFonts w:ascii="Cambria" w:hAnsi="Cambria"/>
          <w:sz w:val="16"/>
          <w:szCs w:val="16"/>
          <w:lang w:val="en-US"/>
        </w:rPr>
        <w:t xml:space="preserve">Japan, </w:t>
      </w:r>
      <w:r w:rsidR="000A5300" w:rsidRPr="009618E7">
        <w:rPr>
          <w:rFonts w:ascii="Cambria" w:hAnsi="Cambria"/>
          <w:sz w:val="16"/>
          <w:szCs w:val="16"/>
          <w:lang w:val="en-US"/>
        </w:rPr>
        <w:t>United States</w:t>
      </w:r>
      <w:r w:rsidR="00144D77" w:rsidRPr="009618E7">
        <w:rPr>
          <w:rFonts w:ascii="Cambria" w:hAnsi="Cambria"/>
          <w:sz w:val="16"/>
          <w:szCs w:val="16"/>
          <w:lang w:val="en-US"/>
        </w:rPr>
        <w:t>,</w:t>
      </w:r>
      <w:r w:rsidRPr="009618E7">
        <w:rPr>
          <w:rFonts w:ascii="Cambria" w:hAnsi="Cambria"/>
          <w:sz w:val="16"/>
          <w:szCs w:val="16"/>
          <w:lang w:val="en-US"/>
        </w:rPr>
        <w:t xml:space="preserve"> and Chinese Taipei</w:t>
      </w:r>
      <w:r w:rsidR="000A5300" w:rsidRPr="009618E7">
        <w:rPr>
          <w:rFonts w:ascii="Cambria" w:hAnsi="Cambria"/>
          <w:sz w:val="16"/>
          <w:szCs w:val="16"/>
          <w:lang w:val="en-US"/>
        </w:rPr>
        <w:t xml:space="preserve"> may</w:t>
      </w:r>
      <w:r w:rsidR="00FA5D4A" w:rsidRPr="009618E7">
        <w:rPr>
          <w:rFonts w:ascii="Cambria" w:hAnsi="Cambria"/>
          <w:sz w:val="16"/>
          <w:szCs w:val="16"/>
          <w:lang w:val="en-US"/>
        </w:rPr>
        <w:t xml:space="preserve"> </w:t>
      </w:r>
      <w:r w:rsidRPr="009618E7">
        <w:rPr>
          <w:rFonts w:ascii="Cambria" w:hAnsi="Cambria"/>
          <w:sz w:val="16"/>
          <w:szCs w:val="16"/>
          <w:lang w:val="en-US"/>
        </w:rPr>
        <w:t xml:space="preserve">carryover unused portions </w:t>
      </w:r>
      <w:r w:rsidR="00BB0285" w:rsidRPr="009618E7">
        <w:rPr>
          <w:rFonts w:ascii="Cambria" w:hAnsi="Cambria"/>
          <w:sz w:val="16"/>
          <w:szCs w:val="16"/>
        </w:rPr>
        <w:t xml:space="preserve">of their respective catch limits specified in this table </w:t>
      </w:r>
      <w:r w:rsidRPr="009618E7">
        <w:rPr>
          <w:rFonts w:ascii="Cambria" w:hAnsi="Cambria"/>
          <w:sz w:val="16"/>
          <w:szCs w:val="16"/>
          <w:lang w:val="en-US"/>
        </w:rPr>
        <w:t>during 20</w:t>
      </w:r>
      <w:r w:rsidR="1DEDC8AD" w:rsidRPr="009618E7">
        <w:rPr>
          <w:rFonts w:ascii="Cambria" w:hAnsi="Cambria"/>
          <w:sz w:val="16"/>
          <w:szCs w:val="16"/>
          <w:lang w:val="en-US"/>
        </w:rPr>
        <w:t>23</w:t>
      </w:r>
      <w:r w:rsidRPr="009618E7">
        <w:rPr>
          <w:rFonts w:ascii="Cambria" w:hAnsi="Cambria"/>
          <w:sz w:val="16"/>
          <w:szCs w:val="16"/>
          <w:lang w:val="en-US"/>
        </w:rPr>
        <w:t>-</w:t>
      </w:r>
      <w:r w:rsidRPr="009618E7">
        <w:rPr>
          <w:rFonts w:ascii="Cambria" w:eastAsia="Times New Roman" w:hAnsi="Cambria" w:cs="Times New Roman"/>
          <w:sz w:val="16"/>
          <w:szCs w:val="16"/>
          <w:lang w:val="en-US"/>
        </w:rPr>
        <w:t>202</w:t>
      </w:r>
      <w:r w:rsidR="37BBF0E1" w:rsidRPr="009618E7">
        <w:rPr>
          <w:rFonts w:ascii="Cambria" w:eastAsia="Times New Roman" w:hAnsi="Cambria" w:cs="Times New Roman"/>
          <w:sz w:val="16"/>
          <w:szCs w:val="16"/>
          <w:lang w:val="en-US"/>
        </w:rPr>
        <w:t>6</w:t>
      </w:r>
      <w:r w:rsidR="00BB0285" w:rsidRPr="009618E7">
        <w:rPr>
          <w:rFonts w:ascii="Cambria" w:eastAsia="Times New Roman" w:hAnsi="Cambria" w:cs="Times New Roman"/>
          <w:sz w:val="16"/>
          <w:szCs w:val="16"/>
          <w:lang w:val="en-US"/>
        </w:rPr>
        <w:t>,</w:t>
      </w:r>
      <w:r w:rsidRPr="009618E7">
        <w:rPr>
          <w:rFonts w:ascii="Cambria" w:hAnsi="Cambria"/>
          <w:sz w:val="16"/>
          <w:szCs w:val="16"/>
          <w:lang w:val="en-US"/>
        </w:rPr>
        <w:t xml:space="preserve"> but such carried over amounts each year shall not exceed </w:t>
      </w:r>
      <w:r w:rsidR="0E5C365F" w:rsidRPr="009618E7">
        <w:rPr>
          <w:rFonts w:ascii="Cambria" w:hAnsi="Cambria"/>
          <w:sz w:val="16"/>
          <w:szCs w:val="16"/>
          <w:lang w:val="en-US"/>
        </w:rPr>
        <w:t>600</w:t>
      </w:r>
      <w:r w:rsidR="009E0894" w:rsidRPr="009618E7">
        <w:rPr>
          <w:rFonts w:ascii="Cambria" w:hAnsi="Cambria"/>
          <w:sz w:val="16"/>
          <w:szCs w:val="16"/>
          <w:lang w:val="en-US"/>
        </w:rPr>
        <w:t xml:space="preserve"> </w:t>
      </w:r>
      <w:r w:rsidR="0E5C365F" w:rsidRPr="009618E7">
        <w:rPr>
          <w:rFonts w:ascii="Cambria" w:hAnsi="Cambria"/>
          <w:sz w:val="16"/>
          <w:szCs w:val="16"/>
          <w:lang w:val="en-US"/>
        </w:rPr>
        <w:t>t, 100</w:t>
      </w:r>
      <w:r w:rsidR="009E0894" w:rsidRPr="009618E7">
        <w:rPr>
          <w:rFonts w:ascii="Cambria" w:hAnsi="Cambria"/>
          <w:sz w:val="16"/>
          <w:szCs w:val="16"/>
          <w:lang w:val="en-US"/>
        </w:rPr>
        <w:t xml:space="preserve"> </w:t>
      </w:r>
      <w:r w:rsidR="0E5C365F" w:rsidRPr="009618E7">
        <w:rPr>
          <w:rFonts w:ascii="Cambria" w:hAnsi="Cambria"/>
          <w:sz w:val="16"/>
          <w:szCs w:val="16"/>
          <w:lang w:val="en-US"/>
        </w:rPr>
        <w:t>t and 300</w:t>
      </w:r>
      <w:r w:rsidR="009E0894" w:rsidRPr="009618E7">
        <w:rPr>
          <w:rFonts w:ascii="Cambria" w:hAnsi="Cambria"/>
          <w:sz w:val="16"/>
          <w:szCs w:val="16"/>
          <w:lang w:val="en-US"/>
        </w:rPr>
        <w:t xml:space="preserve"> </w:t>
      </w:r>
      <w:r w:rsidR="0E5C365F" w:rsidRPr="009618E7">
        <w:rPr>
          <w:rFonts w:ascii="Cambria" w:hAnsi="Cambria"/>
          <w:sz w:val="16"/>
          <w:szCs w:val="16"/>
          <w:lang w:val="en-US"/>
        </w:rPr>
        <w:t>t</w:t>
      </w:r>
      <w:r w:rsidR="008E06A4" w:rsidRPr="009618E7">
        <w:rPr>
          <w:rFonts w:ascii="Cambria" w:hAnsi="Cambria"/>
          <w:sz w:val="16"/>
          <w:szCs w:val="16"/>
          <w:lang w:val="en-US"/>
        </w:rPr>
        <w:t>,</w:t>
      </w:r>
      <w:r w:rsidR="0E5C365F" w:rsidRPr="009618E7">
        <w:rPr>
          <w:rFonts w:ascii="Cambria" w:hAnsi="Cambria"/>
          <w:sz w:val="16"/>
          <w:szCs w:val="16"/>
          <w:lang w:val="en-US"/>
        </w:rPr>
        <w:t xml:space="preserve"> respectively</w:t>
      </w:r>
      <w:r w:rsidRPr="009618E7">
        <w:rPr>
          <w:rFonts w:ascii="Cambria" w:hAnsi="Cambria"/>
          <w:sz w:val="16"/>
          <w:szCs w:val="16"/>
          <w:lang w:val="en-US"/>
        </w:rPr>
        <w:t>.</w:t>
      </w:r>
    </w:p>
    <w:p w14:paraId="7A85984E" w14:textId="5BA7A740" w:rsidR="0023608C" w:rsidRPr="009618E7" w:rsidRDefault="0023608C" w:rsidP="00BC1B6D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left="987" w:right="566" w:hanging="278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2E82DC9D" w14:textId="478EF8AD" w:rsidR="00BC1B6D" w:rsidRPr="009618E7" w:rsidRDefault="00721535" w:rsidP="00721535">
      <w:pPr>
        <w:tabs>
          <w:tab w:val="left" w:pos="426"/>
          <w:tab w:val="left" w:pos="2268"/>
        </w:tabs>
        <w:autoSpaceDE w:val="0"/>
        <w:autoSpaceDN w:val="0"/>
        <w:adjustRightInd w:val="0"/>
        <w:spacing w:after="0" w:line="240" w:lineRule="auto"/>
        <w:ind w:right="992"/>
        <w:rPr>
          <w:rFonts w:ascii="Cambria" w:hAnsi="Cambria"/>
          <w:sz w:val="20"/>
          <w:szCs w:val="20"/>
          <w:lang w:val="en-US"/>
        </w:rPr>
      </w:pPr>
      <w:r w:rsidRPr="009618E7">
        <w:rPr>
          <w:rFonts w:ascii="Cambria" w:eastAsia="Times New Roman" w:hAnsi="Cambria" w:cs="Times New Roman"/>
          <w:sz w:val="20"/>
          <w:szCs w:val="20"/>
          <w:lang w:val="en-US"/>
        </w:rPr>
        <w:tab/>
      </w:r>
      <w:r w:rsidR="00BC1B6D" w:rsidRPr="009618E7">
        <w:rPr>
          <w:rFonts w:ascii="Cambria" w:hAnsi="Cambria"/>
          <w:sz w:val="20"/>
          <w:szCs w:val="20"/>
          <w:lang w:val="en-US"/>
        </w:rPr>
        <w:t>Transfers shall be authorized in accordance with paragraph 5</w:t>
      </w:r>
      <w:r w:rsidR="00BC1B6D" w:rsidRPr="009618E7">
        <w:rPr>
          <w:rFonts w:ascii="Cambria" w:eastAsia="Times New Roman" w:hAnsi="Cambria" w:cs="Times New Roman"/>
          <w:sz w:val="20"/>
          <w:szCs w:val="20"/>
          <w:lang w:val="en-US"/>
        </w:rPr>
        <w:t>.</w:t>
      </w:r>
    </w:p>
    <w:p w14:paraId="2A689B08" w14:textId="77777777" w:rsidR="00655AFE" w:rsidRPr="009618E7" w:rsidRDefault="00655AFE" w:rsidP="4F52BBB2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right="992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68860E8B" w14:textId="77777777" w:rsidR="008E06A4" w:rsidRPr="009618E7" w:rsidRDefault="47EFE941" w:rsidP="004F3F9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mbria" w:eastAsia="Times New Roman" w:hAnsi="Cambria" w:cs="Times New Roman"/>
          <w:sz w:val="20"/>
          <w:szCs w:val="20"/>
        </w:rPr>
      </w:pPr>
      <w:r w:rsidRPr="009618E7">
        <w:rPr>
          <w:rFonts w:ascii="Cambria" w:eastAsia="Cambria" w:hAnsi="Cambria" w:cs="Cambria"/>
          <w:sz w:val="20"/>
          <w:szCs w:val="20"/>
        </w:rPr>
        <w:t xml:space="preserve">If the annual catch exceeds the TAC of 10,000 t, CPCs that have exceeded their individual catch limits shall pay back their overharvest in accordance with paragraph </w:t>
      </w:r>
      <w:r w:rsidR="4971B797" w:rsidRPr="009618E7">
        <w:rPr>
          <w:rFonts w:ascii="Cambria" w:eastAsia="Cambria" w:hAnsi="Cambria" w:cs="Cambria"/>
          <w:sz w:val="20"/>
          <w:szCs w:val="20"/>
        </w:rPr>
        <w:t>2</w:t>
      </w:r>
      <w:r w:rsidRPr="009618E7">
        <w:rPr>
          <w:rFonts w:ascii="Cambria" w:eastAsia="Cambria" w:hAnsi="Cambria" w:cs="Cambria"/>
          <w:sz w:val="20"/>
          <w:szCs w:val="20"/>
        </w:rPr>
        <w:t xml:space="preserve"> of this </w:t>
      </w:r>
      <w:r w:rsidR="006D5B4E" w:rsidRPr="009618E7">
        <w:rPr>
          <w:rFonts w:ascii="Cambria" w:eastAsia="Cambria" w:hAnsi="Cambria" w:cs="Cambria"/>
          <w:sz w:val="20"/>
          <w:szCs w:val="20"/>
        </w:rPr>
        <w:t>R</w:t>
      </w:r>
      <w:r w:rsidRPr="009618E7">
        <w:rPr>
          <w:rFonts w:ascii="Cambria" w:eastAsia="Cambria" w:hAnsi="Cambria" w:cs="Cambria"/>
          <w:sz w:val="20"/>
          <w:szCs w:val="20"/>
        </w:rPr>
        <w:t xml:space="preserve">ecommendation. Any amount of the overharvest remaining after such adjustment shall be deducted from the annual catch limit of each CPC in the year following the excess, on a </w:t>
      </w:r>
      <w:proofErr w:type="spellStart"/>
      <w:r w:rsidRPr="009618E7">
        <w:rPr>
          <w:rFonts w:ascii="Cambria" w:eastAsia="Cambria" w:hAnsi="Cambria" w:cs="Cambria"/>
          <w:sz w:val="20"/>
          <w:szCs w:val="20"/>
        </w:rPr>
        <w:t>prorata</w:t>
      </w:r>
      <w:proofErr w:type="spellEnd"/>
      <w:r w:rsidRPr="009618E7">
        <w:rPr>
          <w:rFonts w:ascii="Cambria" w:eastAsia="Cambria" w:hAnsi="Cambria" w:cs="Cambria"/>
          <w:sz w:val="20"/>
          <w:szCs w:val="20"/>
        </w:rPr>
        <w:t xml:space="preserve"> basis of the catch limits in Table </w:t>
      </w:r>
      <w:r w:rsidR="00F47BD3" w:rsidRPr="009618E7">
        <w:rPr>
          <w:rFonts w:ascii="Cambria" w:eastAsia="Cambria" w:hAnsi="Cambria" w:cs="Cambria"/>
          <w:sz w:val="20"/>
          <w:szCs w:val="20"/>
        </w:rPr>
        <w:t>1</w:t>
      </w:r>
      <w:r w:rsidRPr="009618E7">
        <w:rPr>
          <w:rFonts w:ascii="Cambria" w:eastAsia="Cambria" w:hAnsi="Cambria" w:cs="Cambria"/>
          <w:sz w:val="20"/>
          <w:szCs w:val="20"/>
        </w:rPr>
        <w:t xml:space="preserve"> </w:t>
      </w:r>
      <w:r w:rsidR="00A81CD5" w:rsidRPr="009618E7">
        <w:rPr>
          <w:rFonts w:ascii="Cambria" w:eastAsia="Cambria" w:hAnsi="Cambria" w:cs="Cambria"/>
          <w:sz w:val="20"/>
          <w:szCs w:val="20"/>
        </w:rPr>
        <w:t>b</w:t>
      </w:r>
      <w:r w:rsidRPr="009618E7">
        <w:rPr>
          <w:rFonts w:ascii="Cambria" w:eastAsia="Cambria" w:hAnsi="Cambria" w:cs="Cambria"/>
          <w:sz w:val="20"/>
          <w:szCs w:val="20"/>
        </w:rPr>
        <w:t>) above.</w:t>
      </w:r>
      <w:r w:rsidR="00BF4DA5" w:rsidRPr="009618E7">
        <w:rPr>
          <w:rFonts w:ascii="Cambria" w:eastAsia="Times New Roman" w:hAnsi="Cambria" w:cs="Times New Roman"/>
          <w:sz w:val="20"/>
          <w:szCs w:val="20"/>
          <w:lang w:val="en-US"/>
        </w:rPr>
        <w:t>”</w:t>
      </w:r>
    </w:p>
    <w:p w14:paraId="76BA6127" w14:textId="77777777" w:rsidR="008E06A4" w:rsidRPr="009618E7" w:rsidRDefault="008E06A4" w:rsidP="008E06A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10D0A40C" w14:textId="5E1214F2" w:rsidR="00333E7D" w:rsidRPr="009618E7" w:rsidRDefault="00333E7D" w:rsidP="008E06A4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Cambria" w:eastAsia="Times New Roman" w:hAnsi="Cambria" w:cs="Times New Roman"/>
          <w:sz w:val="20"/>
          <w:szCs w:val="20"/>
        </w:rPr>
      </w:pPr>
      <w:r w:rsidRPr="009618E7">
        <w:rPr>
          <w:rFonts w:ascii="Cambria" w:eastAsia="Times New Roman" w:hAnsi="Cambria" w:cs="Times New Roman"/>
          <w:sz w:val="20"/>
          <w:szCs w:val="20"/>
        </w:rPr>
        <w:t>Paragraph 2 shall be replaced with:</w:t>
      </w:r>
    </w:p>
    <w:p w14:paraId="05D29533" w14:textId="77777777" w:rsidR="00151DE8" w:rsidRPr="009618E7" w:rsidRDefault="00151DE8" w:rsidP="00DB4AC0">
      <w:pPr>
        <w:pStyle w:val="ListParagraph"/>
        <w:tabs>
          <w:tab w:val="left" w:pos="426"/>
          <w:tab w:val="left" w:pos="567"/>
          <w:tab w:val="left" w:pos="990"/>
          <w:tab w:val="left" w:pos="7088"/>
        </w:tabs>
        <w:autoSpaceDE w:val="0"/>
        <w:autoSpaceDN w:val="0"/>
        <w:adjustRightInd w:val="0"/>
        <w:spacing w:after="0" w:line="240" w:lineRule="auto"/>
        <w:ind w:left="786"/>
        <w:jc w:val="both"/>
        <w:rPr>
          <w:rFonts w:ascii="Cambria" w:hAnsi="Cambria"/>
          <w:sz w:val="20"/>
          <w:szCs w:val="20"/>
        </w:rPr>
      </w:pPr>
    </w:p>
    <w:p w14:paraId="66F9D5C3" w14:textId="5D46B9D5" w:rsidR="00BC1B6D" w:rsidRPr="009618E7" w:rsidRDefault="008E06A4" w:rsidP="008E06A4">
      <w:pPr>
        <w:tabs>
          <w:tab w:val="left" w:pos="426"/>
          <w:tab w:val="left" w:pos="851"/>
        </w:tabs>
        <w:autoSpaceDE w:val="0"/>
        <w:autoSpaceDN w:val="0"/>
        <w:adjustRightInd w:val="0"/>
        <w:spacing w:after="120" w:line="240" w:lineRule="auto"/>
        <w:ind w:left="720" w:hanging="720"/>
        <w:rPr>
          <w:rFonts w:ascii="Cambria" w:hAnsi="Cambria"/>
          <w:sz w:val="20"/>
          <w:szCs w:val="20"/>
          <w:lang w:val="en-US"/>
        </w:rPr>
      </w:pPr>
      <w:r w:rsidRPr="009618E7">
        <w:rPr>
          <w:rFonts w:ascii="Cambria" w:hAnsi="Cambria"/>
          <w:sz w:val="20"/>
          <w:szCs w:val="20"/>
        </w:rPr>
        <w:tab/>
      </w:r>
      <w:r w:rsidR="17EB2456" w:rsidRPr="009618E7">
        <w:rPr>
          <w:rFonts w:ascii="Cambria" w:hAnsi="Cambria"/>
          <w:sz w:val="20"/>
          <w:szCs w:val="20"/>
        </w:rPr>
        <w:t>“</w:t>
      </w:r>
      <w:r w:rsidR="673FC6C6" w:rsidRPr="009618E7">
        <w:rPr>
          <w:rFonts w:ascii="Cambria" w:hAnsi="Cambria"/>
          <w:sz w:val="20"/>
          <w:szCs w:val="20"/>
          <w:lang w:val="en-US"/>
        </w:rPr>
        <w:t>2</w:t>
      </w:r>
      <w:r w:rsidR="17EB2456" w:rsidRPr="009618E7">
        <w:rPr>
          <w:rFonts w:ascii="Cambria" w:hAnsi="Cambria"/>
          <w:sz w:val="20"/>
          <w:szCs w:val="20"/>
          <w:lang w:val="en-US"/>
        </w:rPr>
        <w:t>.</w:t>
      </w:r>
      <w:r w:rsidRPr="009618E7">
        <w:rPr>
          <w:rFonts w:ascii="Cambria" w:hAnsi="Cambria"/>
          <w:sz w:val="20"/>
          <w:szCs w:val="20"/>
          <w:lang w:val="en-US"/>
        </w:rPr>
        <w:tab/>
      </w:r>
      <w:r w:rsidR="17EB2456" w:rsidRPr="009618E7">
        <w:rPr>
          <w:rFonts w:ascii="Cambria" w:hAnsi="Cambria"/>
          <w:sz w:val="20"/>
          <w:szCs w:val="20"/>
          <w:lang w:val="en-US"/>
        </w:rPr>
        <w:t>Any unused portion or excess of the annual quota/catch limit may be added to/shall be deducted from, according to the case, the respective quota/catch limit during or before the adjustment year, in the following way for South Atlantic swordfish:</w:t>
      </w:r>
    </w:p>
    <w:tbl>
      <w:tblPr>
        <w:tblStyle w:val="TableauNorm12"/>
        <w:tblpPr w:leftFromText="180" w:rightFromText="180" w:vertAnchor="text" w:horzAnchor="margin" w:tblpXSpec="center" w:tblpY="143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2154"/>
      </w:tblGrid>
      <w:tr w:rsidR="00F5353E" w:rsidRPr="009618E7" w14:paraId="3AEB6F7F" w14:textId="77777777" w:rsidTr="009E7AA0">
        <w:trPr>
          <w:trHeight w:val="34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8EEF" w14:textId="77777777" w:rsidR="00F5353E" w:rsidRPr="009618E7" w:rsidRDefault="00F5353E" w:rsidP="00DB4AC0">
            <w:pPr>
              <w:tabs>
                <w:tab w:val="left" w:pos="284"/>
                <w:tab w:val="left" w:pos="440"/>
                <w:tab w:val="left" w:pos="567"/>
                <w:tab w:val="left" w:pos="660"/>
                <w:tab w:val="left" w:pos="990"/>
              </w:tabs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9618E7">
              <w:rPr>
                <w:rFonts w:ascii="Cambria" w:hAnsi="Cambria"/>
                <w:i/>
                <w:iCs/>
                <w:sz w:val="20"/>
                <w:szCs w:val="20"/>
              </w:rPr>
              <w:t xml:space="preserve">Catch </w:t>
            </w:r>
            <w:proofErr w:type="spellStart"/>
            <w:r w:rsidRPr="009618E7">
              <w:rPr>
                <w:rFonts w:ascii="Cambria" w:hAnsi="Cambria"/>
                <w:i/>
                <w:iCs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50DA" w14:textId="77777777" w:rsidR="00F5353E" w:rsidRPr="009618E7" w:rsidRDefault="00F5353E" w:rsidP="009E7AA0">
            <w:pPr>
              <w:tabs>
                <w:tab w:val="left" w:pos="284"/>
                <w:tab w:val="left" w:pos="440"/>
                <w:tab w:val="left" w:pos="567"/>
                <w:tab w:val="left" w:pos="660"/>
                <w:tab w:val="left" w:pos="990"/>
              </w:tabs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proofErr w:type="spellStart"/>
            <w:r w:rsidRPr="009618E7">
              <w:rPr>
                <w:rFonts w:ascii="Cambria" w:hAnsi="Cambria"/>
                <w:i/>
                <w:iCs/>
                <w:sz w:val="20"/>
                <w:szCs w:val="20"/>
              </w:rPr>
              <w:t>Adjustment</w:t>
            </w:r>
            <w:proofErr w:type="spellEnd"/>
            <w:r w:rsidRPr="009618E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18E7">
              <w:rPr>
                <w:rFonts w:ascii="Cambria" w:hAnsi="Cambria"/>
                <w:i/>
                <w:iCs/>
                <w:sz w:val="20"/>
                <w:szCs w:val="20"/>
              </w:rPr>
              <w:t>Year</w:t>
            </w:r>
            <w:proofErr w:type="spellEnd"/>
          </w:p>
        </w:tc>
      </w:tr>
      <w:tr w:rsidR="00A110B9" w:rsidRPr="009618E7" w14:paraId="45366809" w14:textId="77777777" w:rsidTr="009E7AA0">
        <w:trPr>
          <w:trHeight w:val="23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C57F1" w14:textId="77777777" w:rsidR="00F5353E" w:rsidRPr="009618E7" w:rsidRDefault="00F5353E" w:rsidP="00DB4AC0">
            <w:pPr>
              <w:tabs>
                <w:tab w:val="left" w:pos="284"/>
                <w:tab w:val="left" w:pos="440"/>
                <w:tab w:val="left" w:pos="567"/>
                <w:tab w:val="left" w:pos="660"/>
                <w:tab w:val="left" w:pos="990"/>
              </w:tabs>
              <w:spacing w:after="60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9618E7">
              <w:rPr>
                <w:rFonts w:ascii="Cambria" w:eastAsia="Times New Roman" w:hAnsi="Cambria"/>
                <w:sz w:val="20"/>
                <w:szCs w:val="20"/>
              </w:rPr>
              <w:t>2021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6891A" w14:textId="7AC82125" w:rsidR="00F5353E" w:rsidRPr="009618E7" w:rsidRDefault="00F5353E" w:rsidP="009E7AA0">
            <w:pPr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9618E7">
              <w:rPr>
                <w:rFonts w:ascii="Cambria" w:eastAsia="Times New Roman" w:hAnsi="Cambria"/>
                <w:sz w:val="20"/>
                <w:szCs w:val="20"/>
              </w:rPr>
              <w:t>2023</w:t>
            </w:r>
          </w:p>
        </w:tc>
      </w:tr>
      <w:tr w:rsidR="00F5353E" w:rsidRPr="009618E7" w14:paraId="605FBC95" w14:textId="77777777" w:rsidTr="009E7AA0">
        <w:trPr>
          <w:trHeight w:val="23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206F2" w14:textId="77777777" w:rsidR="00F5353E" w:rsidRPr="009618E7" w:rsidRDefault="00F5353E" w:rsidP="00DB4AC0">
            <w:pPr>
              <w:tabs>
                <w:tab w:val="left" w:pos="284"/>
                <w:tab w:val="left" w:pos="440"/>
                <w:tab w:val="left" w:pos="567"/>
                <w:tab w:val="left" w:pos="660"/>
                <w:tab w:val="left" w:pos="990"/>
              </w:tabs>
              <w:spacing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9618E7">
              <w:rPr>
                <w:rFonts w:ascii="Cambria" w:eastAsia="Times New Roman" w:hAnsi="Cambria"/>
                <w:sz w:val="20"/>
                <w:szCs w:val="20"/>
              </w:rPr>
              <w:t>2022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15E69" w14:textId="77777777" w:rsidR="00F5353E" w:rsidRPr="009618E7" w:rsidRDefault="00F5353E" w:rsidP="009E7AA0">
            <w:pPr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9618E7">
              <w:rPr>
                <w:rFonts w:ascii="Cambria" w:eastAsia="Times New Roman" w:hAnsi="Cambria"/>
                <w:sz w:val="20"/>
                <w:szCs w:val="20"/>
              </w:rPr>
              <w:t>2024</w:t>
            </w:r>
          </w:p>
        </w:tc>
      </w:tr>
      <w:tr w:rsidR="00F5353E" w:rsidRPr="009618E7" w14:paraId="5DFF4925" w14:textId="77777777" w:rsidTr="009E7AA0">
        <w:trPr>
          <w:trHeight w:val="23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2832F" w14:textId="77777777" w:rsidR="00F5353E" w:rsidRPr="009618E7" w:rsidRDefault="00F5353E" w:rsidP="00F5353E">
            <w:pPr>
              <w:tabs>
                <w:tab w:val="left" w:pos="284"/>
                <w:tab w:val="left" w:pos="440"/>
                <w:tab w:val="left" w:pos="567"/>
                <w:tab w:val="left" w:pos="660"/>
                <w:tab w:val="left" w:pos="990"/>
              </w:tabs>
              <w:spacing w:after="60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9618E7">
              <w:rPr>
                <w:rFonts w:ascii="Cambria" w:eastAsia="Times New Roman" w:hAnsi="Cambria"/>
                <w:sz w:val="20"/>
                <w:szCs w:val="20"/>
              </w:rPr>
              <w:t>2023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F80DC" w14:textId="77777777" w:rsidR="00F5353E" w:rsidRPr="009618E7" w:rsidRDefault="00F5353E" w:rsidP="009E7AA0">
            <w:pPr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9618E7">
              <w:rPr>
                <w:rFonts w:ascii="Cambria" w:eastAsia="Times New Roman" w:hAnsi="Cambria"/>
                <w:sz w:val="20"/>
                <w:szCs w:val="20"/>
              </w:rPr>
              <w:t>2025</w:t>
            </w:r>
          </w:p>
        </w:tc>
      </w:tr>
      <w:tr w:rsidR="00F5353E" w:rsidRPr="009618E7" w14:paraId="307B2518" w14:textId="77777777" w:rsidTr="009E7AA0">
        <w:trPr>
          <w:trHeight w:val="23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5E663" w14:textId="77777777" w:rsidR="00F5353E" w:rsidRPr="009618E7" w:rsidRDefault="00F5353E" w:rsidP="00F5353E">
            <w:pPr>
              <w:tabs>
                <w:tab w:val="left" w:pos="284"/>
                <w:tab w:val="left" w:pos="440"/>
                <w:tab w:val="left" w:pos="567"/>
                <w:tab w:val="left" w:pos="660"/>
                <w:tab w:val="left" w:pos="990"/>
              </w:tabs>
              <w:spacing w:after="60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9618E7">
              <w:rPr>
                <w:rFonts w:ascii="Cambria" w:eastAsia="Times New Roman" w:hAnsi="Cambria"/>
                <w:sz w:val="20"/>
                <w:szCs w:val="20"/>
              </w:rPr>
              <w:t>2024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4248D" w14:textId="77777777" w:rsidR="00F5353E" w:rsidRPr="009618E7" w:rsidRDefault="00F5353E" w:rsidP="009E7AA0">
            <w:pPr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9618E7">
              <w:rPr>
                <w:rFonts w:ascii="Cambria" w:eastAsia="Times New Roman" w:hAnsi="Cambria"/>
                <w:sz w:val="20"/>
                <w:szCs w:val="20"/>
              </w:rPr>
              <w:t>2026</w:t>
            </w:r>
          </w:p>
        </w:tc>
      </w:tr>
      <w:tr w:rsidR="00F5353E" w:rsidRPr="009618E7" w14:paraId="602D2299" w14:textId="77777777" w:rsidTr="009E7AA0">
        <w:trPr>
          <w:trHeight w:val="23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AC476" w14:textId="77777777" w:rsidR="00F5353E" w:rsidRPr="009618E7" w:rsidRDefault="00F5353E" w:rsidP="00F5353E">
            <w:pPr>
              <w:tabs>
                <w:tab w:val="left" w:pos="284"/>
                <w:tab w:val="left" w:pos="440"/>
                <w:tab w:val="left" w:pos="567"/>
                <w:tab w:val="left" w:pos="660"/>
                <w:tab w:val="left" w:pos="990"/>
              </w:tabs>
              <w:spacing w:after="60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9618E7">
              <w:rPr>
                <w:rFonts w:ascii="Cambria" w:eastAsia="Times New Roman" w:hAnsi="Cambria"/>
                <w:sz w:val="20"/>
                <w:szCs w:val="20"/>
              </w:rPr>
              <w:t>2025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FCC4A" w14:textId="77777777" w:rsidR="00F5353E" w:rsidRPr="009618E7" w:rsidRDefault="00F5353E" w:rsidP="009E7AA0">
            <w:pPr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9618E7">
              <w:rPr>
                <w:rFonts w:ascii="Cambria" w:eastAsia="Times New Roman" w:hAnsi="Cambria"/>
                <w:sz w:val="20"/>
                <w:szCs w:val="20"/>
              </w:rPr>
              <w:t>2027</w:t>
            </w:r>
          </w:p>
        </w:tc>
      </w:tr>
      <w:tr w:rsidR="00F5353E" w:rsidRPr="009618E7" w14:paraId="42CBE850" w14:textId="77777777" w:rsidTr="009E7AA0">
        <w:trPr>
          <w:trHeight w:val="23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54131" w14:textId="77777777" w:rsidR="00F5353E" w:rsidRPr="009618E7" w:rsidRDefault="00F5353E" w:rsidP="00F5353E">
            <w:pPr>
              <w:tabs>
                <w:tab w:val="left" w:pos="284"/>
                <w:tab w:val="left" w:pos="440"/>
                <w:tab w:val="left" w:pos="567"/>
                <w:tab w:val="left" w:pos="660"/>
                <w:tab w:val="left" w:pos="990"/>
              </w:tabs>
              <w:spacing w:after="60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9618E7">
              <w:rPr>
                <w:rFonts w:ascii="Cambria" w:eastAsia="Times New Roman" w:hAnsi="Cambria"/>
                <w:sz w:val="20"/>
                <w:szCs w:val="20"/>
              </w:rPr>
              <w:t>2026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2C712" w14:textId="77777777" w:rsidR="00F5353E" w:rsidRPr="009618E7" w:rsidRDefault="00F5353E" w:rsidP="009E7AA0">
            <w:pPr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9618E7">
              <w:rPr>
                <w:rFonts w:ascii="Cambria" w:eastAsia="Times New Roman" w:hAnsi="Cambria"/>
                <w:sz w:val="20"/>
                <w:szCs w:val="20"/>
              </w:rPr>
              <w:t>2028</w:t>
            </w:r>
          </w:p>
        </w:tc>
      </w:tr>
    </w:tbl>
    <w:p w14:paraId="1CAA80C6" w14:textId="4C64A308" w:rsidR="00BC1B6D" w:rsidRPr="009618E7" w:rsidRDefault="00BC1B6D" w:rsidP="66D95573">
      <w:pPr>
        <w:tabs>
          <w:tab w:val="left" w:pos="567"/>
          <w:tab w:val="left" w:pos="990"/>
          <w:tab w:val="left" w:pos="1134"/>
        </w:tabs>
        <w:autoSpaceDE w:val="0"/>
        <w:autoSpaceDN w:val="0"/>
        <w:adjustRightInd w:val="0"/>
        <w:spacing w:after="0" w:line="240" w:lineRule="auto"/>
        <w:ind w:right="566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4B423CC9" w14:textId="77777777" w:rsidR="00151DE8" w:rsidRPr="009618E7" w:rsidRDefault="00151DE8" w:rsidP="00BC1B6D">
      <w:pPr>
        <w:tabs>
          <w:tab w:val="left" w:pos="284"/>
          <w:tab w:val="left" w:pos="440"/>
          <w:tab w:val="left" w:pos="567"/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2BBF988F" w14:textId="77777777" w:rsidR="00151DE8" w:rsidRPr="009618E7" w:rsidRDefault="00151DE8" w:rsidP="00BC1B6D">
      <w:pPr>
        <w:tabs>
          <w:tab w:val="left" w:pos="284"/>
          <w:tab w:val="left" w:pos="440"/>
          <w:tab w:val="left" w:pos="567"/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1292AFE8" w14:textId="5AEBC495" w:rsidR="00151DE8" w:rsidRPr="009618E7" w:rsidRDefault="00151DE8" w:rsidP="00F47BD3">
      <w:pPr>
        <w:tabs>
          <w:tab w:val="left" w:pos="284"/>
          <w:tab w:val="left" w:pos="440"/>
          <w:tab w:val="left" w:pos="567"/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1ECC9F96" w14:textId="77777777" w:rsidR="00151DE8" w:rsidRPr="009618E7" w:rsidRDefault="00151DE8" w:rsidP="00BC1B6D">
      <w:pPr>
        <w:tabs>
          <w:tab w:val="left" w:pos="284"/>
          <w:tab w:val="left" w:pos="440"/>
          <w:tab w:val="left" w:pos="567"/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766C408A" w14:textId="77777777" w:rsidR="00151DE8" w:rsidRPr="009618E7" w:rsidRDefault="00151DE8" w:rsidP="00DB4AC0">
      <w:pPr>
        <w:tabs>
          <w:tab w:val="left" w:pos="284"/>
          <w:tab w:val="left" w:pos="440"/>
          <w:tab w:val="left" w:pos="567"/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val="en-US"/>
        </w:rPr>
      </w:pPr>
    </w:p>
    <w:p w14:paraId="678190B3" w14:textId="77777777" w:rsidR="00A70714" w:rsidRPr="009618E7" w:rsidRDefault="00A70714" w:rsidP="00DB4AC0">
      <w:pPr>
        <w:tabs>
          <w:tab w:val="left" w:pos="284"/>
          <w:tab w:val="left" w:pos="440"/>
          <w:tab w:val="left" w:pos="567"/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val="en-US"/>
        </w:rPr>
      </w:pPr>
    </w:p>
    <w:p w14:paraId="3C3FF33F" w14:textId="77777777" w:rsidR="00A70714" w:rsidRPr="009618E7" w:rsidRDefault="00A70714" w:rsidP="00DB4AC0">
      <w:pPr>
        <w:tabs>
          <w:tab w:val="left" w:pos="284"/>
          <w:tab w:val="left" w:pos="440"/>
          <w:tab w:val="left" w:pos="567"/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val="en-US"/>
        </w:rPr>
      </w:pPr>
    </w:p>
    <w:p w14:paraId="1239657D" w14:textId="77777777" w:rsidR="00A70714" w:rsidRPr="009618E7" w:rsidRDefault="00A70714" w:rsidP="00DB4AC0">
      <w:pPr>
        <w:tabs>
          <w:tab w:val="left" w:pos="284"/>
          <w:tab w:val="left" w:pos="440"/>
          <w:tab w:val="left" w:pos="567"/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val="en-US"/>
        </w:rPr>
      </w:pPr>
    </w:p>
    <w:p w14:paraId="299A989F" w14:textId="77777777" w:rsidR="00A70714" w:rsidRPr="009618E7" w:rsidRDefault="00A70714" w:rsidP="00DB4AC0">
      <w:pPr>
        <w:tabs>
          <w:tab w:val="left" w:pos="284"/>
          <w:tab w:val="left" w:pos="440"/>
          <w:tab w:val="left" w:pos="567"/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val="en-US"/>
        </w:rPr>
      </w:pPr>
    </w:p>
    <w:p w14:paraId="1B3473D9" w14:textId="77777777" w:rsidR="00A70714" w:rsidRPr="009618E7" w:rsidRDefault="00A70714" w:rsidP="00DB4AC0">
      <w:pPr>
        <w:tabs>
          <w:tab w:val="left" w:pos="284"/>
          <w:tab w:val="left" w:pos="440"/>
          <w:tab w:val="left" w:pos="567"/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val="en-US"/>
        </w:rPr>
      </w:pPr>
    </w:p>
    <w:p w14:paraId="147239C9" w14:textId="77777777" w:rsidR="00A70714" w:rsidRPr="009618E7" w:rsidRDefault="00A70714" w:rsidP="00DB4AC0">
      <w:pPr>
        <w:tabs>
          <w:tab w:val="left" w:pos="284"/>
          <w:tab w:val="left" w:pos="440"/>
          <w:tab w:val="left" w:pos="567"/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val="en-US"/>
        </w:rPr>
      </w:pPr>
    </w:p>
    <w:p w14:paraId="1E0B1B7C" w14:textId="77777777" w:rsidR="000A63ED" w:rsidRPr="009618E7" w:rsidRDefault="000A63ED">
      <w:pPr>
        <w:rPr>
          <w:rFonts w:ascii="Cambria" w:hAnsi="Cambria"/>
          <w:sz w:val="20"/>
          <w:szCs w:val="20"/>
          <w:lang w:val="en-US"/>
        </w:rPr>
      </w:pPr>
      <w:r w:rsidRPr="009618E7">
        <w:rPr>
          <w:rFonts w:ascii="Cambria" w:hAnsi="Cambria"/>
          <w:sz w:val="20"/>
          <w:szCs w:val="20"/>
          <w:lang w:val="en-US"/>
        </w:rPr>
        <w:br w:type="page"/>
      </w:r>
    </w:p>
    <w:p w14:paraId="5E2E4C77" w14:textId="51FE262B" w:rsidR="00BC1B6D" w:rsidRPr="009618E7" w:rsidRDefault="7F571AD4" w:rsidP="00DB4AC0">
      <w:pPr>
        <w:tabs>
          <w:tab w:val="left" w:pos="284"/>
          <w:tab w:val="left" w:pos="440"/>
          <w:tab w:val="left" w:pos="567"/>
          <w:tab w:val="left" w:pos="660"/>
          <w:tab w:val="left" w:pos="99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  <w:lang w:val="en-US"/>
        </w:rPr>
      </w:pPr>
      <w:r w:rsidRPr="009618E7">
        <w:rPr>
          <w:rFonts w:ascii="Cambria" w:hAnsi="Cambria"/>
          <w:sz w:val="20"/>
          <w:szCs w:val="20"/>
          <w:lang w:val="en-US"/>
        </w:rPr>
        <w:lastRenderedPageBreak/>
        <w:t xml:space="preserve">However, the maximum underage that a party may carryover in any given year shall not exceed </w:t>
      </w:r>
      <w:r w:rsidR="01B90F9E" w:rsidRPr="009618E7">
        <w:rPr>
          <w:rFonts w:ascii="Cambria" w:hAnsi="Cambria"/>
          <w:sz w:val="20"/>
          <w:szCs w:val="20"/>
          <w:lang w:val="en-US"/>
        </w:rPr>
        <w:t>1</w:t>
      </w:r>
      <w:r w:rsidRPr="009618E7">
        <w:rPr>
          <w:rFonts w:ascii="Cambria" w:hAnsi="Cambria"/>
          <w:sz w:val="20"/>
          <w:szCs w:val="20"/>
          <w:lang w:val="en-US"/>
        </w:rPr>
        <w:t xml:space="preserve">0% of </w:t>
      </w:r>
      <w:r w:rsidR="22E35539" w:rsidRPr="009618E7">
        <w:rPr>
          <w:rFonts w:ascii="Cambria" w:hAnsi="Cambria"/>
          <w:sz w:val="20"/>
          <w:szCs w:val="20"/>
          <w:lang w:val="en-US"/>
        </w:rPr>
        <w:t>the quota of the previous year.”</w:t>
      </w:r>
    </w:p>
    <w:p w14:paraId="0B556A99" w14:textId="77777777" w:rsidR="007622A4" w:rsidRPr="009618E7" w:rsidRDefault="007622A4" w:rsidP="007622A4">
      <w:pPr>
        <w:widowControl w:val="0"/>
        <w:tabs>
          <w:tab w:val="left" w:pos="426"/>
        </w:tabs>
        <w:spacing w:after="0" w:line="240" w:lineRule="auto"/>
        <w:ind w:left="360" w:right="2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</w:p>
    <w:p w14:paraId="43BDFA92" w14:textId="3DFD59EA" w:rsidR="00D660B9" w:rsidRPr="009618E7" w:rsidRDefault="00D660B9" w:rsidP="00DB4AC0">
      <w:pPr>
        <w:tabs>
          <w:tab w:val="left" w:pos="426"/>
          <w:tab w:val="left" w:pos="567"/>
          <w:tab w:val="left" w:pos="990"/>
          <w:tab w:val="left" w:pos="708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sz w:val="20"/>
          <w:szCs w:val="20"/>
        </w:rPr>
      </w:pPr>
      <w:r w:rsidRPr="009618E7">
        <w:rPr>
          <w:rFonts w:ascii="Cambria" w:eastAsia="Times New Roman" w:hAnsi="Cambria" w:cs="Times New Roman"/>
          <w:sz w:val="20"/>
          <w:szCs w:val="20"/>
        </w:rPr>
        <w:t>2.</w:t>
      </w:r>
      <w:r w:rsidRPr="009618E7">
        <w:rPr>
          <w:rFonts w:ascii="Cambria" w:hAnsi="Cambria"/>
          <w:sz w:val="20"/>
          <w:szCs w:val="20"/>
        </w:rPr>
        <w:tab/>
      </w:r>
      <w:r w:rsidRPr="009618E7">
        <w:rPr>
          <w:rFonts w:ascii="Cambria" w:eastAsia="Times New Roman" w:hAnsi="Cambria" w:cs="Times New Roman"/>
          <w:sz w:val="20"/>
          <w:szCs w:val="20"/>
        </w:rPr>
        <w:t>The SCRS will monitor the catch levels in 2023</w:t>
      </w:r>
      <w:r w:rsidR="717E16F4" w:rsidRPr="009618E7">
        <w:rPr>
          <w:rFonts w:ascii="Cambria" w:eastAsia="Times New Roman" w:hAnsi="Cambria" w:cs="Times New Roman"/>
          <w:sz w:val="20"/>
          <w:szCs w:val="20"/>
        </w:rPr>
        <w:t>,</w:t>
      </w:r>
      <w:r w:rsidRPr="009618E7">
        <w:rPr>
          <w:rFonts w:ascii="Cambria" w:eastAsia="Times New Roman" w:hAnsi="Cambria" w:cs="Times New Roman"/>
          <w:sz w:val="20"/>
          <w:szCs w:val="20"/>
        </w:rPr>
        <w:t xml:space="preserve"> 2024</w:t>
      </w:r>
      <w:r w:rsidR="63219335" w:rsidRPr="009618E7">
        <w:rPr>
          <w:rFonts w:ascii="Cambria" w:eastAsia="Times New Roman" w:hAnsi="Cambria" w:cs="Times New Roman"/>
          <w:sz w:val="20"/>
          <w:szCs w:val="20"/>
        </w:rPr>
        <w:t>, 2025 and 2026</w:t>
      </w:r>
      <w:r w:rsidRPr="009618E7">
        <w:rPr>
          <w:rFonts w:ascii="Cambria" w:eastAsia="Times New Roman" w:hAnsi="Cambria" w:cs="Times New Roman"/>
          <w:sz w:val="20"/>
          <w:szCs w:val="20"/>
        </w:rPr>
        <w:t xml:space="preserve"> and report to the Commission</w:t>
      </w:r>
      <w:r w:rsidR="5F52B80C" w:rsidRPr="009618E7">
        <w:rPr>
          <w:rFonts w:ascii="Cambria" w:eastAsia="Times New Roman" w:hAnsi="Cambria" w:cs="Times New Roman"/>
          <w:sz w:val="20"/>
          <w:szCs w:val="20"/>
        </w:rPr>
        <w:t xml:space="preserve"> annually</w:t>
      </w:r>
      <w:r w:rsidRPr="009618E7">
        <w:rPr>
          <w:rFonts w:ascii="Cambria" w:eastAsia="Times New Roman" w:hAnsi="Cambria" w:cs="Times New Roman"/>
          <w:sz w:val="20"/>
          <w:szCs w:val="20"/>
        </w:rPr>
        <w:t>.</w:t>
      </w:r>
    </w:p>
    <w:p w14:paraId="38315176" w14:textId="77777777" w:rsidR="000566B2" w:rsidRPr="009618E7" w:rsidRDefault="000566B2" w:rsidP="00DB4AC0">
      <w:pPr>
        <w:tabs>
          <w:tab w:val="left" w:pos="426"/>
          <w:tab w:val="left" w:pos="567"/>
          <w:tab w:val="left" w:pos="990"/>
          <w:tab w:val="left" w:pos="708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sz w:val="20"/>
          <w:szCs w:val="20"/>
        </w:rPr>
      </w:pPr>
    </w:p>
    <w:p w14:paraId="01412431" w14:textId="30DCADEC" w:rsidR="003301CF" w:rsidRPr="009618E7" w:rsidRDefault="00F245CC" w:rsidP="00E76EC2">
      <w:pPr>
        <w:tabs>
          <w:tab w:val="left" w:pos="426"/>
          <w:tab w:val="left" w:pos="567"/>
          <w:tab w:val="left" w:pos="990"/>
          <w:tab w:val="left" w:pos="708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sz w:val="20"/>
          <w:szCs w:val="20"/>
          <w:lang w:val="en-US"/>
        </w:rPr>
      </w:pPr>
      <w:r w:rsidRPr="009618E7">
        <w:rPr>
          <w:rFonts w:ascii="Cambria" w:eastAsia="Times New Roman" w:hAnsi="Cambria" w:cs="Times New Roman"/>
          <w:sz w:val="20"/>
          <w:szCs w:val="20"/>
        </w:rPr>
        <w:t>3.</w:t>
      </w:r>
      <w:r w:rsidRPr="009618E7">
        <w:rPr>
          <w:rFonts w:ascii="Cambria" w:eastAsia="Times New Roman" w:hAnsi="Cambria" w:cs="Times New Roman"/>
          <w:sz w:val="20"/>
          <w:szCs w:val="20"/>
        </w:rPr>
        <w:tab/>
      </w:r>
      <w:r w:rsidR="00614A2C" w:rsidRPr="009618E7">
        <w:rPr>
          <w:rFonts w:ascii="Cambria" w:eastAsia="Times New Roman" w:hAnsi="Cambria" w:cs="Times New Roman"/>
          <w:sz w:val="20"/>
          <w:szCs w:val="20"/>
        </w:rPr>
        <w:t xml:space="preserve">This </w:t>
      </w:r>
      <w:r w:rsidR="00614A2C" w:rsidRPr="009618E7">
        <w:rPr>
          <w:rFonts w:ascii="Cambria" w:eastAsia="Times New Roman" w:hAnsi="Cambria" w:cs="Times New Roman"/>
          <w:i/>
          <w:iCs/>
          <w:sz w:val="20"/>
          <w:szCs w:val="20"/>
        </w:rPr>
        <w:t xml:space="preserve">Recommendation </w:t>
      </w:r>
      <w:r w:rsidR="00614A2C" w:rsidRPr="009618E7">
        <w:rPr>
          <w:rFonts w:ascii="Cambria" w:eastAsia="Times New Roman" w:hAnsi="Cambria" w:cs="Times New Roman"/>
          <w:sz w:val="20"/>
          <w:szCs w:val="20"/>
        </w:rPr>
        <w:t xml:space="preserve">repeals and replaces the </w:t>
      </w:r>
      <w:r w:rsidR="00614A2C" w:rsidRPr="009618E7">
        <w:rPr>
          <w:rFonts w:ascii="Cambria" w:eastAsia="Times New Roman" w:hAnsi="Cambria" w:cs="Times New Roman"/>
          <w:i/>
          <w:iCs/>
          <w:sz w:val="20"/>
          <w:szCs w:val="20"/>
        </w:rPr>
        <w:t>Supplemental Recommendation by</w:t>
      </w:r>
      <w:r w:rsidR="00614A2C" w:rsidRPr="009618E7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614A2C" w:rsidRPr="009618E7">
        <w:rPr>
          <w:rFonts w:ascii="Cambria" w:eastAsia="Times New Roman" w:hAnsi="Cambria" w:cs="Times New Roman"/>
          <w:i/>
          <w:iCs/>
          <w:sz w:val="20"/>
          <w:szCs w:val="20"/>
        </w:rPr>
        <w:t xml:space="preserve">ICCAT on Recommendation 17-03 amending the Recommendation 16-04 for the conservation of South Atlantic Swordfish </w:t>
      </w:r>
      <w:r w:rsidR="00614A2C" w:rsidRPr="009618E7">
        <w:rPr>
          <w:rFonts w:ascii="Cambria" w:eastAsia="Times New Roman" w:hAnsi="Cambria" w:cs="Times New Roman"/>
          <w:iCs/>
          <w:sz w:val="20"/>
          <w:szCs w:val="20"/>
        </w:rPr>
        <w:t>(Rec. 21-03)</w:t>
      </w:r>
      <w:r w:rsidR="00614A2C" w:rsidRPr="009618E7">
        <w:rPr>
          <w:rFonts w:ascii="Cambria" w:eastAsia="Times New Roman" w:hAnsi="Cambria" w:cs="Times New Roman"/>
          <w:sz w:val="20"/>
          <w:szCs w:val="20"/>
        </w:rPr>
        <w:t>.</w:t>
      </w:r>
    </w:p>
    <w:p w14:paraId="46C9EBAE" w14:textId="77777777" w:rsidR="00CB2B19" w:rsidRPr="009618E7" w:rsidRDefault="00CB2B19" w:rsidP="00C02BB0">
      <w:pPr>
        <w:rPr>
          <w:rFonts w:ascii="Cambria" w:hAnsi="Cambria"/>
          <w:sz w:val="20"/>
          <w:szCs w:val="20"/>
          <w:lang w:val="en-US"/>
        </w:rPr>
      </w:pPr>
    </w:p>
    <w:sectPr w:rsidR="00CB2B19" w:rsidRPr="009618E7" w:rsidSect="00DB4AC0">
      <w:footerReference w:type="default" r:id="rId8"/>
      <w:pgSz w:w="11910" w:h="16840" w:code="9"/>
      <w:pgMar w:top="1418" w:right="1418" w:bottom="1418" w:left="1418" w:header="851" w:footer="113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4EA3C" w14:textId="77777777" w:rsidR="009137CC" w:rsidRDefault="009137CC" w:rsidP="00EE2D3F">
      <w:pPr>
        <w:spacing w:after="0" w:line="240" w:lineRule="auto"/>
      </w:pPr>
      <w:r>
        <w:separator/>
      </w:r>
    </w:p>
  </w:endnote>
  <w:endnote w:type="continuationSeparator" w:id="0">
    <w:p w14:paraId="4F90DADF" w14:textId="77777777" w:rsidR="009137CC" w:rsidRDefault="009137CC" w:rsidP="008F0A03">
      <w:pPr>
        <w:spacing w:after="0" w:line="240" w:lineRule="auto"/>
      </w:pPr>
      <w:r>
        <w:continuationSeparator/>
      </w:r>
    </w:p>
  </w:endnote>
  <w:endnote w:type="continuationNotice" w:id="1">
    <w:p w14:paraId="678AE8D5" w14:textId="77777777" w:rsidR="009137CC" w:rsidRDefault="009137CC" w:rsidP="008F0A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-Italic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84822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718F5B9" w14:textId="7AFAE2DB" w:rsidR="005A14D2" w:rsidRPr="003E2722" w:rsidRDefault="005A14D2">
        <w:pPr>
          <w:pStyle w:val="Footer"/>
          <w:jc w:val="center"/>
          <w:rPr>
            <w:sz w:val="20"/>
            <w:szCs w:val="20"/>
          </w:rPr>
        </w:pPr>
        <w:r w:rsidRPr="003E2722">
          <w:rPr>
            <w:sz w:val="20"/>
            <w:szCs w:val="20"/>
          </w:rPr>
          <w:fldChar w:fldCharType="begin"/>
        </w:r>
        <w:r w:rsidRPr="003E2722">
          <w:rPr>
            <w:sz w:val="20"/>
            <w:szCs w:val="20"/>
          </w:rPr>
          <w:instrText xml:space="preserve"> PAGE   \* MERGEFORMAT </w:instrText>
        </w:r>
        <w:r w:rsidRPr="003E2722">
          <w:rPr>
            <w:sz w:val="20"/>
            <w:szCs w:val="20"/>
          </w:rPr>
          <w:fldChar w:fldCharType="separate"/>
        </w:r>
        <w:r w:rsidRPr="003E2722">
          <w:rPr>
            <w:noProof/>
            <w:sz w:val="20"/>
            <w:szCs w:val="20"/>
          </w:rPr>
          <w:t>2</w:t>
        </w:r>
        <w:r w:rsidRPr="003E2722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2642C" w14:textId="77777777" w:rsidR="009137CC" w:rsidRDefault="009137CC" w:rsidP="00EE2D3F">
      <w:pPr>
        <w:spacing w:after="0" w:line="240" w:lineRule="auto"/>
      </w:pPr>
      <w:r>
        <w:separator/>
      </w:r>
    </w:p>
  </w:footnote>
  <w:footnote w:type="continuationSeparator" w:id="0">
    <w:p w14:paraId="17717780" w14:textId="77777777" w:rsidR="009137CC" w:rsidRDefault="009137CC" w:rsidP="00EE2D3F">
      <w:pPr>
        <w:spacing w:after="0" w:line="240" w:lineRule="auto"/>
      </w:pPr>
      <w:r>
        <w:continuationSeparator/>
      </w:r>
    </w:p>
  </w:footnote>
  <w:footnote w:type="continuationNotice" w:id="1">
    <w:p w14:paraId="261BC022" w14:textId="77777777" w:rsidR="009137CC" w:rsidRDefault="009137CC" w:rsidP="00EE2D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0E430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900966"/>
    <w:multiLevelType w:val="hybridMultilevel"/>
    <w:tmpl w:val="4E6A990E"/>
    <w:lvl w:ilvl="0" w:tplc="FFFFFFFF">
      <w:start w:val="1"/>
      <w:numFmt w:val="lowerRoman"/>
      <w:lvlText w:val="%1."/>
      <w:lvlJc w:val="right"/>
      <w:pPr>
        <w:ind w:left="210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81821"/>
    <w:multiLevelType w:val="multilevel"/>
    <w:tmpl w:val="DD628CD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3" w15:restartNumberingAfterBreak="0">
    <w:nsid w:val="0A85534E"/>
    <w:multiLevelType w:val="multilevel"/>
    <w:tmpl w:val="57ACF7D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100D4"/>
    <w:multiLevelType w:val="hybridMultilevel"/>
    <w:tmpl w:val="08F87CF8"/>
    <w:lvl w:ilvl="0" w:tplc="CE5E8E00">
      <w:start w:val="1"/>
      <w:numFmt w:val="decimal"/>
      <w:lvlText w:val="%1."/>
      <w:lvlJc w:val="left"/>
      <w:pPr>
        <w:ind w:left="477" w:hanging="360"/>
      </w:pPr>
      <w:rPr>
        <w:rFonts w:ascii="Cambria" w:hAnsi="Cambria" w:hint="default"/>
        <w:sz w:val="20"/>
        <w:szCs w:val="20"/>
      </w:rPr>
    </w:lvl>
    <w:lvl w:ilvl="1" w:tplc="2E96943C">
      <w:start w:val="1"/>
      <w:numFmt w:val="lowerLetter"/>
      <w:lvlText w:val="%2)"/>
      <w:lvlJc w:val="left"/>
      <w:pPr>
        <w:ind w:left="1198" w:hanging="360"/>
      </w:pPr>
      <w:rPr>
        <w:sz w:val="20"/>
        <w:szCs w:val="20"/>
      </w:rPr>
    </w:lvl>
    <w:lvl w:ilvl="2" w:tplc="FFFFFFFF">
      <w:start w:val="1"/>
      <w:numFmt w:val="lowerRoman"/>
      <w:lvlText w:val="%3."/>
      <w:lvlJc w:val="right"/>
      <w:pPr>
        <w:ind w:left="2100" w:hanging="360"/>
      </w:pPr>
      <w:rPr>
        <w:sz w:val="20"/>
        <w:szCs w:val="20"/>
      </w:rPr>
    </w:lvl>
    <w:lvl w:ilvl="3" w:tplc="D4FA22AE">
      <w:start w:val="1"/>
      <w:numFmt w:val="bullet"/>
      <w:lvlText w:val="•"/>
      <w:lvlJc w:val="left"/>
      <w:pPr>
        <w:ind w:left="3001" w:hanging="360"/>
      </w:pPr>
    </w:lvl>
    <w:lvl w:ilvl="4" w:tplc="F0F691F8">
      <w:start w:val="1"/>
      <w:numFmt w:val="bullet"/>
      <w:lvlText w:val="•"/>
      <w:lvlJc w:val="left"/>
      <w:pPr>
        <w:ind w:left="3902" w:hanging="360"/>
      </w:pPr>
    </w:lvl>
    <w:lvl w:ilvl="5" w:tplc="41525792">
      <w:start w:val="1"/>
      <w:numFmt w:val="bullet"/>
      <w:lvlText w:val="•"/>
      <w:lvlJc w:val="left"/>
      <w:pPr>
        <w:ind w:left="4802" w:hanging="360"/>
      </w:pPr>
    </w:lvl>
    <w:lvl w:ilvl="6" w:tplc="D4D0D944">
      <w:start w:val="1"/>
      <w:numFmt w:val="bullet"/>
      <w:lvlText w:val="•"/>
      <w:lvlJc w:val="left"/>
      <w:pPr>
        <w:ind w:left="5703" w:hanging="360"/>
      </w:pPr>
    </w:lvl>
    <w:lvl w:ilvl="7" w:tplc="C582A8EC">
      <w:start w:val="1"/>
      <w:numFmt w:val="bullet"/>
      <w:lvlText w:val="•"/>
      <w:lvlJc w:val="left"/>
      <w:pPr>
        <w:ind w:left="6604" w:hanging="360"/>
      </w:pPr>
    </w:lvl>
    <w:lvl w:ilvl="8" w:tplc="0824A252">
      <w:start w:val="1"/>
      <w:numFmt w:val="bullet"/>
      <w:lvlText w:val="•"/>
      <w:lvlJc w:val="left"/>
      <w:pPr>
        <w:ind w:left="7504" w:hanging="360"/>
      </w:pPr>
    </w:lvl>
  </w:abstractNum>
  <w:abstractNum w:abstractNumId="5" w15:restartNumberingAfterBreak="0">
    <w:nsid w:val="140715E8"/>
    <w:multiLevelType w:val="hybridMultilevel"/>
    <w:tmpl w:val="5E626234"/>
    <w:lvl w:ilvl="0" w:tplc="FFFFFFFF">
      <w:start w:val="1"/>
      <w:numFmt w:val="upperLetter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5625D6"/>
    <w:multiLevelType w:val="hybridMultilevel"/>
    <w:tmpl w:val="72689620"/>
    <w:lvl w:ilvl="0" w:tplc="B2422A1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3A33A7"/>
    <w:multiLevelType w:val="hybridMultilevel"/>
    <w:tmpl w:val="91D2AB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D44"/>
    <w:multiLevelType w:val="hybridMultilevel"/>
    <w:tmpl w:val="131C61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F7526C"/>
    <w:multiLevelType w:val="multilevel"/>
    <w:tmpl w:val="A394D1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10" w15:restartNumberingAfterBreak="0">
    <w:nsid w:val="3A5C0E3E"/>
    <w:multiLevelType w:val="multilevel"/>
    <w:tmpl w:val="DD628CD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1" w15:restartNumberingAfterBreak="0">
    <w:nsid w:val="45051403"/>
    <w:multiLevelType w:val="multilevel"/>
    <w:tmpl w:val="DD628CD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2" w15:restartNumberingAfterBreak="0">
    <w:nsid w:val="49690936"/>
    <w:multiLevelType w:val="hybridMultilevel"/>
    <w:tmpl w:val="AEC4FFD0"/>
    <w:lvl w:ilvl="0" w:tplc="C2E67F5E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C35F4"/>
    <w:multiLevelType w:val="hybridMultilevel"/>
    <w:tmpl w:val="5ADAF19A"/>
    <w:lvl w:ilvl="0" w:tplc="A0F43DC6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BAB2C6C"/>
    <w:multiLevelType w:val="hybridMultilevel"/>
    <w:tmpl w:val="13A85AC2"/>
    <w:lvl w:ilvl="0" w:tplc="5D6202D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64DD7"/>
    <w:multiLevelType w:val="hybridMultilevel"/>
    <w:tmpl w:val="E4DC55A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2A24B3A"/>
    <w:multiLevelType w:val="hybridMultilevel"/>
    <w:tmpl w:val="7F14B682"/>
    <w:lvl w:ilvl="0" w:tplc="04090015">
      <w:start w:val="1"/>
      <w:numFmt w:val="upperLetter"/>
      <w:lvlText w:val="%1."/>
      <w:lvlJc w:val="left"/>
      <w:pPr>
        <w:ind w:left="100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77022D4"/>
    <w:multiLevelType w:val="hybridMultilevel"/>
    <w:tmpl w:val="D33652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2F469A"/>
    <w:multiLevelType w:val="hybridMultilevel"/>
    <w:tmpl w:val="35B6E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02727E"/>
    <w:multiLevelType w:val="hybridMultilevel"/>
    <w:tmpl w:val="367C82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D50B3"/>
    <w:multiLevelType w:val="hybridMultilevel"/>
    <w:tmpl w:val="4E6A990E"/>
    <w:lvl w:ilvl="0" w:tplc="FFFFFFFF">
      <w:start w:val="1"/>
      <w:numFmt w:val="lowerRoman"/>
      <w:lvlText w:val="%1."/>
      <w:lvlJc w:val="right"/>
      <w:pPr>
        <w:ind w:left="2100" w:hanging="360"/>
      </w:pPr>
      <w:rPr>
        <w:sz w:val="20"/>
        <w:szCs w:val="2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62926">
    <w:abstractNumId w:val="3"/>
  </w:num>
  <w:num w:numId="2" w16cid:durableId="1169371038">
    <w:abstractNumId w:val="4"/>
  </w:num>
  <w:num w:numId="3" w16cid:durableId="1668096732">
    <w:abstractNumId w:val="20"/>
  </w:num>
  <w:num w:numId="4" w16cid:durableId="603270116">
    <w:abstractNumId w:val="1"/>
  </w:num>
  <w:num w:numId="5" w16cid:durableId="473257921">
    <w:abstractNumId w:val="13"/>
  </w:num>
  <w:num w:numId="6" w16cid:durableId="1362441769">
    <w:abstractNumId w:val="5"/>
  </w:num>
  <w:num w:numId="7" w16cid:durableId="502627793">
    <w:abstractNumId w:val="6"/>
  </w:num>
  <w:num w:numId="8" w16cid:durableId="1483230797">
    <w:abstractNumId w:val="2"/>
  </w:num>
  <w:num w:numId="9" w16cid:durableId="785924386">
    <w:abstractNumId w:val="11"/>
  </w:num>
  <w:num w:numId="10" w16cid:durableId="836380197">
    <w:abstractNumId w:val="10"/>
  </w:num>
  <w:num w:numId="11" w16cid:durableId="1761828839">
    <w:abstractNumId w:val="9"/>
  </w:num>
  <w:num w:numId="12" w16cid:durableId="1919555723">
    <w:abstractNumId w:val="0"/>
  </w:num>
  <w:num w:numId="13" w16cid:durableId="1485850733">
    <w:abstractNumId w:val="8"/>
  </w:num>
  <w:num w:numId="14" w16cid:durableId="614024690">
    <w:abstractNumId w:val="18"/>
  </w:num>
  <w:num w:numId="15" w16cid:durableId="1517575744">
    <w:abstractNumId w:val="15"/>
  </w:num>
  <w:num w:numId="16" w16cid:durableId="1028599851">
    <w:abstractNumId w:val="17"/>
  </w:num>
  <w:num w:numId="17" w16cid:durableId="1191064915">
    <w:abstractNumId w:val="7"/>
  </w:num>
  <w:num w:numId="18" w16cid:durableId="109053932">
    <w:abstractNumId w:val="12"/>
  </w:num>
  <w:num w:numId="19" w16cid:durableId="1968388050">
    <w:abstractNumId w:val="16"/>
  </w:num>
  <w:num w:numId="20" w16cid:durableId="659117511">
    <w:abstractNumId w:val="19"/>
  </w:num>
  <w:num w:numId="21" w16cid:durableId="2132050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IE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CB2B19"/>
    <w:rsid w:val="000008C8"/>
    <w:rsid w:val="000024D3"/>
    <w:rsid w:val="000040E9"/>
    <w:rsid w:val="00006BF4"/>
    <w:rsid w:val="00007FD4"/>
    <w:rsid w:val="00013EFC"/>
    <w:rsid w:val="0001743A"/>
    <w:rsid w:val="000304AC"/>
    <w:rsid w:val="00035B62"/>
    <w:rsid w:val="00041912"/>
    <w:rsid w:val="00042487"/>
    <w:rsid w:val="00042DD3"/>
    <w:rsid w:val="00050BC6"/>
    <w:rsid w:val="000546A8"/>
    <w:rsid w:val="000566B2"/>
    <w:rsid w:val="00060923"/>
    <w:rsid w:val="00061448"/>
    <w:rsid w:val="00071B58"/>
    <w:rsid w:val="00076FAA"/>
    <w:rsid w:val="000770B7"/>
    <w:rsid w:val="0008047F"/>
    <w:rsid w:val="00084FAA"/>
    <w:rsid w:val="00097214"/>
    <w:rsid w:val="000A0573"/>
    <w:rsid w:val="000A0FAD"/>
    <w:rsid w:val="000A4D37"/>
    <w:rsid w:val="000A52A6"/>
    <w:rsid w:val="000A5300"/>
    <w:rsid w:val="000A63ED"/>
    <w:rsid w:val="000B022A"/>
    <w:rsid w:val="000B0680"/>
    <w:rsid w:val="000B76CF"/>
    <w:rsid w:val="000C1F4D"/>
    <w:rsid w:val="000C39FA"/>
    <w:rsid w:val="000D01D4"/>
    <w:rsid w:val="000D21A0"/>
    <w:rsid w:val="000D6257"/>
    <w:rsid w:val="000E40D5"/>
    <w:rsid w:val="000E4808"/>
    <w:rsid w:val="000F1E20"/>
    <w:rsid w:val="000F5D39"/>
    <w:rsid w:val="00101746"/>
    <w:rsid w:val="00113ACD"/>
    <w:rsid w:val="00120D05"/>
    <w:rsid w:val="0012699E"/>
    <w:rsid w:val="0013508F"/>
    <w:rsid w:val="00143BDC"/>
    <w:rsid w:val="001440A5"/>
    <w:rsid w:val="00144D77"/>
    <w:rsid w:val="00151DE8"/>
    <w:rsid w:val="00157E24"/>
    <w:rsid w:val="001622B5"/>
    <w:rsid w:val="00165D60"/>
    <w:rsid w:val="001668FE"/>
    <w:rsid w:val="001669CA"/>
    <w:rsid w:val="00170584"/>
    <w:rsid w:val="001708CB"/>
    <w:rsid w:val="0017335E"/>
    <w:rsid w:val="0017508E"/>
    <w:rsid w:val="00182F37"/>
    <w:rsid w:val="00186778"/>
    <w:rsid w:val="00187124"/>
    <w:rsid w:val="00187BCC"/>
    <w:rsid w:val="00190F75"/>
    <w:rsid w:val="001914E2"/>
    <w:rsid w:val="001A11C6"/>
    <w:rsid w:val="001A46C2"/>
    <w:rsid w:val="001A6EEF"/>
    <w:rsid w:val="001B592F"/>
    <w:rsid w:val="001B7F82"/>
    <w:rsid w:val="001C276E"/>
    <w:rsid w:val="001C57A7"/>
    <w:rsid w:val="001C668D"/>
    <w:rsid w:val="001D5AB7"/>
    <w:rsid w:val="001D7773"/>
    <w:rsid w:val="001E600A"/>
    <w:rsid w:val="001F1D0E"/>
    <w:rsid w:val="002006DB"/>
    <w:rsid w:val="00211F36"/>
    <w:rsid w:val="002142B0"/>
    <w:rsid w:val="002144A0"/>
    <w:rsid w:val="0021746B"/>
    <w:rsid w:val="00224040"/>
    <w:rsid w:val="00224DF9"/>
    <w:rsid w:val="00226103"/>
    <w:rsid w:val="00226382"/>
    <w:rsid w:val="00230386"/>
    <w:rsid w:val="00235B49"/>
    <w:rsid w:val="0023608C"/>
    <w:rsid w:val="00265FD8"/>
    <w:rsid w:val="00287102"/>
    <w:rsid w:val="0029500B"/>
    <w:rsid w:val="0029558E"/>
    <w:rsid w:val="00295D42"/>
    <w:rsid w:val="002A3DEA"/>
    <w:rsid w:val="002C101D"/>
    <w:rsid w:val="002C7F26"/>
    <w:rsid w:val="002D36FB"/>
    <w:rsid w:val="002D4758"/>
    <w:rsid w:val="002D5D55"/>
    <w:rsid w:val="002D6884"/>
    <w:rsid w:val="002D787D"/>
    <w:rsid w:val="002E13CE"/>
    <w:rsid w:val="002E6A7C"/>
    <w:rsid w:val="002F7766"/>
    <w:rsid w:val="00304FF7"/>
    <w:rsid w:val="00314279"/>
    <w:rsid w:val="00321F24"/>
    <w:rsid w:val="00323C2E"/>
    <w:rsid w:val="00326924"/>
    <w:rsid w:val="003276F9"/>
    <w:rsid w:val="003301CF"/>
    <w:rsid w:val="00333E7D"/>
    <w:rsid w:val="00341069"/>
    <w:rsid w:val="003533C6"/>
    <w:rsid w:val="00363263"/>
    <w:rsid w:val="00364E47"/>
    <w:rsid w:val="00367BC1"/>
    <w:rsid w:val="00370D0E"/>
    <w:rsid w:val="003718D9"/>
    <w:rsid w:val="00376FFD"/>
    <w:rsid w:val="003818A2"/>
    <w:rsid w:val="00396E2F"/>
    <w:rsid w:val="003A0016"/>
    <w:rsid w:val="003A010D"/>
    <w:rsid w:val="003A2735"/>
    <w:rsid w:val="003A30DE"/>
    <w:rsid w:val="003B1C21"/>
    <w:rsid w:val="003B22F0"/>
    <w:rsid w:val="003B254B"/>
    <w:rsid w:val="003D0010"/>
    <w:rsid w:val="003D01CA"/>
    <w:rsid w:val="003D03BB"/>
    <w:rsid w:val="003D26EE"/>
    <w:rsid w:val="003D4EB5"/>
    <w:rsid w:val="003D6248"/>
    <w:rsid w:val="003E2722"/>
    <w:rsid w:val="003E69E4"/>
    <w:rsid w:val="003E6CE1"/>
    <w:rsid w:val="003F555A"/>
    <w:rsid w:val="00401B71"/>
    <w:rsid w:val="004074BA"/>
    <w:rsid w:val="0041029B"/>
    <w:rsid w:val="00421AF2"/>
    <w:rsid w:val="00434259"/>
    <w:rsid w:val="004421B1"/>
    <w:rsid w:val="00473365"/>
    <w:rsid w:val="004756AF"/>
    <w:rsid w:val="004867A3"/>
    <w:rsid w:val="00487AF5"/>
    <w:rsid w:val="00495AFE"/>
    <w:rsid w:val="004A1530"/>
    <w:rsid w:val="004A5457"/>
    <w:rsid w:val="004B19B7"/>
    <w:rsid w:val="004B31D1"/>
    <w:rsid w:val="004B3D03"/>
    <w:rsid w:val="004C0D76"/>
    <w:rsid w:val="004C7AD6"/>
    <w:rsid w:val="004C7F05"/>
    <w:rsid w:val="004D04CA"/>
    <w:rsid w:val="004D077D"/>
    <w:rsid w:val="004D2876"/>
    <w:rsid w:val="004D2948"/>
    <w:rsid w:val="004D4828"/>
    <w:rsid w:val="004D4EEE"/>
    <w:rsid w:val="004D7378"/>
    <w:rsid w:val="004E55FC"/>
    <w:rsid w:val="004E5745"/>
    <w:rsid w:val="004E64C8"/>
    <w:rsid w:val="00505FCB"/>
    <w:rsid w:val="00507E74"/>
    <w:rsid w:val="00514700"/>
    <w:rsid w:val="00516E48"/>
    <w:rsid w:val="00522794"/>
    <w:rsid w:val="00524E30"/>
    <w:rsid w:val="00532E5F"/>
    <w:rsid w:val="00537F0A"/>
    <w:rsid w:val="00556D75"/>
    <w:rsid w:val="005704D9"/>
    <w:rsid w:val="00571995"/>
    <w:rsid w:val="00572FB6"/>
    <w:rsid w:val="0058455B"/>
    <w:rsid w:val="005850A6"/>
    <w:rsid w:val="005876E8"/>
    <w:rsid w:val="00593E19"/>
    <w:rsid w:val="005941BE"/>
    <w:rsid w:val="005A0C8A"/>
    <w:rsid w:val="005A14D2"/>
    <w:rsid w:val="005A5059"/>
    <w:rsid w:val="005B1975"/>
    <w:rsid w:val="005B1E31"/>
    <w:rsid w:val="005B46B8"/>
    <w:rsid w:val="005C676F"/>
    <w:rsid w:val="005C7412"/>
    <w:rsid w:val="005D2B0F"/>
    <w:rsid w:val="005E2985"/>
    <w:rsid w:val="005E5292"/>
    <w:rsid w:val="005F6779"/>
    <w:rsid w:val="00600C13"/>
    <w:rsid w:val="00601927"/>
    <w:rsid w:val="006036BC"/>
    <w:rsid w:val="00604777"/>
    <w:rsid w:val="00604834"/>
    <w:rsid w:val="0061159F"/>
    <w:rsid w:val="00612FEB"/>
    <w:rsid w:val="006138D3"/>
    <w:rsid w:val="0061422E"/>
    <w:rsid w:val="00614A2C"/>
    <w:rsid w:val="006168BA"/>
    <w:rsid w:val="006173E2"/>
    <w:rsid w:val="00623FE9"/>
    <w:rsid w:val="006261DF"/>
    <w:rsid w:val="00633183"/>
    <w:rsid w:val="00634B24"/>
    <w:rsid w:val="00636189"/>
    <w:rsid w:val="00642A55"/>
    <w:rsid w:val="00652772"/>
    <w:rsid w:val="00655AFE"/>
    <w:rsid w:val="00657151"/>
    <w:rsid w:val="0066598C"/>
    <w:rsid w:val="00666EDA"/>
    <w:rsid w:val="006718BA"/>
    <w:rsid w:val="00672A49"/>
    <w:rsid w:val="0068313E"/>
    <w:rsid w:val="006B409E"/>
    <w:rsid w:val="006B5542"/>
    <w:rsid w:val="006B7149"/>
    <w:rsid w:val="006C0EDB"/>
    <w:rsid w:val="006C1862"/>
    <w:rsid w:val="006C48D2"/>
    <w:rsid w:val="006C5FF4"/>
    <w:rsid w:val="006D4658"/>
    <w:rsid w:val="006D5684"/>
    <w:rsid w:val="006D5B4E"/>
    <w:rsid w:val="006D6A1B"/>
    <w:rsid w:val="006E060D"/>
    <w:rsid w:val="006E12E5"/>
    <w:rsid w:val="006F07DF"/>
    <w:rsid w:val="006F3EF5"/>
    <w:rsid w:val="0070379F"/>
    <w:rsid w:val="0070431E"/>
    <w:rsid w:val="007116CA"/>
    <w:rsid w:val="00716949"/>
    <w:rsid w:val="00717CD0"/>
    <w:rsid w:val="00720661"/>
    <w:rsid w:val="00721535"/>
    <w:rsid w:val="00732324"/>
    <w:rsid w:val="0073330B"/>
    <w:rsid w:val="00733E23"/>
    <w:rsid w:val="00735003"/>
    <w:rsid w:val="00744EBC"/>
    <w:rsid w:val="00751ED3"/>
    <w:rsid w:val="00753B2F"/>
    <w:rsid w:val="00753B36"/>
    <w:rsid w:val="007622A4"/>
    <w:rsid w:val="00766176"/>
    <w:rsid w:val="00771537"/>
    <w:rsid w:val="00775D74"/>
    <w:rsid w:val="00787AD2"/>
    <w:rsid w:val="00787D27"/>
    <w:rsid w:val="00790EBE"/>
    <w:rsid w:val="007935C1"/>
    <w:rsid w:val="007A23BD"/>
    <w:rsid w:val="007A377C"/>
    <w:rsid w:val="007A3D60"/>
    <w:rsid w:val="007A494E"/>
    <w:rsid w:val="007A4B48"/>
    <w:rsid w:val="007B0D60"/>
    <w:rsid w:val="007C474A"/>
    <w:rsid w:val="007D2E00"/>
    <w:rsid w:val="007D734F"/>
    <w:rsid w:val="007E33A1"/>
    <w:rsid w:val="007E640B"/>
    <w:rsid w:val="007F4A5B"/>
    <w:rsid w:val="007F7C26"/>
    <w:rsid w:val="00805B52"/>
    <w:rsid w:val="00806938"/>
    <w:rsid w:val="008136AB"/>
    <w:rsid w:val="00816B0D"/>
    <w:rsid w:val="00817F85"/>
    <w:rsid w:val="00821A9F"/>
    <w:rsid w:val="00822815"/>
    <w:rsid w:val="00833CCE"/>
    <w:rsid w:val="008373BB"/>
    <w:rsid w:val="00840AB6"/>
    <w:rsid w:val="00841623"/>
    <w:rsid w:val="00841E5F"/>
    <w:rsid w:val="008433F3"/>
    <w:rsid w:val="00853AB2"/>
    <w:rsid w:val="008610C6"/>
    <w:rsid w:val="00862397"/>
    <w:rsid w:val="00862ED9"/>
    <w:rsid w:val="008644E3"/>
    <w:rsid w:val="00866B8C"/>
    <w:rsid w:val="008672E5"/>
    <w:rsid w:val="00870D11"/>
    <w:rsid w:val="00871B9E"/>
    <w:rsid w:val="0087361E"/>
    <w:rsid w:val="00875E40"/>
    <w:rsid w:val="00876CB9"/>
    <w:rsid w:val="00880519"/>
    <w:rsid w:val="008805E2"/>
    <w:rsid w:val="00881A51"/>
    <w:rsid w:val="00892EAB"/>
    <w:rsid w:val="008958B5"/>
    <w:rsid w:val="008A0DC7"/>
    <w:rsid w:val="008A764C"/>
    <w:rsid w:val="008C7AF6"/>
    <w:rsid w:val="008E06A4"/>
    <w:rsid w:val="008E2D36"/>
    <w:rsid w:val="008F0A03"/>
    <w:rsid w:val="008F22B7"/>
    <w:rsid w:val="008F273F"/>
    <w:rsid w:val="008F4711"/>
    <w:rsid w:val="00904176"/>
    <w:rsid w:val="00910B58"/>
    <w:rsid w:val="009137CC"/>
    <w:rsid w:val="0091389D"/>
    <w:rsid w:val="0093615D"/>
    <w:rsid w:val="0094442C"/>
    <w:rsid w:val="0094510E"/>
    <w:rsid w:val="00946706"/>
    <w:rsid w:val="009468A2"/>
    <w:rsid w:val="0095091F"/>
    <w:rsid w:val="00951024"/>
    <w:rsid w:val="009510BA"/>
    <w:rsid w:val="00952569"/>
    <w:rsid w:val="00952DDF"/>
    <w:rsid w:val="00957B4C"/>
    <w:rsid w:val="009618E7"/>
    <w:rsid w:val="009627B0"/>
    <w:rsid w:val="00970DAE"/>
    <w:rsid w:val="009724FD"/>
    <w:rsid w:val="00982836"/>
    <w:rsid w:val="009905AB"/>
    <w:rsid w:val="009914DB"/>
    <w:rsid w:val="009956A8"/>
    <w:rsid w:val="009A0422"/>
    <w:rsid w:val="009B3275"/>
    <w:rsid w:val="009B6EA0"/>
    <w:rsid w:val="009B79A8"/>
    <w:rsid w:val="009C5BA9"/>
    <w:rsid w:val="009D0CC7"/>
    <w:rsid w:val="009D7054"/>
    <w:rsid w:val="009E0894"/>
    <w:rsid w:val="009E43F6"/>
    <w:rsid w:val="009E7AA0"/>
    <w:rsid w:val="009F64EA"/>
    <w:rsid w:val="009F790F"/>
    <w:rsid w:val="00A110B9"/>
    <w:rsid w:val="00A14300"/>
    <w:rsid w:val="00A22FF4"/>
    <w:rsid w:val="00A24662"/>
    <w:rsid w:val="00A27264"/>
    <w:rsid w:val="00A31F06"/>
    <w:rsid w:val="00A336E1"/>
    <w:rsid w:val="00A42784"/>
    <w:rsid w:val="00A47190"/>
    <w:rsid w:val="00A522ED"/>
    <w:rsid w:val="00A630D8"/>
    <w:rsid w:val="00A70714"/>
    <w:rsid w:val="00A70E6C"/>
    <w:rsid w:val="00A71AA0"/>
    <w:rsid w:val="00A73C36"/>
    <w:rsid w:val="00A76FDB"/>
    <w:rsid w:val="00A81CD5"/>
    <w:rsid w:val="00A8625E"/>
    <w:rsid w:val="00A8711F"/>
    <w:rsid w:val="00A959C3"/>
    <w:rsid w:val="00AA3B7C"/>
    <w:rsid w:val="00AB2BAD"/>
    <w:rsid w:val="00AB7848"/>
    <w:rsid w:val="00AC54E2"/>
    <w:rsid w:val="00AE6E13"/>
    <w:rsid w:val="00B01179"/>
    <w:rsid w:val="00B014AF"/>
    <w:rsid w:val="00B018B2"/>
    <w:rsid w:val="00B1033B"/>
    <w:rsid w:val="00B12F60"/>
    <w:rsid w:val="00B14C0C"/>
    <w:rsid w:val="00B14D94"/>
    <w:rsid w:val="00B24DE4"/>
    <w:rsid w:val="00B320A8"/>
    <w:rsid w:val="00B33083"/>
    <w:rsid w:val="00B352DE"/>
    <w:rsid w:val="00B5485E"/>
    <w:rsid w:val="00B54979"/>
    <w:rsid w:val="00B61F4C"/>
    <w:rsid w:val="00B62FD7"/>
    <w:rsid w:val="00B649D8"/>
    <w:rsid w:val="00B67769"/>
    <w:rsid w:val="00B76106"/>
    <w:rsid w:val="00B800DB"/>
    <w:rsid w:val="00B81867"/>
    <w:rsid w:val="00B832EB"/>
    <w:rsid w:val="00B84831"/>
    <w:rsid w:val="00B84E33"/>
    <w:rsid w:val="00B9091E"/>
    <w:rsid w:val="00B94EA7"/>
    <w:rsid w:val="00B958D1"/>
    <w:rsid w:val="00B96A21"/>
    <w:rsid w:val="00BA448A"/>
    <w:rsid w:val="00BA5F00"/>
    <w:rsid w:val="00BB0285"/>
    <w:rsid w:val="00BB0BF1"/>
    <w:rsid w:val="00BB2A79"/>
    <w:rsid w:val="00BC1B6D"/>
    <w:rsid w:val="00BC772D"/>
    <w:rsid w:val="00BD10D2"/>
    <w:rsid w:val="00BD153C"/>
    <w:rsid w:val="00BD5756"/>
    <w:rsid w:val="00BD7264"/>
    <w:rsid w:val="00BE112D"/>
    <w:rsid w:val="00BF1AFD"/>
    <w:rsid w:val="00BF4DA5"/>
    <w:rsid w:val="00BF5C49"/>
    <w:rsid w:val="00BF637B"/>
    <w:rsid w:val="00BF7ECF"/>
    <w:rsid w:val="00C02390"/>
    <w:rsid w:val="00C02BB0"/>
    <w:rsid w:val="00C0667D"/>
    <w:rsid w:val="00C13EF3"/>
    <w:rsid w:val="00C21E85"/>
    <w:rsid w:val="00C24BC1"/>
    <w:rsid w:val="00C32E72"/>
    <w:rsid w:val="00C46447"/>
    <w:rsid w:val="00C528D6"/>
    <w:rsid w:val="00C64498"/>
    <w:rsid w:val="00C64ED5"/>
    <w:rsid w:val="00C65DBC"/>
    <w:rsid w:val="00C72E9E"/>
    <w:rsid w:val="00C740D7"/>
    <w:rsid w:val="00C74F4D"/>
    <w:rsid w:val="00C76D30"/>
    <w:rsid w:val="00C82601"/>
    <w:rsid w:val="00C84226"/>
    <w:rsid w:val="00C91273"/>
    <w:rsid w:val="00C93DBA"/>
    <w:rsid w:val="00C943B3"/>
    <w:rsid w:val="00C96ABD"/>
    <w:rsid w:val="00C977CD"/>
    <w:rsid w:val="00CB0816"/>
    <w:rsid w:val="00CB2B19"/>
    <w:rsid w:val="00CC2A08"/>
    <w:rsid w:val="00CC627E"/>
    <w:rsid w:val="00CD4C2A"/>
    <w:rsid w:val="00CE0664"/>
    <w:rsid w:val="00CE1621"/>
    <w:rsid w:val="00CE4924"/>
    <w:rsid w:val="00CE789B"/>
    <w:rsid w:val="00D118AE"/>
    <w:rsid w:val="00D11CF5"/>
    <w:rsid w:val="00D14BB6"/>
    <w:rsid w:val="00D16539"/>
    <w:rsid w:val="00D16A93"/>
    <w:rsid w:val="00D172AA"/>
    <w:rsid w:val="00D22CEC"/>
    <w:rsid w:val="00D23805"/>
    <w:rsid w:val="00D25DDF"/>
    <w:rsid w:val="00D27ABD"/>
    <w:rsid w:val="00D340B3"/>
    <w:rsid w:val="00D43BD7"/>
    <w:rsid w:val="00D5088B"/>
    <w:rsid w:val="00D56859"/>
    <w:rsid w:val="00D60AE7"/>
    <w:rsid w:val="00D660B9"/>
    <w:rsid w:val="00D75A34"/>
    <w:rsid w:val="00D8227F"/>
    <w:rsid w:val="00D87D58"/>
    <w:rsid w:val="00D97E65"/>
    <w:rsid w:val="00DA1285"/>
    <w:rsid w:val="00DA78BF"/>
    <w:rsid w:val="00DB0C28"/>
    <w:rsid w:val="00DB49C1"/>
    <w:rsid w:val="00DB4AC0"/>
    <w:rsid w:val="00DC02AC"/>
    <w:rsid w:val="00DC169C"/>
    <w:rsid w:val="00DC276D"/>
    <w:rsid w:val="00DC5F9F"/>
    <w:rsid w:val="00DD77D4"/>
    <w:rsid w:val="00DE43ED"/>
    <w:rsid w:val="00DF10B9"/>
    <w:rsid w:val="00DF1AF0"/>
    <w:rsid w:val="00DF1FD2"/>
    <w:rsid w:val="00DF413B"/>
    <w:rsid w:val="00DF5A7A"/>
    <w:rsid w:val="00DF75DF"/>
    <w:rsid w:val="00E03F88"/>
    <w:rsid w:val="00E04321"/>
    <w:rsid w:val="00E04E45"/>
    <w:rsid w:val="00E059C3"/>
    <w:rsid w:val="00E10A03"/>
    <w:rsid w:val="00E11B28"/>
    <w:rsid w:val="00E153C3"/>
    <w:rsid w:val="00E23965"/>
    <w:rsid w:val="00E2692A"/>
    <w:rsid w:val="00E2778F"/>
    <w:rsid w:val="00E40B9A"/>
    <w:rsid w:val="00E43E03"/>
    <w:rsid w:val="00E5183B"/>
    <w:rsid w:val="00E523FA"/>
    <w:rsid w:val="00E542FA"/>
    <w:rsid w:val="00E63F6D"/>
    <w:rsid w:val="00E668AF"/>
    <w:rsid w:val="00E72349"/>
    <w:rsid w:val="00E76EC2"/>
    <w:rsid w:val="00E853E6"/>
    <w:rsid w:val="00E97A83"/>
    <w:rsid w:val="00EA3336"/>
    <w:rsid w:val="00EA5D2E"/>
    <w:rsid w:val="00EA7096"/>
    <w:rsid w:val="00EB007F"/>
    <w:rsid w:val="00EB0EB9"/>
    <w:rsid w:val="00EB45CD"/>
    <w:rsid w:val="00EB5B8F"/>
    <w:rsid w:val="00EC132E"/>
    <w:rsid w:val="00EC5DD8"/>
    <w:rsid w:val="00ED30D7"/>
    <w:rsid w:val="00ED518C"/>
    <w:rsid w:val="00ED5499"/>
    <w:rsid w:val="00EE1F84"/>
    <w:rsid w:val="00EE2798"/>
    <w:rsid w:val="00EE2D3F"/>
    <w:rsid w:val="00EF79D5"/>
    <w:rsid w:val="00F038E8"/>
    <w:rsid w:val="00F103E0"/>
    <w:rsid w:val="00F176C0"/>
    <w:rsid w:val="00F245CC"/>
    <w:rsid w:val="00F30BD1"/>
    <w:rsid w:val="00F33AE4"/>
    <w:rsid w:val="00F37486"/>
    <w:rsid w:val="00F40B6E"/>
    <w:rsid w:val="00F41D36"/>
    <w:rsid w:val="00F4521B"/>
    <w:rsid w:val="00F47BD3"/>
    <w:rsid w:val="00F47BFE"/>
    <w:rsid w:val="00F5353E"/>
    <w:rsid w:val="00F540C1"/>
    <w:rsid w:val="00F5534E"/>
    <w:rsid w:val="00F56C8C"/>
    <w:rsid w:val="00F600A4"/>
    <w:rsid w:val="00F65700"/>
    <w:rsid w:val="00F750B8"/>
    <w:rsid w:val="00F75BF0"/>
    <w:rsid w:val="00F779D1"/>
    <w:rsid w:val="00F82D6D"/>
    <w:rsid w:val="00F85B4E"/>
    <w:rsid w:val="00F922CE"/>
    <w:rsid w:val="00F94CB8"/>
    <w:rsid w:val="00FA5D4A"/>
    <w:rsid w:val="00FA6D2A"/>
    <w:rsid w:val="00FB6EEF"/>
    <w:rsid w:val="00FC4207"/>
    <w:rsid w:val="00FC7705"/>
    <w:rsid w:val="00FD089A"/>
    <w:rsid w:val="00FD67EA"/>
    <w:rsid w:val="00FE404B"/>
    <w:rsid w:val="00FE42CF"/>
    <w:rsid w:val="0101795A"/>
    <w:rsid w:val="01163301"/>
    <w:rsid w:val="01B90F9E"/>
    <w:rsid w:val="01D7A41A"/>
    <w:rsid w:val="01E2F1BE"/>
    <w:rsid w:val="024716A4"/>
    <w:rsid w:val="030F4EE3"/>
    <w:rsid w:val="037E5631"/>
    <w:rsid w:val="03B7AEF7"/>
    <w:rsid w:val="03C4773E"/>
    <w:rsid w:val="03C79710"/>
    <w:rsid w:val="03F4B5EC"/>
    <w:rsid w:val="03F9941C"/>
    <w:rsid w:val="04265ECD"/>
    <w:rsid w:val="052FF5C2"/>
    <w:rsid w:val="0532E4A7"/>
    <w:rsid w:val="0595647D"/>
    <w:rsid w:val="0621176E"/>
    <w:rsid w:val="0661C615"/>
    <w:rsid w:val="0663113B"/>
    <w:rsid w:val="06860419"/>
    <w:rsid w:val="06CEB508"/>
    <w:rsid w:val="06F26CE9"/>
    <w:rsid w:val="07C678FC"/>
    <w:rsid w:val="080D3AFE"/>
    <w:rsid w:val="089F6ACA"/>
    <w:rsid w:val="09140CF0"/>
    <w:rsid w:val="099E51B5"/>
    <w:rsid w:val="09DB8293"/>
    <w:rsid w:val="09F5E3C9"/>
    <w:rsid w:val="09F89D93"/>
    <w:rsid w:val="09FB788D"/>
    <w:rsid w:val="0A527BE3"/>
    <w:rsid w:val="0AF6CF15"/>
    <w:rsid w:val="0B10989D"/>
    <w:rsid w:val="0B99F2F5"/>
    <w:rsid w:val="0BC735A1"/>
    <w:rsid w:val="0BD5FE00"/>
    <w:rsid w:val="0CD5F277"/>
    <w:rsid w:val="0D24CE2F"/>
    <w:rsid w:val="0D472AEE"/>
    <w:rsid w:val="0D47E307"/>
    <w:rsid w:val="0D77653C"/>
    <w:rsid w:val="0D899D8F"/>
    <w:rsid w:val="0E08D4BB"/>
    <w:rsid w:val="0E5C365F"/>
    <w:rsid w:val="0E860272"/>
    <w:rsid w:val="0E96A0FE"/>
    <w:rsid w:val="0EFBB14F"/>
    <w:rsid w:val="0F19A962"/>
    <w:rsid w:val="0F214A29"/>
    <w:rsid w:val="0FAA9D3E"/>
    <w:rsid w:val="10044642"/>
    <w:rsid w:val="1022A1E6"/>
    <w:rsid w:val="10D922DA"/>
    <w:rsid w:val="11DF813D"/>
    <w:rsid w:val="11F5A656"/>
    <w:rsid w:val="12677F99"/>
    <w:rsid w:val="12B68566"/>
    <w:rsid w:val="12DC70D0"/>
    <w:rsid w:val="13199E2D"/>
    <w:rsid w:val="14E468F3"/>
    <w:rsid w:val="150616A2"/>
    <w:rsid w:val="15232E00"/>
    <w:rsid w:val="155C5826"/>
    <w:rsid w:val="1573D410"/>
    <w:rsid w:val="159A4451"/>
    <w:rsid w:val="16269C23"/>
    <w:rsid w:val="16293780"/>
    <w:rsid w:val="16CDDD41"/>
    <w:rsid w:val="17D34E2E"/>
    <w:rsid w:val="17EB2456"/>
    <w:rsid w:val="18903F91"/>
    <w:rsid w:val="18A5B8A9"/>
    <w:rsid w:val="18A9E13B"/>
    <w:rsid w:val="18F98E1A"/>
    <w:rsid w:val="190F3C84"/>
    <w:rsid w:val="1A5DD5CA"/>
    <w:rsid w:val="1AC7801E"/>
    <w:rsid w:val="1AE89BAE"/>
    <w:rsid w:val="1B53AF78"/>
    <w:rsid w:val="1B5BFBA9"/>
    <w:rsid w:val="1B72FD9D"/>
    <w:rsid w:val="1BC5043D"/>
    <w:rsid w:val="1D3B3540"/>
    <w:rsid w:val="1D5CE5DC"/>
    <w:rsid w:val="1DBEC8F2"/>
    <w:rsid w:val="1DE4CE98"/>
    <w:rsid w:val="1DEDC8AD"/>
    <w:rsid w:val="1F499864"/>
    <w:rsid w:val="1F506670"/>
    <w:rsid w:val="1F92EEB7"/>
    <w:rsid w:val="203A026B"/>
    <w:rsid w:val="20AC9A9F"/>
    <w:rsid w:val="20F88770"/>
    <w:rsid w:val="211F3657"/>
    <w:rsid w:val="212AD49F"/>
    <w:rsid w:val="216B13D0"/>
    <w:rsid w:val="21D2C3C9"/>
    <w:rsid w:val="21D58D66"/>
    <w:rsid w:val="22E35539"/>
    <w:rsid w:val="2373F67E"/>
    <w:rsid w:val="237CAA70"/>
    <w:rsid w:val="23D718E0"/>
    <w:rsid w:val="23E8CD5E"/>
    <w:rsid w:val="24411477"/>
    <w:rsid w:val="2452EB4B"/>
    <w:rsid w:val="24A1C250"/>
    <w:rsid w:val="25024572"/>
    <w:rsid w:val="2577BDE1"/>
    <w:rsid w:val="26A8FE89"/>
    <w:rsid w:val="272699A2"/>
    <w:rsid w:val="284BC51B"/>
    <w:rsid w:val="2859A2E1"/>
    <w:rsid w:val="287E6BE0"/>
    <w:rsid w:val="28BF00D6"/>
    <w:rsid w:val="293F8121"/>
    <w:rsid w:val="295A266F"/>
    <w:rsid w:val="29922443"/>
    <w:rsid w:val="29A6F101"/>
    <w:rsid w:val="2B1B1E6D"/>
    <w:rsid w:val="2BB759A1"/>
    <w:rsid w:val="2C436B6E"/>
    <w:rsid w:val="2C474F1C"/>
    <w:rsid w:val="2C9128F0"/>
    <w:rsid w:val="2CA8FB5A"/>
    <w:rsid w:val="2D18400D"/>
    <w:rsid w:val="2D540EDF"/>
    <w:rsid w:val="2D9BDE94"/>
    <w:rsid w:val="2DA9E696"/>
    <w:rsid w:val="2DE79EE9"/>
    <w:rsid w:val="2F0DC956"/>
    <w:rsid w:val="2F1ED384"/>
    <w:rsid w:val="2F5FEC6F"/>
    <w:rsid w:val="2FB77BC1"/>
    <w:rsid w:val="2FCED790"/>
    <w:rsid w:val="2FE4C790"/>
    <w:rsid w:val="301D3FC1"/>
    <w:rsid w:val="30229D91"/>
    <w:rsid w:val="302A04E2"/>
    <w:rsid w:val="3049E6A6"/>
    <w:rsid w:val="308BAFA1"/>
    <w:rsid w:val="30F39767"/>
    <w:rsid w:val="30F80D28"/>
    <w:rsid w:val="31153FDD"/>
    <w:rsid w:val="314A99F3"/>
    <w:rsid w:val="31DF294C"/>
    <w:rsid w:val="3221972F"/>
    <w:rsid w:val="32278002"/>
    <w:rsid w:val="3241AFF8"/>
    <w:rsid w:val="334181E1"/>
    <w:rsid w:val="34A3D81B"/>
    <w:rsid w:val="3503BD6A"/>
    <w:rsid w:val="3596701C"/>
    <w:rsid w:val="364D6888"/>
    <w:rsid w:val="367152BE"/>
    <w:rsid w:val="36BCA296"/>
    <w:rsid w:val="3716232C"/>
    <w:rsid w:val="37748ABB"/>
    <w:rsid w:val="37A52192"/>
    <w:rsid w:val="37B6E05A"/>
    <w:rsid w:val="37BBF0E1"/>
    <w:rsid w:val="37C61E20"/>
    <w:rsid w:val="37F56D69"/>
    <w:rsid w:val="380C6891"/>
    <w:rsid w:val="39348303"/>
    <w:rsid w:val="393C837B"/>
    <w:rsid w:val="395AB1C8"/>
    <w:rsid w:val="398A3EED"/>
    <w:rsid w:val="39B3EB2C"/>
    <w:rsid w:val="3A112081"/>
    <w:rsid w:val="3A31C622"/>
    <w:rsid w:val="3A339980"/>
    <w:rsid w:val="3A733411"/>
    <w:rsid w:val="3A83DD6B"/>
    <w:rsid w:val="3AEAA609"/>
    <w:rsid w:val="3AF17C39"/>
    <w:rsid w:val="3B39FB53"/>
    <w:rsid w:val="3BC7C098"/>
    <w:rsid w:val="3BD83067"/>
    <w:rsid w:val="3C2D941A"/>
    <w:rsid w:val="3C54B795"/>
    <w:rsid w:val="3C65606C"/>
    <w:rsid w:val="3CADF148"/>
    <w:rsid w:val="3D5FF9AA"/>
    <w:rsid w:val="3DF22459"/>
    <w:rsid w:val="3E9240ED"/>
    <w:rsid w:val="3E925BFF"/>
    <w:rsid w:val="3ECD8938"/>
    <w:rsid w:val="3F04E3B6"/>
    <w:rsid w:val="3F070AA3"/>
    <w:rsid w:val="3FC47FBE"/>
    <w:rsid w:val="40093E6D"/>
    <w:rsid w:val="4049F8B9"/>
    <w:rsid w:val="406A91AD"/>
    <w:rsid w:val="41178CD0"/>
    <w:rsid w:val="41409F2F"/>
    <w:rsid w:val="417BD23F"/>
    <w:rsid w:val="4181626B"/>
    <w:rsid w:val="41A98BAC"/>
    <w:rsid w:val="41C55667"/>
    <w:rsid w:val="426ADA19"/>
    <w:rsid w:val="42E365C1"/>
    <w:rsid w:val="42F53466"/>
    <w:rsid w:val="4349254B"/>
    <w:rsid w:val="4350602F"/>
    <w:rsid w:val="4356A17C"/>
    <w:rsid w:val="439EF336"/>
    <w:rsid w:val="44336A51"/>
    <w:rsid w:val="44783FF1"/>
    <w:rsid w:val="44876745"/>
    <w:rsid w:val="448B78CB"/>
    <w:rsid w:val="448E97A3"/>
    <w:rsid w:val="456409B7"/>
    <w:rsid w:val="45A8C98B"/>
    <w:rsid w:val="45C08F57"/>
    <w:rsid w:val="461F3FE2"/>
    <w:rsid w:val="4628AF93"/>
    <w:rsid w:val="46761504"/>
    <w:rsid w:val="46AA9295"/>
    <w:rsid w:val="471926A1"/>
    <w:rsid w:val="4740B48E"/>
    <w:rsid w:val="4744F58F"/>
    <w:rsid w:val="47E262D3"/>
    <w:rsid w:val="47EFE941"/>
    <w:rsid w:val="484A7281"/>
    <w:rsid w:val="487BE775"/>
    <w:rsid w:val="48D4F1C0"/>
    <w:rsid w:val="49623CB2"/>
    <w:rsid w:val="4971B797"/>
    <w:rsid w:val="4973B169"/>
    <w:rsid w:val="49C5E300"/>
    <w:rsid w:val="4A470B98"/>
    <w:rsid w:val="4A4A171E"/>
    <w:rsid w:val="4A7B42D9"/>
    <w:rsid w:val="4ABDB595"/>
    <w:rsid w:val="4AF49243"/>
    <w:rsid w:val="4B60DD81"/>
    <w:rsid w:val="4B79AA42"/>
    <w:rsid w:val="4B84E7E8"/>
    <w:rsid w:val="4B98D188"/>
    <w:rsid w:val="4BB172A9"/>
    <w:rsid w:val="4C031B9B"/>
    <w:rsid w:val="4C1FBFB6"/>
    <w:rsid w:val="4C80EF23"/>
    <w:rsid w:val="4CD5A345"/>
    <w:rsid w:val="4DB05938"/>
    <w:rsid w:val="4E24CB68"/>
    <w:rsid w:val="4E595A7D"/>
    <w:rsid w:val="4E924B5D"/>
    <w:rsid w:val="4EC10AE3"/>
    <w:rsid w:val="4EC6048F"/>
    <w:rsid w:val="4ED0724A"/>
    <w:rsid w:val="4ED2EDF3"/>
    <w:rsid w:val="4F494F17"/>
    <w:rsid w:val="4F52BBB2"/>
    <w:rsid w:val="4FA587D2"/>
    <w:rsid w:val="4FDE6A5C"/>
    <w:rsid w:val="4FFEAEF0"/>
    <w:rsid w:val="5043E646"/>
    <w:rsid w:val="50CCE0C9"/>
    <w:rsid w:val="50EE8C13"/>
    <w:rsid w:val="513C9D92"/>
    <w:rsid w:val="51415833"/>
    <w:rsid w:val="515DBB21"/>
    <w:rsid w:val="51B77DDF"/>
    <w:rsid w:val="5298529A"/>
    <w:rsid w:val="52D3A8AA"/>
    <w:rsid w:val="530BFC71"/>
    <w:rsid w:val="538D1C6A"/>
    <w:rsid w:val="53B416D3"/>
    <w:rsid w:val="53C56050"/>
    <w:rsid w:val="53CEB557"/>
    <w:rsid w:val="540AF14C"/>
    <w:rsid w:val="5421895D"/>
    <w:rsid w:val="544C28FF"/>
    <w:rsid w:val="545582AC"/>
    <w:rsid w:val="546077D4"/>
    <w:rsid w:val="546224DB"/>
    <w:rsid w:val="54FC23F3"/>
    <w:rsid w:val="55794D3C"/>
    <w:rsid w:val="55D47DF9"/>
    <w:rsid w:val="562970FF"/>
    <w:rsid w:val="5634CB78"/>
    <w:rsid w:val="5697F454"/>
    <w:rsid w:val="56FD0112"/>
    <w:rsid w:val="57010465"/>
    <w:rsid w:val="5753DD0E"/>
    <w:rsid w:val="57810A0B"/>
    <w:rsid w:val="5793D42A"/>
    <w:rsid w:val="579B04B3"/>
    <w:rsid w:val="582D68C7"/>
    <w:rsid w:val="5898D173"/>
    <w:rsid w:val="58A79544"/>
    <w:rsid w:val="595E67DC"/>
    <w:rsid w:val="5968B1DE"/>
    <w:rsid w:val="599B992F"/>
    <w:rsid w:val="59E3F450"/>
    <w:rsid w:val="5A39845A"/>
    <w:rsid w:val="5A8B7DD0"/>
    <w:rsid w:val="5ABE62A9"/>
    <w:rsid w:val="5B18CB9F"/>
    <w:rsid w:val="5BBB190A"/>
    <w:rsid w:val="5BF4917B"/>
    <w:rsid w:val="5C05A8FF"/>
    <w:rsid w:val="5C3F3590"/>
    <w:rsid w:val="5C53A61B"/>
    <w:rsid w:val="5CDD31F8"/>
    <w:rsid w:val="5CF12746"/>
    <w:rsid w:val="5D0735D8"/>
    <w:rsid w:val="5D498F7F"/>
    <w:rsid w:val="5D7D32CB"/>
    <w:rsid w:val="5D8FA1D1"/>
    <w:rsid w:val="5DAF4346"/>
    <w:rsid w:val="5DB0D4DE"/>
    <w:rsid w:val="5DB4D2EC"/>
    <w:rsid w:val="5DB99C8A"/>
    <w:rsid w:val="5DD4FCA1"/>
    <w:rsid w:val="5DFF1288"/>
    <w:rsid w:val="5EB78825"/>
    <w:rsid w:val="5F52B80C"/>
    <w:rsid w:val="5F70CD02"/>
    <w:rsid w:val="5F9766DF"/>
    <w:rsid w:val="5FA18A57"/>
    <w:rsid w:val="5FD24B71"/>
    <w:rsid w:val="6022DFCA"/>
    <w:rsid w:val="6058418C"/>
    <w:rsid w:val="60891429"/>
    <w:rsid w:val="60B2DF06"/>
    <w:rsid w:val="60EDD5C9"/>
    <w:rsid w:val="61333740"/>
    <w:rsid w:val="618BEEC5"/>
    <w:rsid w:val="61A2A581"/>
    <w:rsid w:val="61C77912"/>
    <w:rsid w:val="61EC53B0"/>
    <w:rsid w:val="621EAC6B"/>
    <w:rsid w:val="6263A672"/>
    <w:rsid w:val="6274F955"/>
    <w:rsid w:val="629C9097"/>
    <w:rsid w:val="62AA2C16"/>
    <w:rsid w:val="6302F131"/>
    <w:rsid w:val="63219335"/>
    <w:rsid w:val="6325D458"/>
    <w:rsid w:val="6339ABE2"/>
    <w:rsid w:val="63B716BD"/>
    <w:rsid w:val="63CCCE50"/>
    <w:rsid w:val="63F6A3E9"/>
    <w:rsid w:val="642B15C8"/>
    <w:rsid w:val="64569400"/>
    <w:rsid w:val="64F01224"/>
    <w:rsid w:val="651247BD"/>
    <w:rsid w:val="65ED1C98"/>
    <w:rsid w:val="660307C6"/>
    <w:rsid w:val="665A8CDD"/>
    <w:rsid w:val="665E099C"/>
    <w:rsid w:val="66CCC8D7"/>
    <w:rsid w:val="66D95573"/>
    <w:rsid w:val="670397A1"/>
    <w:rsid w:val="6733998A"/>
    <w:rsid w:val="673FC6C6"/>
    <w:rsid w:val="6750D87B"/>
    <w:rsid w:val="6758124B"/>
    <w:rsid w:val="67B9764B"/>
    <w:rsid w:val="67F25AA7"/>
    <w:rsid w:val="6800D36F"/>
    <w:rsid w:val="684A2B14"/>
    <w:rsid w:val="68A3E936"/>
    <w:rsid w:val="68B42D0C"/>
    <w:rsid w:val="692520C8"/>
    <w:rsid w:val="6948C1F9"/>
    <w:rsid w:val="69BCBC99"/>
    <w:rsid w:val="69E81159"/>
    <w:rsid w:val="6A5A80C4"/>
    <w:rsid w:val="6AC05376"/>
    <w:rsid w:val="6AF39D55"/>
    <w:rsid w:val="6B19075E"/>
    <w:rsid w:val="6B5ABE9F"/>
    <w:rsid w:val="6BB00FC2"/>
    <w:rsid w:val="6BCDEB8E"/>
    <w:rsid w:val="6BE9DA83"/>
    <w:rsid w:val="6CE2E2BD"/>
    <w:rsid w:val="6D4FAEA6"/>
    <w:rsid w:val="6D539185"/>
    <w:rsid w:val="6D759A57"/>
    <w:rsid w:val="6DE6F093"/>
    <w:rsid w:val="6E0C5372"/>
    <w:rsid w:val="6EA001A6"/>
    <w:rsid w:val="6EA74956"/>
    <w:rsid w:val="6EB7984E"/>
    <w:rsid w:val="6F707A0A"/>
    <w:rsid w:val="6F9690D6"/>
    <w:rsid w:val="70E8A523"/>
    <w:rsid w:val="7129F25E"/>
    <w:rsid w:val="717E16F4"/>
    <w:rsid w:val="7187BC33"/>
    <w:rsid w:val="7198DCA3"/>
    <w:rsid w:val="71E29DB3"/>
    <w:rsid w:val="722AB6E2"/>
    <w:rsid w:val="725F8AD9"/>
    <w:rsid w:val="734328B6"/>
    <w:rsid w:val="73C5290E"/>
    <w:rsid w:val="7451272A"/>
    <w:rsid w:val="7488B87B"/>
    <w:rsid w:val="74AAAB17"/>
    <w:rsid w:val="74FA7810"/>
    <w:rsid w:val="750F432A"/>
    <w:rsid w:val="752FDE22"/>
    <w:rsid w:val="7534FC85"/>
    <w:rsid w:val="75B06C45"/>
    <w:rsid w:val="75D8667B"/>
    <w:rsid w:val="76489FA2"/>
    <w:rsid w:val="76568108"/>
    <w:rsid w:val="7676A6DC"/>
    <w:rsid w:val="768CF89B"/>
    <w:rsid w:val="76F4FADE"/>
    <w:rsid w:val="77123387"/>
    <w:rsid w:val="779ED67E"/>
    <w:rsid w:val="77F2DF21"/>
    <w:rsid w:val="7885EBC5"/>
    <w:rsid w:val="78D2717A"/>
    <w:rsid w:val="78D78D66"/>
    <w:rsid w:val="79362A09"/>
    <w:rsid w:val="79804064"/>
    <w:rsid w:val="79E73F24"/>
    <w:rsid w:val="7A086DA8"/>
    <w:rsid w:val="7AB0A03B"/>
    <w:rsid w:val="7ABA1395"/>
    <w:rsid w:val="7AD768C7"/>
    <w:rsid w:val="7AF3E172"/>
    <w:rsid w:val="7B0C44F0"/>
    <w:rsid w:val="7B9E6DE6"/>
    <w:rsid w:val="7BD3D763"/>
    <w:rsid w:val="7BF34C92"/>
    <w:rsid w:val="7C07EBD3"/>
    <w:rsid w:val="7C49BD35"/>
    <w:rsid w:val="7C65A5AA"/>
    <w:rsid w:val="7C82C962"/>
    <w:rsid w:val="7CB89B1D"/>
    <w:rsid w:val="7CBA0BAF"/>
    <w:rsid w:val="7CE40B6C"/>
    <w:rsid w:val="7D7C780B"/>
    <w:rsid w:val="7E3AE408"/>
    <w:rsid w:val="7EC2B66E"/>
    <w:rsid w:val="7EC33AEF"/>
    <w:rsid w:val="7F40570B"/>
    <w:rsid w:val="7F571AD4"/>
    <w:rsid w:val="7F5BB3E7"/>
    <w:rsid w:val="7F60D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6ED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D3F"/>
  </w:style>
  <w:style w:type="paragraph" w:styleId="Heading1">
    <w:name w:val="heading 1"/>
    <w:basedOn w:val="Normal"/>
    <w:next w:val="Normal"/>
    <w:link w:val="Heading1Char"/>
    <w:qFormat/>
    <w:rsid w:val="00EE2D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E2D3F"/>
    <w:pPr>
      <w:widowControl w:val="0"/>
      <w:tabs>
        <w:tab w:val="center" w:pos="4513"/>
        <w:tab w:val="right" w:pos="9026"/>
      </w:tabs>
      <w:spacing w:after="0" w:line="240" w:lineRule="auto"/>
    </w:pPr>
    <w:rPr>
      <w:rFonts w:ascii="Cambria" w:eastAsia="Cambria" w:hAnsi="Cambria" w:cs="Cambria"/>
      <w:lang w:val="en-US"/>
    </w:rPr>
  </w:style>
  <w:style w:type="character" w:customStyle="1" w:styleId="HeaderChar">
    <w:name w:val="Header Char"/>
    <w:basedOn w:val="DefaultParagraphFont"/>
    <w:link w:val="Header"/>
    <w:rsid w:val="00CB2B19"/>
    <w:rPr>
      <w:rFonts w:ascii="Cambria" w:eastAsia="Cambria" w:hAnsi="Cambria" w:cs="Cambr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2D3F"/>
    <w:pPr>
      <w:widowControl w:val="0"/>
      <w:tabs>
        <w:tab w:val="center" w:pos="4513"/>
        <w:tab w:val="right" w:pos="9026"/>
      </w:tabs>
      <w:spacing w:after="0" w:line="240" w:lineRule="auto"/>
    </w:pPr>
    <w:rPr>
      <w:rFonts w:ascii="Cambria" w:eastAsia="Cambria" w:hAnsi="Cambria" w:cs="Cambr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B2B19"/>
    <w:rPr>
      <w:rFonts w:ascii="Cambria" w:eastAsia="Cambria" w:hAnsi="Cambria" w:cs="Cambria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2B19"/>
    <w:pPr>
      <w:widowControl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2B19"/>
    <w:rPr>
      <w:rFonts w:ascii="Cambria" w:eastAsia="Cambria" w:hAnsi="Cambria" w:cs="Cambr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B2B19"/>
    <w:rPr>
      <w:vertAlign w:val="superscript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rsid w:val="004B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EE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F555A"/>
    <w:rPr>
      <w:rFonts w:ascii="Segoe UI" w:hAnsi="Segoe UI" w:cs="Segoe UI"/>
      <w:sz w:val="18"/>
      <w:szCs w:val="18"/>
    </w:rPr>
  </w:style>
  <w:style w:type="table" w:customStyle="1" w:styleId="TableauNorm12">
    <w:name w:val="Tableau Norm12"/>
    <w:uiPriority w:val="99"/>
    <w:semiHidden/>
    <w:rsid w:val="00BC1B6D"/>
    <w:pPr>
      <w:spacing w:after="0" w:line="240" w:lineRule="auto"/>
    </w:pPr>
    <w:rPr>
      <w:rFonts w:ascii="Calibri" w:eastAsia="Calibri" w:hAnsi="Calibri" w:cs="Times New Roman"/>
      <w:sz w:val="24"/>
      <w:szCs w:val="24"/>
      <w:lang w:val="fr-F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B6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E2D3F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paragraph" w:customStyle="1" w:styleId="1Paragraph">
    <w:name w:val="1Paragraph"/>
    <w:rsid w:val="00EE2D3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  <w:lang w:val="en-US"/>
    </w:rPr>
  </w:style>
  <w:style w:type="paragraph" w:styleId="BodyTextIndent">
    <w:name w:val="Body Text Indent"/>
    <w:basedOn w:val="Normal"/>
    <w:link w:val="BodyTextIndentChar"/>
    <w:rsid w:val="00EE2D3F"/>
    <w:pPr>
      <w:tabs>
        <w:tab w:val="left" w:pos="-720"/>
        <w:tab w:val="left" w:pos="180"/>
        <w:tab w:val="left" w:pos="720"/>
        <w:tab w:val="left" w:pos="817"/>
        <w:tab w:val="left" w:pos="1152"/>
      </w:tabs>
      <w:spacing w:after="0" w:line="287" w:lineRule="atLeast"/>
      <w:ind w:left="180"/>
    </w:pPr>
    <w:rPr>
      <w:rFonts w:ascii="Times New Roman" w:eastAsia="Times New Roman" w:hAnsi="Times New Roman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E2D3F"/>
    <w:rPr>
      <w:rFonts w:ascii="Times New Roman" w:eastAsia="Times New Roman" w:hAnsi="Times New Roman" w:cs="Times New Roman"/>
      <w:lang w:val="en-GB"/>
    </w:rPr>
  </w:style>
  <w:style w:type="character" w:styleId="PageNumber">
    <w:name w:val="page number"/>
    <w:basedOn w:val="DefaultParagraphFont"/>
    <w:rsid w:val="00EE2D3F"/>
  </w:style>
  <w:style w:type="paragraph" w:styleId="BodyText">
    <w:name w:val="Body Text"/>
    <w:basedOn w:val="Normal"/>
    <w:link w:val="BodyTextChar"/>
    <w:rsid w:val="00EE2D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s-ES"/>
    </w:rPr>
  </w:style>
  <w:style w:type="character" w:customStyle="1" w:styleId="BodyTextChar">
    <w:name w:val="Body Text Char"/>
    <w:basedOn w:val="DefaultParagraphFont"/>
    <w:link w:val="BodyText"/>
    <w:rsid w:val="00EE2D3F"/>
    <w:rPr>
      <w:rFonts w:ascii="Times New Roman" w:eastAsia="Times New Roman" w:hAnsi="Times New Roman" w:cs="Times New Roman"/>
      <w:b/>
      <w:bCs/>
      <w:sz w:val="24"/>
      <w:szCs w:val="24"/>
      <w:lang w:val="en-GB" w:eastAsia="es-ES"/>
    </w:rPr>
  </w:style>
  <w:style w:type="paragraph" w:styleId="BodyText3">
    <w:name w:val="Body Text 3"/>
    <w:basedOn w:val="Normal"/>
    <w:link w:val="BodyText3Char"/>
    <w:rsid w:val="00EE2D3F"/>
    <w:pPr>
      <w:tabs>
        <w:tab w:val="left" w:pos="300"/>
      </w:tabs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EE2D3F"/>
    <w:rPr>
      <w:rFonts w:ascii="Times New Roman" w:eastAsia="Times New Roman" w:hAnsi="Times New Roman" w:cs="Times New Roman"/>
      <w:szCs w:val="24"/>
      <w:lang w:val="en-US"/>
    </w:rPr>
  </w:style>
  <w:style w:type="character" w:styleId="Hyperlink">
    <w:name w:val="Hyperlink"/>
    <w:rsid w:val="00EE2D3F"/>
    <w:rPr>
      <w:color w:val="0000FF"/>
      <w:u w:val="single"/>
    </w:rPr>
  </w:style>
  <w:style w:type="paragraph" w:styleId="ListBullet">
    <w:name w:val="List Bullet"/>
    <w:basedOn w:val="Normal"/>
    <w:autoRedefine/>
    <w:rsid w:val="00EE2D3F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EE2D3F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rsid w:val="00EE2D3F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E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ntion2">
    <w:name w:val="Mention2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E7E86-BA65-4D9C-A404-63C92E2E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2022-11-18T11:10:00Z</dcterms:created>
  <dcterms:modified xsi:type="dcterms:W3CDTF">2022-12-21T13:02:00Z</dcterms:modified>
</cp:coreProperties>
</file>