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0D5F" w14:textId="03A4AC4B" w:rsidR="005E7FC6" w:rsidRPr="00405854" w:rsidRDefault="005E7FC6" w:rsidP="00405854">
      <w:pPr>
        <w:pBdr>
          <w:top w:val="double" w:sz="4" w:space="1" w:color="auto"/>
          <w:left w:val="double" w:sz="4" w:space="4" w:color="auto"/>
          <w:bottom w:val="double" w:sz="4" w:space="1" w:color="auto"/>
          <w:right w:val="double" w:sz="4" w:space="4" w:color="auto"/>
        </w:pBdr>
        <w:tabs>
          <w:tab w:val="right" w:pos="9356"/>
        </w:tabs>
        <w:suppressAutoHyphens/>
        <w:spacing w:after="200" w:line="276" w:lineRule="auto"/>
        <w:rPr>
          <w:rFonts w:ascii="Cambria" w:hAnsi="Cambria"/>
          <w:b/>
          <w:sz w:val="20"/>
        </w:rPr>
      </w:pPr>
      <w:r w:rsidRPr="00405854">
        <w:rPr>
          <w:rFonts w:ascii="Cambria" w:hAnsi="Cambria"/>
          <w:b/>
          <w:sz w:val="20"/>
        </w:rPr>
        <w:t>2</w:t>
      </w:r>
      <w:r w:rsidR="00084F97" w:rsidRPr="00405854">
        <w:rPr>
          <w:rFonts w:ascii="Cambria" w:hAnsi="Cambria"/>
          <w:b/>
          <w:sz w:val="20"/>
        </w:rPr>
        <w:t>2</w:t>
      </w:r>
      <w:r w:rsidRPr="00405854">
        <w:rPr>
          <w:rFonts w:ascii="Cambria" w:hAnsi="Cambria"/>
          <w:b/>
          <w:sz w:val="20"/>
        </w:rPr>
        <w:t>-</w:t>
      </w:r>
      <w:r w:rsidR="0046121A" w:rsidRPr="00405854">
        <w:rPr>
          <w:rFonts w:ascii="Cambria" w:hAnsi="Cambria"/>
          <w:b/>
          <w:sz w:val="20"/>
        </w:rPr>
        <w:t>03</w:t>
      </w:r>
      <w:r w:rsidRPr="00405854">
        <w:rPr>
          <w:rFonts w:ascii="Cambria" w:hAnsi="Cambria"/>
          <w:b/>
          <w:sz w:val="20"/>
        </w:rPr>
        <w:tab/>
      </w:r>
      <w:r w:rsidR="00084F97" w:rsidRPr="00405854">
        <w:rPr>
          <w:rFonts w:ascii="Cambria" w:hAnsi="Cambria"/>
          <w:b/>
          <w:sz w:val="20"/>
        </w:rPr>
        <w:t>SWO</w:t>
      </w:r>
    </w:p>
    <w:p w14:paraId="71BDF0EE" w14:textId="1A5D4C55" w:rsidR="005E7FC6" w:rsidRPr="006579DE" w:rsidRDefault="00BB7442" w:rsidP="005E7FC6">
      <w:pPr>
        <w:pStyle w:val="Heading5"/>
        <w:pBdr>
          <w:top w:val="double" w:sz="4" w:space="1" w:color="auto"/>
          <w:left w:val="double" w:sz="4" w:space="4" w:color="auto"/>
          <w:bottom w:val="double" w:sz="4" w:space="1" w:color="auto"/>
          <w:right w:val="double" w:sz="4" w:space="4" w:color="auto"/>
        </w:pBdr>
        <w:rPr>
          <w:rFonts w:ascii="Cambria" w:hAnsi="Cambria"/>
          <w:sz w:val="20"/>
          <w:szCs w:val="20"/>
          <w:lang w:val="es-ES_tradnl"/>
        </w:rPr>
      </w:pPr>
      <w:r w:rsidRPr="00622522">
        <w:rPr>
          <w:rFonts w:ascii="Cambria" w:hAnsi="Cambria"/>
          <w:color w:val="000000"/>
          <w:sz w:val="20"/>
          <w:szCs w:val="20"/>
        </w:rPr>
        <w:t>REC</w:t>
      </w:r>
      <w:r w:rsidRPr="00622522">
        <w:rPr>
          <w:rFonts w:ascii="Cambria" w:hAnsi="Cambria"/>
          <w:sz w:val="20"/>
          <w:szCs w:val="20"/>
        </w:rPr>
        <w:t>OMENDACIÓN</w:t>
      </w:r>
      <w:r w:rsidRPr="006579DE">
        <w:rPr>
          <w:rFonts w:ascii="Cambria" w:hAnsi="Cambria"/>
          <w:sz w:val="20"/>
          <w:szCs w:val="20"/>
          <w:lang w:val="es-ES_tradnl"/>
        </w:rPr>
        <w:t xml:space="preserve"> DE ICCAT QUE REMPLAZA LA RECOMENDACIÓN </w:t>
      </w:r>
    </w:p>
    <w:p w14:paraId="49792A82" w14:textId="77777777" w:rsidR="005E7FC6" w:rsidRPr="006579DE" w:rsidRDefault="00BB7442" w:rsidP="005E7FC6">
      <w:pPr>
        <w:pStyle w:val="Heading5"/>
        <w:pBdr>
          <w:top w:val="double" w:sz="4" w:space="1" w:color="auto"/>
          <w:left w:val="double" w:sz="4" w:space="4" w:color="auto"/>
          <w:bottom w:val="double" w:sz="4" w:space="1" w:color="auto"/>
          <w:right w:val="double" w:sz="4" w:space="4" w:color="auto"/>
        </w:pBdr>
        <w:rPr>
          <w:rFonts w:ascii="Cambria" w:hAnsi="Cambria"/>
          <w:sz w:val="20"/>
          <w:szCs w:val="20"/>
          <w:lang w:val="es-ES_tradnl"/>
        </w:rPr>
      </w:pPr>
      <w:r w:rsidRPr="006579DE">
        <w:rPr>
          <w:rFonts w:ascii="Cambria" w:hAnsi="Cambria"/>
          <w:sz w:val="20"/>
          <w:szCs w:val="20"/>
          <w:lang w:val="es-ES_tradnl"/>
        </w:rPr>
        <w:t xml:space="preserve">SUPLEMENTARIA 21-02 QUE AMPLÍA Y ENMIENDA LA RECOMENDACIÓN 17-02 </w:t>
      </w:r>
    </w:p>
    <w:p w14:paraId="33D6CF0E" w14:textId="28E9098D" w:rsidR="006B4444" w:rsidRPr="0097141F" w:rsidRDefault="00BB7442" w:rsidP="0097141F">
      <w:pPr>
        <w:pStyle w:val="Heading5"/>
        <w:pBdr>
          <w:top w:val="double" w:sz="4" w:space="1" w:color="auto"/>
          <w:left w:val="double" w:sz="4" w:space="4" w:color="auto"/>
          <w:bottom w:val="double" w:sz="4" w:space="1" w:color="auto"/>
          <w:right w:val="double" w:sz="4" w:space="4" w:color="auto"/>
        </w:pBdr>
        <w:spacing w:after="80"/>
        <w:rPr>
          <w:rFonts w:ascii="Cambria" w:hAnsi="Cambria"/>
          <w:i/>
          <w:iCs/>
          <w:color w:val="000000"/>
          <w:sz w:val="6"/>
          <w:szCs w:val="6"/>
        </w:rPr>
      </w:pPr>
      <w:r w:rsidRPr="006579DE">
        <w:rPr>
          <w:rFonts w:ascii="Cambria" w:hAnsi="Cambria"/>
          <w:sz w:val="20"/>
          <w:szCs w:val="20"/>
          <w:lang w:val="es-ES_tradnl"/>
        </w:rPr>
        <w:t>PARA LA CONSERVACIÓN DEL PEZ ESPADA DEL ATLÁNTICO NORTE</w:t>
      </w:r>
      <w:r w:rsidR="0097141F">
        <w:rPr>
          <w:rFonts w:ascii="Cambria" w:hAnsi="Cambria"/>
          <w:sz w:val="20"/>
          <w:szCs w:val="20"/>
        </w:rPr>
        <w:br/>
      </w:r>
    </w:p>
    <w:p w14:paraId="054628F0" w14:textId="77777777" w:rsidR="00C16749" w:rsidRDefault="00C16749" w:rsidP="00E8577C">
      <w:pPr>
        <w:spacing w:after="0" w:line="240" w:lineRule="auto"/>
        <w:ind w:left="116" w:right="66" w:firstLine="440"/>
        <w:jc w:val="both"/>
        <w:rPr>
          <w:rFonts w:ascii="Cambria" w:hAnsi="Cambria"/>
          <w:i/>
          <w:iCs/>
          <w:color w:val="000000"/>
          <w:sz w:val="20"/>
          <w:szCs w:val="20"/>
        </w:rPr>
      </w:pPr>
    </w:p>
    <w:p w14:paraId="2CB583CF" w14:textId="16CE5957" w:rsidR="00E8577C" w:rsidRPr="006579DE" w:rsidRDefault="00E8577C" w:rsidP="00E8577C">
      <w:pPr>
        <w:spacing w:after="0" w:line="240" w:lineRule="auto"/>
        <w:ind w:left="116" w:right="66" w:firstLine="440"/>
        <w:jc w:val="both"/>
        <w:rPr>
          <w:rFonts w:ascii="Cambria" w:eastAsia="Times New Roman" w:hAnsi="Cambria" w:cs="Times New Roman"/>
          <w:sz w:val="20"/>
          <w:szCs w:val="20"/>
        </w:rPr>
      </w:pPr>
      <w:r w:rsidRPr="006579DE">
        <w:rPr>
          <w:rFonts w:ascii="Cambria" w:hAnsi="Cambria"/>
          <w:i/>
          <w:iCs/>
          <w:color w:val="000000"/>
          <w:sz w:val="20"/>
          <w:szCs w:val="20"/>
        </w:rPr>
        <w:t>RECORDANDO</w:t>
      </w:r>
      <w:r w:rsidRPr="006579DE">
        <w:rPr>
          <w:rFonts w:ascii="Cambria" w:hAnsi="Cambria"/>
          <w:color w:val="000000"/>
          <w:sz w:val="20"/>
          <w:szCs w:val="20"/>
        </w:rPr>
        <w:t xml:space="preserve"> la </w:t>
      </w:r>
      <w:r w:rsidRPr="006579DE">
        <w:rPr>
          <w:rFonts w:ascii="Cambria" w:hAnsi="Cambria"/>
          <w:i/>
          <w:iCs/>
          <w:color w:val="000000"/>
          <w:sz w:val="20"/>
          <w:szCs w:val="20"/>
        </w:rPr>
        <w:t>Recomendación</w:t>
      </w:r>
      <w:r w:rsidR="00A125EC" w:rsidRPr="006579DE">
        <w:rPr>
          <w:rFonts w:ascii="Cambria" w:hAnsi="Cambria"/>
          <w:i/>
          <w:iCs/>
          <w:color w:val="000000"/>
          <w:sz w:val="20"/>
          <w:szCs w:val="20"/>
        </w:rPr>
        <w:t xml:space="preserve"> de ICCAT</w:t>
      </w:r>
      <w:r w:rsidRPr="006579DE">
        <w:rPr>
          <w:rFonts w:ascii="Cambria" w:hAnsi="Cambria"/>
          <w:i/>
          <w:iCs/>
          <w:color w:val="000000"/>
          <w:sz w:val="20"/>
          <w:szCs w:val="20"/>
        </w:rPr>
        <w:t xml:space="preserve"> que enmienda la Recomendación </w:t>
      </w:r>
      <w:r w:rsidR="00A125EC" w:rsidRPr="006579DE">
        <w:rPr>
          <w:rFonts w:ascii="Cambria" w:hAnsi="Cambria"/>
          <w:i/>
          <w:iCs/>
          <w:color w:val="000000"/>
          <w:sz w:val="20"/>
          <w:szCs w:val="20"/>
        </w:rPr>
        <w:t xml:space="preserve">16-03 </w:t>
      </w:r>
      <w:r w:rsidRPr="006579DE">
        <w:rPr>
          <w:rFonts w:ascii="Cambria" w:hAnsi="Cambria"/>
          <w:i/>
          <w:iCs/>
          <w:color w:val="000000"/>
          <w:sz w:val="20"/>
          <w:szCs w:val="20"/>
        </w:rPr>
        <w:t>de ICCAT sobre la conservación del pez espada del Atlántico norte</w:t>
      </w:r>
      <w:r w:rsidRPr="006579DE">
        <w:rPr>
          <w:rFonts w:ascii="Cambria" w:hAnsi="Cambria"/>
          <w:color w:val="000000"/>
          <w:sz w:val="20"/>
          <w:szCs w:val="20"/>
        </w:rPr>
        <w:t xml:space="preserve"> (Rec. 17-02) enmendada por la </w:t>
      </w:r>
      <w:r w:rsidRPr="006579DE">
        <w:rPr>
          <w:rFonts w:ascii="Cambria" w:hAnsi="Cambria"/>
          <w:i/>
          <w:iCs/>
          <w:color w:val="000000"/>
          <w:sz w:val="20"/>
          <w:szCs w:val="20"/>
        </w:rPr>
        <w:t xml:space="preserve">Recomendación de ICCAT para enmendar la Recomendación 17-02 de ICCAT para la conservación del pez espada del Atlántico norte </w:t>
      </w:r>
      <w:r w:rsidRPr="006579DE">
        <w:rPr>
          <w:rFonts w:ascii="Cambria" w:hAnsi="Cambria"/>
          <w:color w:val="000000"/>
          <w:sz w:val="20"/>
          <w:szCs w:val="20"/>
        </w:rPr>
        <w:t xml:space="preserve">(Rec. 19-03), la </w:t>
      </w:r>
      <w:r w:rsidRPr="006579DE">
        <w:rPr>
          <w:rFonts w:ascii="Cambria" w:hAnsi="Cambria"/>
          <w:i/>
          <w:iCs/>
          <w:color w:val="000000"/>
          <w:sz w:val="20"/>
          <w:szCs w:val="20"/>
        </w:rPr>
        <w:t>Recomendación de ICCAT que enmienda la Recomendación 19-03 de ICCAT sobre la conservación del pez espada del Atlántico norte</w:t>
      </w:r>
      <w:r w:rsidRPr="006579DE">
        <w:rPr>
          <w:rFonts w:ascii="Cambria" w:hAnsi="Cambria"/>
          <w:color w:val="000000"/>
          <w:sz w:val="20"/>
          <w:szCs w:val="20"/>
        </w:rPr>
        <w:t xml:space="preserve"> (Rec. 20-02)</w:t>
      </w:r>
      <w:r w:rsidRPr="006579DE">
        <w:rPr>
          <w:rFonts w:ascii="Cambria" w:hAnsi="Cambria"/>
          <w:i/>
          <w:iCs/>
          <w:color w:val="000000"/>
          <w:sz w:val="20"/>
          <w:szCs w:val="20"/>
        </w:rPr>
        <w:t xml:space="preserve"> </w:t>
      </w:r>
      <w:r w:rsidRPr="006579DE">
        <w:rPr>
          <w:rFonts w:ascii="Cambria" w:hAnsi="Cambria"/>
          <w:color w:val="000000"/>
          <w:sz w:val="20"/>
          <w:szCs w:val="20"/>
        </w:rPr>
        <w:t>y la</w:t>
      </w:r>
      <w:r w:rsidRPr="006579DE">
        <w:rPr>
          <w:rFonts w:ascii="Cambria" w:hAnsi="Cambria"/>
          <w:i/>
          <w:iCs/>
          <w:color w:val="000000"/>
          <w:sz w:val="20"/>
          <w:szCs w:val="20"/>
        </w:rPr>
        <w:t xml:space="preserve"> Recomendación suplementaria de ICCAT que amplía y enmienda la Recomendación 17-02 que enmienda la Recomendación 16-03 para la conservación del pez espada del Atlántico norte</w:t>
      </w:r>
      <w:r w:rsidRPr="006579DE">
        <w:rPr>
          <w:rFonts w:ascii="Cambria" w:hAnsi="Cambria"/>
          <w:color w:val="000000"/>
          <w:sz w:val="20"/>
          <w:szCs w:val="20"/>
        </w:rPr>
        <w:t xml:space="preserve"> (Rec. 21-02); </w:t>
      </w:r>
    </w:p>
    <w:p w14:paraId="4A8E6734" w14:textId="77777777" w:rsidR="00E8577C" w:rsidRPr="006579DE" w:rsidRDefault="00E8577C" w:rsidP="00E8577C">
      <w:pPr>
        <w:spacing w:before="287" w:after="0" w:line="240" w:lineRule="auto"/>
        <w:ind w:left="125" w:right="66" w:firstLine="431"/>
        <w:rPr>
          <w:rFonts w:ascii="Cambria" w:eastAsia="Times New Roman" w:hAnsi="Cambria" w:cs="Times New Roman"/>
          <w:sz w:val="20"/>
          <w:szCs w:val="20"/>
        </w:rPr>
      </w:pPr>
      <w:r w:rsidRPr="006579DE">
        <w:rPr>
          <w:rFonts w:ascii="Cambria" w:hAnsi="Cambria"/>
          <w:i/>
          <w:iCs/>
          <w:color w:val="000000"/>
          <w:sz w:val="20"/>
          <w:szCs w:val="20"/>
        </w:rPr>
        <w:t>OBSERVANDO</w:t>
      </w:r>
      <w:r w:rsidRPr="006579DE">
        <w:rPr>
          <w:rFonts w:ascii="Cambria" w:hAnsi="Cambria"/>
          <w:color w:val="000000"/>
          <w:sz w:val="20"/>
          <w:szCs w:val="20"/>
        </w:rPr>
        <w:t xml:space="preserve"> la necesidad de continuar con medidas adecuadas para la conservación y ordenación del stock de pez espada del Atlántico norte; </w:t>
      </w:r>
    </w:p>
    <w:p w14:paraId="541A08E9" w14:textId="6E458BE5" w:rsidR="00E8577C" w:rsidRPr="006579DE" w:rsidRDefault="00E8577C" w:rsidP="00E8577C">
      <w:pPr>
        <w:spacing w:before="289" w:after="0" w:line="240" w:lineRule="auto"/>
        <w:ind w:left="125" w:right="66" w:firstLine="439"/>
        <w:jc w:val="both"/>
        <w:rPr>
          <w:rFonts w:ascii="Cambria" w:eastAsia="Times New Roman" w:hAnsi="Cambria" w:cs="Times New Roman"/>
          <w:sz w:val="20"/>
          <w:szCs w:val="20"/>
        </w:rPr>
      </w:pPr>
      <w:r w:rsidRPr="006579DE">
        <w:rPr>
          <w:rFonts w:ascii="Cambria" w:hAnsi="Cambria"/>
          <w:i/>
          <w:iCs/>
          <w:color w:val="000000"/>
          <w:sz w:val="20"/>
          <w:szCs w:val="20"/>
        </w:rPr>
        <w:t>CONSIDERANDO</w:t>
      </w:r>
      <w:r w:rsidRPr="006579DE">
        <w:rPr>
          <w:rFonts w:ascii="Cambria" w:hAnsi="Cambria"/>
          <w:color w:val="000000"/>
          <w:sz w:val="20"/>
          <w:szCs w:val="20"/>
        </w:rPr>
        <w:t xml:space="preserve"> los resultados de la evaluación de stock de pez espada del Atlántico norte de 2022, que muestran que una captura constante al nivel actual de TAC de 13.200 t dará lugar a una probabilidad del 60</w:t>
      </w:r>
      <w:r w:rsidR="00084F97" w:rsidRPr="006579DE">
        <w:rPr>
          <w:rFonts w:ascii="Cambria" w:hAnsi="Cambria"/>
          <w:color w:val="000000"/>
          <w:sz w:val="20"/>
          <w:szCs w:val="20"/>
        </w:rPr>
        <w:t xml:space="preserve"> </w:t>
      </w:r>
      <w:r w:rsidRPr="006579DE">
        <w:rPr>
          <w:rFonts w:ascii="Cambria" w:hAnsi="Cambria"/>
          <w:color w:val="000000"/>
          <w:sz w:val="20"/>
          <w:szCs w:val="20"/>
        </w:rPr>
        <w:t>% de que el stock se sitúe en el cuadrante verde del diagrama de Kobe en 2033;</w:t>
      </w:r>
    </w:p>
    <w:p w14:paraId="05D4B661" w14:textId="5304D532" w:rsidR="00E8577C" w:rsidRPr="006579DE" w:rsidRDefault="00E8577C" w:rsidP="00E8577C">
      <w:pPr>
        <w:spacing w:before="289" w:after="0" w:line="240" w:lineRule="auto"/>
        <w:ind w:left="125" w:right="66" w:firstLine="439"/>
        <w:jc w:val="both"/>
        <w:rPr>
          <w:rFonts w:ascii="Cambria" w:eastAsia="Times New Roman" w:hAnsi="Cambria" w:cs="Times New Roman"/>
          <w:sz w:val="20"/>
          <w:szCs w:val="20"/>
        </w:rPr>
      </w:pPr>
      <w:r w:rsidRPr="006579DE">
        <w:rPr>
          <w:rFonts w:ascii="Cambria" w:hAnsi="Cambria"/>
          <w:i/>
          <w:iCs/>
          <w:color w:val="000000"/>
          <w:sz w:val="20"/>
          <w:szCs w:val="20"/>
        </w:rPr>
        <w:t xml:space="preserve">RESPALDANDO </w:t>
      </w:r>
      <w:r w:rsidRPr="006579DE">
        <w:rPr>
          <w:rFonts w:ascii="Cambria" w:hAnsi="Cambria"/>
          <w:color w:val="000000"/>
          <w:sz w:val="20"/>
          <w:szCs w:val="20"/>
        </w:rPr>
        <w:t xml:space="preserve">el trabajo de la Comisión hacia el desarrollo de una evaluación de estrategias de ordenación (MSE) para el pez espada del Atlántico norte con el fin de gestionar las pesquerías de forma más eficaz ante las incertidumbres identificadas, incluyendo los esfuerzos para desarrollar objetivos de ordenación operativos, en particular, la </w:t>
      </w:r>
      <w:r w:rsidRPr="006579DE">
        <w:rPr>
          <w:rFonts w:ascii="Cambria" w:hAnsi="Cambria"/>
          <w:i/>
          <w:iCs/>
          <w:color w:val="000000"/>
          <w:sz w:val="20"/>
          <w:szCs w:val="20"/>
        </w:rPr>
        <w:t>Resolución de ICCAT sobre el desarrollo de los objetivos de ordenación iniciales para el pez espada del Atlántico norte</w:t>
      </w:r>
      <w:r w:rsidRPr="006579DE">
        <w:rPr>
          <w:rFonts w:ascii="Cambria" w:hAnsi="Cambria"/>
          <w:color w:val="000000"/>
          <w:sz w:val="20"/>
          <w:szCs w:val="20"/>
        </w:rPr>
        <w:t xml:space="preserve"> (Res. 19-14), y los esfuerzos para finalizar estos objetivos de ordenación en consonancia con el Convenio</w:t>
      </w:r>
      <w:r w:rsidR="00084F97" w:rsidRPr="006579DE">
        <w:rPr>
          <w:rFonts w:ascii="Cambria" w:hAnsi="Cambria"/>
          <w:color w:val="000000"/>
          <w:sz w:val="20"/>
          <w:szCs w:val="20"/>
        </w:rPr>
        <w:t>,</w:t>
      </w:r>
      <w:r w:rsidRPr="006579DE">
        <w:rPr>
          <w:rFonts w:ascii="Cambria" w:hAnsi="Cambria"/>
          <w:color w:val="000000"/>
          <w:sz w:val="20"/>
          <w:szCs w:val="20"/>
        </w:rPr>
        <w:t xml:space="preserve"> </w:t>
      </w:r>
      <w:r w:rsidR="00A125EC" w:rsidRPr="006579DE">
        <w:rPr>
          <w:rFonts w:ascii="Cambria" w:hAnsi="Cambria"/>
          <w:color w:val="000000"/>
          <w:sz w:val="20"/>
          <w:szCs w:val="20"/>
        </w:rPr>
        <w:t xml:space="preserve">con </w:t>
      </w:r>
      <w:r w:rsidRPr="006579DE">
        <w:rPr>
          <w:rFonts w:ascii="Cambria" w:hAnsi="Cambria"/>
          <w:color w:val="000000"/>
          <w:sz w:val="20"/>
          <w:szCs w:val="20"/>
        </w:rPr>
        <w:t xml:space="preserve">la </w:t>
      </w:r>
      <w:r w:rsidRPr="006579DE">
        <w:rPr>
          <w:rFonts w:ascii="Cambria" w:hAnsi="Cambria"/>
          <w:i/>
          <w:iCs/>
          <w:color w:val="000000"/>
          <w:sz w:val="20"/>
          <w:szCs w:val="20"/>
        </w:rPr>
        <w:t>Recomendación de ICCAT sobre los principios de toma de decisiones para las medidas de conservación y ordenación de ICCA</w:t>
      </w:r>
      <w:r w:rsidRPr="006579DE">
        <w:rPr>
          <w:rFonts w:ascii="Cambria" w:hAnsi="Cambria"/>
          <w:color w:val="000000"/>
          <w:sz w:val="20"/>
          <w:szCs w:val="20"/>
        </w:rPr>
        <w:t xml:space="preserve">T (Rec. 11-13) y </w:t>
      </w:r>
      <w:r w:rsidRPr="006579DE">
        <w:rPr>
          <w:rFonts w:ascii="Cambria" w:hAnsi="Cambria"/>
          <w:i/>
          <w:iCs/>
          <w:color w:val="000000"/>
          <w:sz w:val="20"/>
          <w:szCs w:val="20"/>
        </w:rPr>
        <w:t>la Recomendación de ICCAT sobre el desarrollo de normas de control de capturas y de evaluación de estrategias de ordenación</w:t>
      </w:r>
      <w:r w:rsidRPr="006579DE">
        <w:rPr>
          <w:rFonts w:ascii="Cambria" w:hAnsi="Cambria"/>
          <w:color w:val="000000"/>
          <w:sz w:val="20"/>
          <w:szCs w:val="20"/>
        </w:rPr>
        <w:t xml:space="preserve"> (Rec. 15-07);</w:t>
      </w:r>
    </w:p>
    <w:p w14:paraId="4C6551A6" w14:textId="7B73BDCC" w:rsidR="00E8577C" w:rsidRPr="006579DE" w:rsidRDefault="00E8577C" w:rsidP="00E8577C">
      <w:pPr>
        <w:spacing w:before="289" w:after="0" w:line="240" w:lineRule="auto"/>
        <w:ind w:left="125" w:right="66" w:firstLine="439"/>
        <w:jc w:val="both"/>
        <w:rPr>
          <w:rFonts w:ascii="Cambria" w:eastAsia="Times New Roman" w:hAnsi="Cambria" w:cs="Times New Roman"/>
          <w:sz w:val="20"/>
          <w:szCs w:val="20"/>
        </w:rPr>
      </w:pPr>
      <w:r w:rsidRPr="006579DE">
        <w:rPr>
          <w:rFonts w:ascii="Cambria" w:hAnsi="Cambria"/>
          <w:i/>
          <w:iCs/>
          <w:color w:val="000000"/>
          <w:sz w:val="20"/>
          <w:szCs w:val="20"/>
        </w:rPr>
        <w:t>ACOGIENDO CON SATISFACCIÓN</w:t>
      </w:r>
      <w:r w:rsidRPr="006579DE">
        <w:rPr>
          <w:rFonts w:ascii="Cambria" w:hAnsi="Cambria"/>
          <w:color w:val="000000"/>
          <w:sz w:val="20"/>
          <w:szCs w:val="20"/>
        </w:rPr>
        <w:t xml:space="preserve"> el plan de trabajo del SCRS para 2023 sobre el pez espada, que incluye dos reuniones de diálogo entre gestores y científicos con la Subcomisión 4, para garantizar que el proceso de MSE puede completarse en el plazo previsto, y anticipando que el SCRS completará la MSE, incluyendo la presentación de procedimientos de ordenación candidatos a la Comisión para su consideración en 2023, con vistas a la adopción de un procedimiento de ordenación para establecer los TAC para 2024 y en adelante; </w:t>
      </w:r>
    </w:p>
    <w:p w14:paraId="65FA1FCC" w14:textId="1A986F2D" w:rsidR="00E8577C" w:rsidRPr="006579DE" w:rsidRDefault="00E8577C" w:rsidP="00E8577C">
      <w:pPr>
        <w:spacing w:before="287" w:after="0" w:line="240" w:lineRule="auto"/>
        <w:ind w:left="135" w:right="67" w:firstLine="429"/>
        <w:rPr>
          <w:rFonts w:ascii="Cambria" w:eastAsia="Times New Roman" w:hAnsi="Cambria" w:cs="Times New Roman"/>
          <w:sz w:val="20"/>
          <w:szCs w:val="20"/>
        </w:rPr>
      </w:pPr>
      <w:r w:rsidRPr="006579DE">
        <w:rPr>
          <w:rFonts w:ascii="Cambria" w:hAnsi="Cambria"/>
          <w:i/>
          <w:iCs/>
          <w:color w:val="000000"/>
          <w:sz w:val="20"/>
          <w:szCs w:val="20"/>
        </w:rPr>
        <w:t>CONFIRMANDO</w:t>
      </w:r>
      <w:r w:rsidRPr="006579DE">
        <w:rPr>
          <w:rFonts w:ascii="Cambria" w:hAnsi="Cambria"/>
          <w:color w:val="000000"/>
          <w:sz w:val="20"/>
          <w:szCs w:val="20"/>
        </w:rPr>
        <w:t xml:space="preserve"> que la prórroga de las medidas actuales no perjudica en modo alguno las medidas o debates futuros; </w:t>
      </w:r>
      <w:r w:rsidR="00213684" w:rsidRPr="006579DE">
        <w:rPr>
          <w:rFonts w:ascii="Cambria" w:hAnsi="Cambria"/>
          <w:color w:val="000000"/>
          <w:sz w:val="20"/>
          <w:szCs w:val="20"/>
        </w:rPr>
        <w:t>y</w:t>
      </w:r>
    </w:p>
    <w:p w14:paraId="47A2D4C9" w14:textId="328B59B6" w:rsidR="00E8577C" w:rsidRPr="006579DE" w:rsidRDefault="00E8577C" w:rsidP="00E8577C">
      <w:pPr>
        <w:spacing w:before="287" w:after="0" w:line="240" w:lineRule="auto"/>
        <w:ind w:left="128" w:right="65" w:firstLine="428"/>
        <w:jc w:val="both"/>
        <w:rPr>
          <w:rFonts w:ascii="Cambria" w:eastAsia="Times New Roman" w:hAnsi="Cambria" w:cs="Times New Roman"/>
          <w:sz w:val="20"/>
          <w:szCs w:val="20"/>
        </w:rPr>
      </w:pPr>
      <w:r w:rsidRPr="006579DE">
        <w:rPr>
          <w:rFonts w:ascii="Cambria" w:hAnsi="Cambria"/>
          <w:i/>
          <w:iCs/>
          <w:color w:val="000000"/>
          <w:sz w:val="20"/>
          <w:szCs w:val="20"/>
        </w:rPr>
        <w:t>DESEANDO</w:t>
      </w:r>
      <w:r w:rsidRPr="006579DE">
        <w:rPr>
          <w:rFonts w:ascii="Cambria" w:hAnsi="Cambria"/>
          <w:color w:val="000000"/>
          <w:sz w:val="20"/>
          <w:szCs w:val="20"/>
        </w:rPr>
        <w:t xml:space="preserve"> </w:t>
      </w:r>
      <w:r w:rsidR="00213684" w:rsidRPr="006579DE">
        <w:rPr>
          <w:rFonts w:ascii="Cambria" w:hAnsi="Cambria"/>
          <w:color w:val="000000"/>
          <w:sz w:val="20"/>
          <w:szCs w:val="20"/>
        </w:rPr>
        <w:t xml:space="preserve">dar un efecto más claro a </w:t>
      </w:r>
      <w:r w:rsidRPr="006579DE">
        <w:rPr>
          <w:rFonts w:ascii="Cambria" w:hAnsi="Cambria"/>
          <w:color w:val="000000"/>
          <w:sz w:val="20"/>
          <w:szCs w:val="20"/>
        </w:rPr>
        <w:t xml:space="preserve">las disposiciones del Acuerdo de comercio y cooperación entre el Reino Unido y la UE que </w:t>
      </w:r>
      <w:r w:rsidR="00E3434C" w:rsidRPr="006579DE">
        <w:rPr>
          <w:rFonts w:ascii="Cambria" w:hAnsi="Cambria"/>
          <w:color w:val="000000"/>
          <w:sz w:val="20"/>
          <w:szCs w:val="20"/>
        </w:rPr>
        <w:t>establecían</w:t>
      </w:r>
      <w:r w:rsidRPr="006579DE">
        <w:rPr>
          <w:rFonts w:ascii="Cambria" w:hAnsi="Cambria"/>
          <w:color w:val="000000"/>
          <w:sz w:val="20"/>
          <w:szCs w:val="20"/>
        </w:rPr>
        <w:t xml:space="preserve"> </w:t>
      </w:r>
      <w:r w:rsidR="00213684" w:rsidRPr="006579DE">
        <w:rPr>
          <w:rFonts w:ascii="Cambria" w:hAnsi="Cambria"/>
          <w:color w:val="000000"/>
          <w:sz w:val="20"/>
          <w:szCs w:val="20"/>
        </w:rPr>
        <w:t>sus</w:t>
      </w:r>
      <w:r w:rsidRPr="006579DE">
        <w:rPr>
          <w:rFonts w:ascii="Cambria" w:hAnsi="Cambria"/>
          <w:color w:val="000000"/>
          <w:sz w:val="20"/>
          <w:szCs w:val="20"/>
        </w:rPr>
        <w:t xml:space="preserve"> cuotas respectivas para determinad</w:t>
      </w:r>
      <w:r w:rsidR="00E3434C" w:rsidRPr="006579DE">
        <w:rPr>
          <w:rFonts w:ascii="Cambria" w:hAnsi="Cambria"/>
          <w:color w:val="000000"/>
          <w:sz w:val="20"/>
          <w:szCs w:val="20"/>
        </w:rPr>
        <w:t>o</w:t>
      </w:r>
      <w:r w:rsidRPr="006579DE">
        <w:rPr>
          <w:rFonts w:ascii="Cambria" w:hAnsi="Cambria"/>
          <w:color w:val="000000"/>
          <w:sz w:val="20"/>
          <w:szCs w:val="20"/>
        </w:rPr>
        <w:t xml:space="preserve">s </w:t>
      </w:r>
      <w:r w:rsidR="00213684" w:rsidRPr="006579DE">
        <w:rPr>
          <w:rFonts w:ascii="Cambria" w:hAnsi="Cambria"/>
          <w:color w:val="000000"/>
          <w:sz w:val="20"/>
          <w:szCs w:val="20"/>
        </w:rPr>
        <w:t>stocks</w:t>
      </w:r>
      <w:r w:rsidRPr="006579DE">
        <w:rPr>
          <w:rFonts w:ascii="Cambria" w:hAnsi="Cambria"/>
          <w:color w:val="000000"/>
          <w:sz w:val="20"/>
          <w:szCs w:val="20"/>
        </w:rPr>
        <w:t xml:space="preserve"> de ICCAT, incluido el pez espada del Atlántico norte;</w:t>
      </w:r>
    </w:p>
    <w:p w14:paraId="4CCA10A4" w14:textId="0F8B6314" w:rsidR="00E8577C" w:rsidRPr="006579DE" w:rsidRDefault="00E8577C" w:rsidP="00E8577C">
      <w:pPr>
        <w:spacing w:before="249" w:after="0" w:line="240" w:lineRule="auto"/>
        <w:jc w:val="center"/>
        <w:rPr>
          <w:rFonts w:ascii="Cambria" w:eastAsia="Times New Roman" w:hAnsi="Cambria" w:cs="Times New Roman"/>
          <w:sz w:val="20"/>
          <w:szCs w:val="20"/>
        </w:rPr>
      </w:pPr>
      <w:r w:rsidRPr="006579DE">
        <w:rPr>
          <w:rFonts w:ascii="Cambria" w:hAnsi="Cambria"/>
          <w:color w:val="000000"/>
          <w:sz w:val="20"/>
          <w:szCs w:val="20"/>
        </w:rPr>
        <w:t>LA COMISIÓN INTERNACIONAL PARA LA CONSERVACIÓN </w:t>
      </w:r>
    </w:p>
    <w:p w14:paraId="7EED3373" w14:textId="4EF1155B" w:rsidR="00E8577C" w:rsidRPr="006579DE" w:rsidRDefault="00E8577C" w:rsidP="00E8577C">
      <w:pPr>
        <w:spacing w:before="8" w:after="0" w:line="240" w:lineRule="auto"/>
        <w:jc w:val="center"/>
        <w:rPr>
          <w:rFonts w:ascii="Cambria" w:eastAsia="Times New Roman" w:hAnsi="Cambria" w:cs="Times New Roman"/>
          <w:sz w:val="20"/>
          <w:szCs w:val="20"/>
        </w:rPr>
      </w:pPr>
      <w:r w:rsidRPr="006579DE">
        <w:rPr>
          <w:rFonts w:ascii="Cambria" w:hAnsi="Cambria"/>
          <w:color w:val="000000"/>
          <w:sz w:val="20"/>
          <w:szCs w:val="20"/>
        </w:rPr>
        <w:t xml:space="preserve">DEL ATÚN </w:t>
      </w:r>
      <w:r w:rsidR="00630CE9" w:rsidRPr="006579DE">
        <w:rPr>
          <w:rFonts w:ascii="Cambria" w:hAnsi="Cambria"/>
          <w:color w:val="000000"/>
          <w:sz w:val="20"/>
          <w:szCs w:val="20"/>
        </w:rPr>
        <w:t>ATLÁNTICO</w:t>
      </w:r>
      <w:r w:rsidRPr="006579DE">
        <w:rPr>
          <w:rFonts w:ascii="Cambria" w:hAnsi="Cambria"/>
          <w:color w:val="000000"/>
          <w:sz w:val="20"/>
          <w:szCs w:val="20"/>
        </w:rPr>
        <w:t xml:space="preserve"> (ICCAT) RECOMIENDA LO SIGUIENTE: </w:t>
      </w:r>
    </w:p>
    <w:p w14:paraId="39A16A51" w14:textId="1979A8D2" w:rsidR="006B4444" w:rsidRPr="006579DE" w:rsidRDefault="00E8577C" w:rsidP="006B4444">
      <w:pPr>
        <w:spacing w:before="245" w:after="0" w:line="240" w:lineRule="auto"/>
        <w:ind w:left="426" w:right="65" w:hanging="426"/>
        <w:jc w:val="both"/>
        <w:rPr>
          <w:rFonts w:ascii="Cambria" w:eastAsia="Times New Roman" w:hAnsi="Cambria" w:cs="Times New Roman"/>
          <w:color w:val="000000"/>
          <w:sz w:val="20"/>
          <w:szCs w:val="20"/>
        </w:rPr>
      </w:pPr>
      <w:r w:rsidRPr="006579DE">
        <w:rPr>
          <w:rFonts w:ascii="Cambria" w:hAnsi="Cambria"/>
          <w:color w:val="000000"/>
          <w:sz w:val="20"/>
          <w:szCs w:val="20"/>
        </w:rPr>
        <w:t xml:space="preserve">1. </w:t>
      </w:r>
      <w:r w:rsidRPr="006579DE">
        <w:rPr>
          <w:rFonts w:ascii="Cambria" w:hAnsi="Cambria"/>
          <w:color w:val="000000"/>
          <w:sz w:val="20"/>
          <w:szCs w:val="20"/>
        </w:rPr>
        <w:tab/>
        <w:t>Las disposiciones de</w:t>
      </w:r>
      <w:r w:rsidRPr="006579DE">
        <w:rPr>
          <w:rFonts w:ascii="Cambria" w:hAnsi="Cambria"/>
          <w:i/>
          <w:iCs/>
          <w:color w:val="000000"/>
          <w:sz w:val="20"/>
          <w:szCs w:val="20"/>
        </w:rPr>
        <w:t xml:space="preserve"> Recomendación de ICCAT que enmienda la Recomendación 16-03 sobre la conservación del pez espada del Atlántico norte </w:t>
      </w:r>
      <w:r w:rsidRPr="006579DE">
        <w:rPr>
          <w:rFonts w:ascii="Cambria" w:hAnsi="Cambria"/>
          <w:color w:val="000000"/>
          <w:sz w:val="20"/>
          <w:szCs w:val="20"/>
        </w:rPr>
        <w:t>(Rec. 17-02), ampliada y enmendada por la</w:t>
      </w:r>
      <w:r w:rsidRPr="006579DE">
        <w:rPr>
          <w:rFonts w:ascii="Cambria" w:hAnsi="Cambria"/>
          <w:i/>
          <w:iCs/>
          <w:color w:val="000000"/>
          <w:sz w:val="20"/>
          <w:szCs w:val="20"/>
        </w:rPr>
        <w:t xml:space="preserve"> Recomendación suplementaria de ICCAT que amplía y enmienda la Recomendación 17-02 que enmienda la Recomendación 16-03 para la conservación del pez espada del Atlántico norte</w:t>
      </w:r>
      <w:r w:rsidRPr="006579DE">
        <w:rPr>
          <w:rFonts w:ascii="Cambria" w:hAnsi="Cambria"/>
          <w:color w:val="000000"/>
          <w:sz w:val="20"/>
          <w:szCs w:val="20"/>
        </w:rPr>
        <w:t xml:space="preserve"> (Rec. 21-02) se seguirán prorrogando durante 2023, con las siguientes enmiendas: </w:t>
      </w:r>
    </w:p>
    <w:p w14:paraId="43B1C181" w14:textId="322FE2AD" w:rsidR="00E8577C" w:rsidRPr="006579DE" w:rsidRDefault="00E8577C" w:rsidP="00E3434C">
      <w:pPr>
        <w:spacing w:beforeLines="80" w:before="192" w:after="0" w:line="240" w:lineRule="auto"/>
        <w:ind w:left="426"/>
        <w:rPr>
          <w:rFonts w:ascii="Cambria" w:eastAsia="Times New Roman" w:hAnsi="Cambria" w:cs="Times New Roman"/>
          <w:sz w:val="20"/>
          <w:szCs w:val="20"/>
        </w:rPr>
      </w:pPr>
      <w:r w:rsidRPr="006579DE">
        <w:rPr>
          <w:rFonts w:ascii="Cambria" w:hAnsi="Cambria"/>
          <w:color w:val="000000"/>
          <w:sz w:val="20"/>
          <w:szCs w:val="20"/>
        </w:rPr>
        <w:t>A. Los subpárrafos 2a) y b) serán sustituidos por: </w:t>
      </w:r>
    </w:p>
    <w:p w14:paraId="15593BAC" w14:textId="101C0D3C" w:rsidR="00E8577C" w:rsidRPr="006579DE" w:rsidRDefault="00084F97" w:rsidP="00E3434C">
      <w:pPr>
        <w:spacing w:beforeLines="80" w:before="192" w:after="0" w:line="240" w:lineRule="auto"/>
        <w:ind w:left="987" w:hanging="278"/>
        <w:rPr>
          <w:rFonts w:ascii="Cambria" w:eastAsia="Times New Roman" w:hAnsi="Cambria" w:cs="Times New Roman"/>
          <w:sz w:val="20"/>
          <w:szCs w:val="20"/>
        </w:rPr>
      </w:pPr>
      <w:r w:rsidRPr="006579DE">
        <w:rPr>
          <w:rFonts w:ascii="Cambria" w:hAnsi="Cambria"/>
          <w:color w:val="000000"/>
          <w:sz w:val="20"/>
          <w:szCs w:val="20"/>
        </w:rPr>
        <w:t>“</w:t>
      </w:r>
      <w:r w:rsidR="00E8577C" w:rsidRPr="006579DE">
        <w:rPr>
          <w:rFonts w:ascii="Cambria" w:hAnsi="Cambria"/>
          <w:color w:val="000000"/>
          <w:sz w:val="20"/>
          <w:szCs w:val="20"/>
        </w:rPr>
        <w:t>2. TAC y límites de captura</w:t>
      </w:r>
      <w:r w:rsidR="00130704" w:rsidRPr="006579DE">
        <w:rPr>
          <w:rFonts w:ascii="Cambria" w:hAnsi="Cambria"/>
          <w:color w:val="000000"/>
          <w:sz w:val="20"/>
          <w:szCs w:val="20"/>
        </w:rPr>
        <w:t>:</w:t>
      </w:r>
    </w:p>
    <w:p w14:paraId="1B52E5BE" w14:textId="310E3464" w:rsidR="00E8577C" w:rsidRPr="006579DE" w:rsidRDefault="00E8577C" w:rsidP="00E3434C">
      <w:pPr>
        <w:tabs>
          <w:tab w:val="left" w:pos="1276"/>
        </w:tabs>
        <w:spacing w:beforeLines="80" w:before="192" w:after="0" w:line="240" w:lineRule="auto"/>
        <w:ind w:left="1271" w:right="66" w:hanging="420"/>
        <w:jc w:val="both"/>
        <w:rPr>
          <w:rFonts w:ascii="Cambria" w:eastAsia="Times New Roman" w:hAnsi="Cambria" w:cs="Times New Roman"/>
          <w:sz w:val="20"/>
          <w:szCs w:val="20"/>
        </w:rPr>
      </w:pPr>
      <w:r w:rsidRPr="006579DE">
        <w:rPr>
          <w:rFonts w:ascii="Cambria" w:hAnsi="Cambria"/>
          <w:color w:val="000000"/>
          <w:sz w:val="20"/>
          <w:szCs w:val="20"/>
        </w:rPr>
        <w:lastRenderedPageBreak/>
        <w:t xml:space="preserve">a) </w:t>
      </w:r>
      <w:r w:rsidRPr="006579DE">
        <w:rPr>
          <w:rFonts w:ascii="Cambria" w:hAnsi="Cambria"/>
          <w:color w:val="000000"/>
          <w:sz w:val="20"/>
          <w:szCs w:val="20"/>
        </w:rPr>
        <w:tab/>
        <w:t>Se establecerá un total admisible de captura (TAC) de 13.200 t para el pez espada del Atlántico norte para los años 2018, 2019, 2020, 2021, 2022 y 2023: </w:t>
      </w:r>
    </w:p>
    <w:p w14:paraId="56445C99" w14:textId="3FADDD49" w:rsidR="00E8577C" w:rsidRPr="006579DE" w:rsidRDefault="00E8577C" w:rsidP="00E3434C">
      <w:pPr>
        <w:tabs>
          <w:tab w:val="left" w:pos="1276"/>
        </w:tabs>
        <w:spacing w:beforeLines="80" w:before="192" w:after="0" w:line="240" w:lineRule="auto"/>
        <w:ind w:left="1271" w:right="66" w:hanging="420"/>
        <w:jc w:val="both"/>
        <w:rPr>
          <w:rFonts w:ascii="Cambria" w:hAnsi="Cambria"/>
          <w:color w:val="000000"/>
          <w:sz w:val="20"/>
          <w:szCs w:val="20"/>
        </w:rPr>
      </w:pPr>
      <w:r w:rsidRPr="006579DE">
        <w:rPr>
          <w:rFonts w:ascii="Cambria" w:hAnsi="Cambria"/>
          <w:color w:val="000000"/>
          <w:sz w:val="20"/>
          <w:szCs w:val="20"/>
        </w:rPr>
        <w:t xml:space="preserve">b) </w:t>
      </w:r>
      <w:r w:rsidRPr="006579DE">
        <w:rPr>
          <w:rFonts w:ascii="Cambria" w:hAnsi="Cambria"/>
          <w:color w:val="000000"/>
          <w:sz w:val="20"/>
          <w:szCs w:val="20"/>
        </w:rPr>
        <w:tab/>
        <w:t>Los límites de captura anuales que se indican en la tabla a continuación se aplicarán para los años 2018, 2019, 2020, 2021, 2022 y 2023:</w:t>
      </w:r>
    </w:p>
    <w:p w14:paraId="0C0F16A9" w14:textId="39E4FC67" w:rsidR="00084F97" w:rsidRPr="006579DE" w:rsidRDefault="00084F97" w:rsidP="00E3434C">
      <w:pPr>
        <w:tabs>
          <w:tab w:val="left" w:pos="1276"/>
        </w:tabs>
        <w:spacing w:beforeLines="80" w:before="192" w:after="0" w:line="240" w:lineRule="auto"/>
        <w:ind w:left="1271" w:right="66" w:hanging="420"/>
        <w:jc w:val="both"/>
        <w:rPr>
          <w:rFonts w:ascii="Cambria" w:hAnsi="Cambria"/>
          <w:color w:val="000000"/>
          <w:sz w:val="20"/>
          <w:szCs w:val="20"/>
        </w:rPr>
      </w:pPr>
    </w:p>
    <w:tbl>
      <w:tblPr>
        <w:tblW w:w="3530" w:type="pct"/>
        <w:jc w:val="center"/>
        <w:tblCellMar>
          <w:left w:w="70" w:type="dxa"/>
          <w:right w:w="70" w:type="dxa"/>
        </w:tblCellMar>
        <w:tblLook w:val="04A0" w:firstRow="1" w:lastRow="0" w:firstColumn="1" w:lastColumn="0" w:noHBand="0" w:noVBand="1"/>
      </w:tblPr>
      <w:tblGrid>
        <w:gridCol w:w="3270"/>
        <w:gridCol w:w="3120"/>
      </w:tblGrid>
      <w:tr w:rsidR="00084F97" w:rsidRPr="006579DE" w14:paraId="2A71617F" w14:textId="77777777" w:rsidTr="00783164">
        <w:trPr>
          <w:trHeight w:val="288"/>
          <w:jc w:val="center"/>
        </w:trPr>
        <w:tc>
          <w:tcPr>
            <w:tcW w:w="2559" w:type="pct"/>
            <w:tcBorders>
              <w:top w:val="single" w:sz="8" w:space="0" w:color="000000"/>
              <w:left w:val="single" w:sz="8" w:space="0" w:color="000000"/>
              <w:bottom w:val="single" w:sz="4" w:space="0" w:color="auto"/>
              <w:right w:val="single" w:sz="8" w:space="0" w:color="000000"/>
            </w:tcBorders>
            <w:shd w:val="clear" w:color="auto" w:fill="auto"/>
            <w:vAlign w:val="center"/>
          </w:tcPr>
          <w:p w14:paraId="00020CC3" w14:textId="0BEB79BA" w:rsidR="00084F97" w:rsidRPr="006579DE" w:rsidRDefault="00084F97" w:rsidP="00630CE9">
            <w:pPr>
              <w:spacing w:after="0" w:line="240" w:lineRule="auto"/>
              <w:jc w:val="center"/>
              <w:rPr>
                <w:rFonts w:ascii="Cambria" w:eastAsia="Times New Roman" w:hAnsi="Cambria" w:cs="Calibri"/>
                <w:color w:val="000000"/>
                <w:sz w:val="20"/>
                <w:szCs w:val="20"/>
                <w:lang w:eastAsia="es-ES_tradnl"/>
              </w:rPr>
            </w:pPr>
            <w:r w:rsidRPr="006579DE">
              <w:rPr>
                <w:rFonts w:ascii="Cambria" w:hAnsi="Cambria"/>
                <w:i/>
                <w:iCs/>
                <w:color w:val="000000"/>
                <w:sz w:val="20"/>
                <w:szCs w:val="20"/>
              </w:rPr>
              <w:t>CPC</w:t>
            </w:r>
          </w:p>
        </w:tc>
        <w:tc>
          <w:tcPr>
            <w:tcW w:w="2441" w:type="pct"/>
            <w:tcBorders>
              <w:top w:val="single" w:sz="8" w:space="0" w:color="000000"/>
              <w:left w:val="nil"/>
              <w:bottom w:val="single" w:sz="4" w:space="0" w:color="auto"/>
              <w:right w:val="single" w:sz="8" w:space="0" w:color="000000"/>
            </w:tcBorders>
            <w:shd w:val="clear" w:color="auto" w:fill="auto"/>
            <w:vAlign w:val="center"/>
          </w:tcPr>
          <w:p w14:paraId="63A993E2" w14:textId="77777777" w:rsidR="00084F97" w:rsidRPr="006579DE" w:rsidRDefault="00084F97" w:rsidP="00084F97">
            <w:pPr>
              <w:spacing w:after="0" w:line="240" w:lineRule="auto"/>
              <w:jc w:val="center"/>
              <w:rPr>
                <w:rFonts w:ascii="Cambria" w:hAnsi="Cambria"/>
                <w:i/>
                <w:iCs/>
                <w:sz w:val="20"/>
                <w:szCs w:val="20"/>
              </w:rPr>
            </w:pPr>
            <w:r w:rsidRPr="006579DE">
              <w:rPr>
                <w:rFonts w:ascii="Cambria" w:hAnsi="Cambria"/>
                <w:i/>
                <w:iCs/>
                <w:sz w:val="20"/>
                <w:szCs w:val="20"/>
              </w:rPr>
              <w:t>Límite de captura **</w:t>
            </w:r>
          </w:p>
          <w:p w14:paraId="69B045C4" w14:textId="7B9B3198" w:rsidR="00084F97" w:rsidRPr="006579DE" w:rsidRDefault="00084F97" w:rsidP="00084F97">
            <w:pPr>
              <w:spacing w:after="0" w:line="240" w:lineRule="auto"/>
              <w:jc w:val="center"/>
              <w:rPr>
                <w:rFonts w:ascii="Cambria" w:eastAsia="Times New Roman" w:hAnsi="Cambria" w:cs="Calibri"/>
                <w:color w:val="000000"/>
                <w:sz w:val="20"/>
                <w:szCs w:val="20"/>
                <w:lang w:eastAsia="es-ES_tradnl"/>
              </w:rPr>
            </w:pPr>
            <w:r w:rsidRPr="006579DE">
              <w:rPr>
                <w:rFonts w:ascii="Cambria" w:hAnsi="Cambria"/>
                <w:i/>
                <w:iCs/>
                <w:color w:val="000000"/>
                <w:sz w:val="20"/>
                <w:szCs w:val="20"/>
              </w:rPr>
              <w:t>13.200 (t)</w:t>
            </w:r>
          </w:p>
        </w:tc>
      </w:tr>
      <w:tr w:rsidR="00783164" w:rsidRPr="006579DE" w14:paraId="1AD5B1F4"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C1A04"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Unión Europea***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EED62"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6.717,33*</w:t>
            </w:r>
          </w:p>
        </w:tc>
      </w:tr>
      <w:tr w:rsidR="00783164" w:rsidRPr="006579DE" w14:paraId="1D1989C8"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89FF5"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Estados Unidos***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D23F7"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3.907*</w:t>
            </w:r>
          </w:p>
        </w:tc>
      </w:tr>
      <w:tr w:rsidR="00783164" w:rsidRPr="006579DE" w14:paraId="55281554"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78955"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Canadá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C6D40"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1.348*</w:t>
            </w:r>
          </w:p>
        </w:tc>
      </w:tr>
      <w:tr w:rsidR="00783164" w:rsidRPr="006579DE" w14:paraId="1B83648B"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712A0"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Japón***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27F88"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842*</w:t>
            </w:r>
          </w:p>
        </w:tc>
      </w:tr>
      <w:tr w:rsidR="00783164" w:rsidRPr="006579DE" w14:paraId="38569BDD"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4DDB3"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Marruecos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9CE28"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850</w:t>
            </w:r>
          </w:p>
        </w:tc>
      </w:tr>
      <w:tr w:rsidR="00783164" w:rsidRPr="006579DE" w14:paraId="25C47986"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A64420"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México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06D79"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200</w:t>
            </w:r>
          </w:p>
        </w:tc>
      </w:tr>
      <w:tr w:rsidR="00783164" w:rsidRPr="006579DE" w14:paraId="2AE579DB"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76D6DA"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Brasil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D6CD8"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50</w:t>
            </w:r>
          </w:p>
        </w:tc>
      </w:tr>
      <w:tr w:rsidR="00783164" w:rsidRPr="006579DE" w14:paraId="74B26825"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082CD"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Barbados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6CDD0"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45</w:t>
            </w:r>
          </w:p>
        </w:tc>
      </w:tr>
      <w:tr w:rsidR="00783164" w:rsidRPr="006579DE" w14:paraId="3FC8FF56"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24D7F"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Venezuela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FD4C"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85</w:t>
            </w:r>
          </w:p>
        </w:tc>
      </w:tr>
      <w:tr w:rsidR="00783164" w:rsidRPr="006579DE" w14:paraId="16524A01"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F85EF6"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Trinidad y Tobago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5FB93D"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125</w:t>
            </w:r>
          </w:p>
        </w:tc>
      </w:tr>
      <w:tr w:rsidR="00783164" w:rsidRPr="006579DE" w14:paraId="57B13CC8"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DD11E"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Reino Unido</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C540C"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35,67</w:t>
            </w:r>
          </w:p>
        </w:tc>
      </w:tr>
      <w:tr w:rsidR="00783164" w:rsidRPr="006579DE" w14:paraId="539198E2"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759820"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 xml:space="preserve">Francia (San Pedro y Miquelón)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9EACD"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40</w:t>
            </w:r>
          </w:p>
        </w:tc>
      </w:tr>
      <w:tr w:rsidR="00783164" w:rsidRPr="006579DE" w14:paraId="7B02BD87"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2EAD9"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China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84B04"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100</w:t>
            </w:r>
          </w:p>
        </w:tc>
      </w:tr>
      <w:tr w:rsidR="00783164" w:rsidRPr="006579DE" w14:paraId="2D56973E"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DE598"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Senegal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DD44F"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250</w:t>
            </w:r>
          </w:p>
        </w:tc>
      </w:tr>
      <w:tr w:rsidR="00783164" w:rsidRPr="006579DE" w14:paraId="358C8B63"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4F65F"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Corea***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C8AFA"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50</w:t>
            </w:r>
          </w:p>
        </w:tc>
      </w:tr>
      <w:tr w:rsidR="00783164" w:rsidRPr="006579DE" w14:paraId="4929E3E3"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CC2463"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Belice***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CD87D"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130</w:t>
            </w:r>
          </w:p>
        </w:tc>
      </w:tr>
      <w:tr w:rsidR="00783164" w:rsidRPr="006579DE" w14:paraId="6D8C8DEC"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8694F"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Côte d’Ivoire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CE07B"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50</w:t>
            </w:r>
          </w:p>
        </w:tc>
      </w:tr>
      <w:tr w:rsidR="00783164" w:rsidRPr="006579DE" w14:paraId="7936DE1A"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2D7C43"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 xml:space="preserve">San Vicente y Las Granadinas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4F4FA"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75</w:t>
            </w:r>
          </w:p>
        </w:tc>
      </w:tr>
      <w:tr w:rsidR="00783164" w:rsidRPr="006579DE" w14:paraId="55F79DBD" w14:textId="77777777" w:rsidTr="00783164">
        <w:trPr>
          <w:trHeight w:val="288"/>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F38FFE"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Vanuatu </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E7E98D"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25</w:t>
            </w:r>
          </w:p>
        </w:tc>
      </w:tr>
      <w:tr w:rsidR="00783164" w:rsidRPr="006579DE" w14:paraId="400225A1" w14:textId="77777777" w:rsidTr="00783164">
        <w:trPr>
          <w:trHeight w:val="300"/>
          <w:jc w:val="center"/>
        </w:trPr>
        <w:tc>
          <w:tcPr>
            <w:tcW w:w="2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3B7F" w14:textId="77777777" w:rsidR="00084F97" w:rsidRPr="006579DE" w:rsidRDefault="00084F97" w:rsidP="00084F97">
            <w:pPr>
              <w:spacing w:after="0" w:line="240" w:lineRule="auto"/>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Taipei Chino</w:t>
            </w:r>
          </w:p>
        </w:tc>
        <w:tc>
          <w:tcPr>
            <w:tcW w:w="24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636D4" w14:textId="77777777" w:rsidR="00084F97" w:rsidRPr="006579DE" w:rsidRDefault="00084F97" w:rsidP="00084F97">
            <w:pPr>
              <w:spacing w:after="0" w:line="240" w:lineRule="auto"/>
              <w:jc w:val="center"/>
              <w:rPr>
                <w:rFonts w:ascii="Cambria" w:eastAsia="Times New Roman" w:hAnsi="Cambria" w:cs="Calibri"/>
                <w:color w:val="000000"/>
                <w:sz w:val="20"/>
                <w:szCs w:val="20"/>
                <w:lang w:val="es-ES_tradnl" w:eastAsia="es-ES_tradnl"/>
              </w:rPr>
            </w:pPr>
            <w:r w:rsidRPr="006579DE">
              <w:rPr>
                <w:rFonts w:ascii="Cambria" w:eastAsia="Times New Roman" w:hAnsi="Cambria" w:cs="Calibri"/>
                <w:color w:val="000000"/>
                <w:sz w:val="20"/>
                <w:szCs w:val="20"/>
                <w:lang w:eastAsia="es-ES_tradnl"/>
              </w:rPr>
              <w:t>270</w:t>
            </w:r>
          </w:p>
        </w:tc>
      </w:tr>
    </w:tbl>
    <w:p w14:paraId="293C8E13" w14:textId="20AE38DC" w:rsidR="00E8577C" w:rsidRPr="006579DE" w:rsidRDefault="00E8577C" w:rsidP="00130704">
      <w:pPr>
        <w:spacing w:after="0" w:line="240" w:lineRule="auto"/>
        <w:ind w:left="1121" w:right="497" w:firstLine="3"/>
        <w:jc w:val="both"/>
        <w:rPr>
          <w:rFonts w:ascii="Cambria" w:eastAsia="Times New Roman" w:hAnsi="Cambria" w:cs="Times New Roman"/>
          <w:sz w:val="16"/>
          <w:szCs w:val="16"/>
        </w:rPr>
      </w:pPr>
      <w:r w:rsidRPr="006579DE">
        <w:rPr>
          <w:rFonts w:ascii="Cambria" w:hAnsi="Cambria"/>
          <w:color w:val="000000"/>
          <w:sz w:val="16"/>
          <w:szCs w:val="16"/>
        </w:rPr>
        <w:t>*</w:t>
      </w:r>
      <w:r w:rsidR="00213684" w:rsidRPr="006579DE">
        <w:rPr>
          <w:sz w:val="16"/>
          <w:szCs w:val="16"/>
        </w:rPr>
        <w:t xml:space="preserve"> </w:t>
      </w:r>
      <w:r w:rsidR="00213684" w:rsidRPr="006579DE">
        <w:rPr>
          <w:rFonts w:ascii="Cambria" w:hAnsi="Cambria"/>
          <w:color w:val="000000"/>
          <w:sz w:val="16"/>
          <w:szCs w:val="16"/>
        </w:rPr>
        <w:t xml:space="preserve">A pesar del ajuste de la cuota de la UE </w:t>
      </w:r>
      <w:r w:rsidR="00E3434C" w:rsidRPr="006579DE">
        <w:rPr>
          <w:rFonts w:ascii="Cambria" w:hAnsi="Cambria"/>
          <w:color w:val="000000"/>
          <w:sz w:val="16"/>
          <w:szCs w:val="16"/>
        </w:rPr>
        <w:t>de</w:t>
      </w:r>
      <w:r w:rsidR="00213684" w:rsidRPr="006579DE">
        <w:rPr>
          <w:rFonts w:ascii="Cambria" w:hAnsi="Cambria"/>
          <w:color w:val="000000"/>
          <w:sz w:val="16"/>
          <w:szCs w:val="16"/>
        </w:rPr>
        <w:t xml:space="preserve"> 0,67 t con arreglo al Acuerdo de Comercio y Cooperación entre el Reino Unido y la UE, que establec</w:t>
      </w:r>
      <w:r w:rsidR="00E3434C" w:rsidRPr="006579DE">
        <w:rPr>
          <w:rFonts w:ascii="Cambria" w:hAnsi="Cambria"/>
          <w:color w:val="000000"/>
          <w:sz w:val="16"/>
          <w:szCs w:val="16"/>
        </w:rPr>
        <w:t>e</w:t>
      </w:r>
      <w:r w:rsidR="00213684" w:rsidRPr="006579DE">
        <w:rPr>
          <w:rFonts w:ascii="Cambria" w:hAnsi="Cambria"/>
          <w:color w:val="000000"/>
          <w:sz w:val="16"/>
          <w:szCs w:val="16"/>
        </w:rPr>
        <w:t xml:space="preserve"> sus respectivas cuotas para el stock pez espada del Atlántico norte y otros stocks,</w:t>
      </w:r>
      <w:r w:rsidRPr="006579DE">
        <w:rPr>
          <w:rFonts w:ascii="Cambria" w:hAnsi="Cambria"/>
          <w:color w:val="000000"/>
          <w:sz w:val="16"/>
          <w:szCs w:val="16"/>
        </w:rPr>
        <w:t xml:space="preserve"> </w:t>
      </w:r>
      <w:r w:rsidR="00213684" w:rsidRPr="006579DE">
        <w:rPr>
          <w:rFonts w:ascii="Cambria" w:hAnsi="Cambria"/>
          <w:color w:val="000000"/>
          <w:sz w:val="16"/>
          <w:szCs w:val="16"/>
        </w:rPr>
        <w:t>l</w:t>
      </w:r>
      <w:r w:rsidRPr="006579DE">
        <w:rPr>
          <w:rFonts w:ascii="Cambria" w:hAnsi="Cambria"/>
          <w:color w:val="000000"/>
          <w:sz w:val="16"/>
          <w:szCs w:val="16"/>
        </w:rPr>
        <w:t xml:space="preserve">os límites de captura de estas cuatro CPC se basan en la asignación de cuota incluida en el párrafo 3 c) de la </w:t>
      </w:r>
      <w:r w:rsidRPr="006579DE">
        <w:rPr>
          <w:rFonts w:ascii="Cambria" w:hAnsi="Cambria"/>
          <w:i/>
          <w:iCs/>
          <w:color w:val="000000"/>
          <w:sz w:val="16"/>
          <w:szCs w:val="16"/>
        </w:rPr>
        <w:t>Recomendación suplementaria de ICCAT para enmendar el programa de recuperación del pez espada del Atlántico norte</w:t>
      </w:r>
      <w:r w:rsidRPr="006579DE">
        <w:rPr>
          <w:rFonts w:ascii="Cambria" w:hAnsi="Cambria"/>
          <w:color w:val="000000"/>
          <w:sz w:val="16"/>
          <w:szCs w:val="16"/>
        </w:rPr>
        <w:t xml:space="preserve"> (Rec. 06-02)</w:t>
      </w:r>
      <w:r w:rsidR="00130704" w:rsidRPr="006579DE">
        <w:rPr>
          <w:rFonts w:ascii="Cambria" w:hAnsi="Cambria"/>
          <w:color w:val="000000"/>
          <w:sz w:val="16"/>
          <w:szCs w:val="16"/>
        </w:rPr>
        <w:t xml:space="preserve"> de 2006</w:t>
      </w:r>
      <w:r w:rsidRPr="006579DE">
        <w:rPr>
          <w:rFonts w:ascii="Cambria" w:hAnsi="Cambria"/>
          <w:color w:val="000000"/>
          <w:sz w:val="16"/>
          <w:szCs w:val="16"/>
        </w:rPr>
        <w:t>. </w:t>
      </w:r>
    </w:p>
    <w:p w14:paraId="132332B7" w14:textId="47D7B573" w:rsidR="00E8577C" w:rsidRPr="006579DE" w:rsidRDefault="00E8577C" w:rsidP="00E8577C">
      <w:pPr>
        <w:spacing w:before="240" w:after="0" w:line="240" w:lineRule="auto"/>
        <w:ind w:left="1124"/>
        <w:rPr>
          <w:rFonts w:ascii="Cambria" w:eastAsia="Times New Roman" w:hAnsi="Cambria" w:cs="Times New Roman"/>
          <w:sz w:val="16"/>
          <w:szCs w:val="16"/>
        </w:rPr>
      </w:pPr>
      <w:r w:rsidRPr="006579DE">
        <w:rPr>
          <w:rFonts w:ascii="Cambria" w:hAnsi="Cambria"/>
          <w:color w:val="000000"/>
          <w:sz w:val="16"/>
          <w:szCs w:val="16"/>
        </w:rPr>
        <w:t>** Se autorizarán las siguientes transferencias de límites de captura anuales: </w:t>
      </w:r>
    </w:p>
    <w:p w14:paraId="485D58B8" w14:textId="51909609" w:rsidR="00E8577C" w:rsidRPr="006579DE" w:rsidRDefault="00E8577C" w:rsidP="00130704">
      <w:pPr>
        <w:spacing w:before="2" w:after="0" w:line="240" w:lineRule="auto"/>
        <w:ind w:left="1835" w:right="636"/>
        <w:jc w:val="both"/>
        <w:rPr>
          <w:rFonts w:ascii="Cambria" w:eastAsia="Times New Roman" w:hAnsi="Cambria" w:cs="Times New Roman"/>
          <w:sz w:val="16"/>
          <w:szCs w:val="16"/>
        </w:rPr>
      </w:pPr>
      <w:r w:rsidRPr="006579DE">
        <w:rPr>
          <w:rFonts w:ascii="Cambria" w:hAnsi="Cambria"/>
          <w:color w:val="000000"/>
          <w:sz w:val="16"/>
          <w:szCs w:val="16"/>
        </w:rPr>
        <w:t>De Japón a Marruecos: 100 t, para cada uno de los años 2018 y 2019, y 150 t para cada uno de los años 2020, 2021, 2022 y 2023.</w:t>
      </w:r>
    </w:p>
    <w:p w14:paraId="40215433" w14:textId="77777777" w:rsidR="00E8577C" w:rsidRPr="006579DE" w:rsidRDefault="00E8577C" w:rsidP="00E8577C">
      <w:pPr>
        <w:spacing w:before="2" w:after="0" w:line="240" w:lineRule="auto"/>
        <w:ind w:left="1835" w:right="636"/>
        <w:rPr>
          <w:rFonts w:ascii="Cambria" w:eastAsia="Times New Roman" w:hAnsi="Cambria" w:cs="Times New Roman"/>
          <w:sz w:val="16"/>
          <w:szCs w:val="16"/>
        </w:rPr>
      </w:pPr>
      <w:r w:rsidRPr="006579DE">
        <w:rPr>
          <w:rFonts w:ascii="Cambria" w:hAnsi="Cambria"/>
          <w:color w:val="000000"/>
          <w:sz w:val="16"/>
          <w:szCs w:val="16"/>
        </w:rPr>
        <w:t>De Japón a Canadá: 35 t </w:t>
      </w:r>
    </w:p>
    <w:p w14:paraId="59A7FBB2" w14:textId="77777777" w:rsidR="00E8577C" w:rsidRPr="006579DE" w:rsidRDefault="00E8577C" w:rsidP="00E8577C">
      <w:pPr>
        <w:spacing w:before="4" w:after="0" w:line="240" w:lineRule="auto"/>
        <w:ind w:left="1835"/>
        <w:rPr>
          <w:rFonts w:ascii="Cambria" w:eastAsia="Times New Roman" w:hAnsi="Cambria" w:cs="Times New Roman"/>
          <w:sz w:val="16"/>
          <w:szCs w:val="16"/>
        </w:rPr>
      </w:pPr>
      <w:r w:rsidRPr="006579DE">
        <w:rPr>
          <w:rFonts w:ascii="Cambria" w:hAnsi="Cambria"/>
          <w:color w:val="000000"/>
          <w:sz w:val="16"/>
          <w:szCs w:val="16"/>
        </w:rPr>
        <w:t>De la UE a Francia (San Pedro y Miquelón): 40 t </w:t>
      </w:r>
    </w:p>
    <w:p w14:paraId="1C6FCD55" w14:textId="77777777" w:rsidR="00E8577C" w:rsidRPr="006579DE" w:rsidRDefault="00E8577C" w:rsidP="00E8577C">
      <w:pPr>
        <w:spacing w:after="0" w:line="240" w:lineRule="auto"/>
        <w:ind w:left="1835"/>
        <w:rPr>
          <w:rFonts w:ascii="Cambria" w:eastAsia="Times New Roman" w:hAnsi="Cambria" w:cs="Times New Roman"/>
          <w:sz w:val="16"/>
          <w:szCs w:val="16"/>
        </w:rPr>
      </w:pPr>
      <w:r w:rsidRPr="006579DE">
        <w:rPr>
          <w:rFonts w:ascii="Cambria" w:hAnsi="Cambria"/>
          <w:color w:val="000000"/>
          <w:sz w:val="16"/>
          <w:szCs w:val="16"/>
        </w:rPr>
        <w:t>De Venezuela a Francia (San Pedro y Miquelón): 12,75 t </w:t>
      </w:r>
    </w:p>
    <w:p w14:paraId="0824FE6A" w14:textId="77777777" w:rsidR="00E8577C" w:rsidRPr="006579DE" w:rsidRDefault="00E8577C" w:rsidP="00E8577C">
      <w:pPr>
        <w:spacing w:after="0" w:line="240" w:lineRule="auto"/>
        <w:ind w:left="1835"/>
        <w:rPr>
          <w:rFonts w:ascii="Cambria" w:eastAsia="Times New Roman" w:hAnsi="Cambria" w:cs="Times New Roman"/>
          <w:sz w:val="16"/>
          <w:szCs w:val="16"/>
        </w:rPr>
      </w:pPr>
      <w:r w:rsidRPr="006579DE">
        <w:rPr>
          <w:rFonts w:ascii="Cambria" w:hAnsi="Cambria"/>
          <w:color w:val="000000"/>
          <w:sz w:val="16"/>
          <w:szCs w:val="16"/>
        </w:rPr>
        <w:t>De Senegal a Canadá: 125 t </w:t>
      </w:r>
    </w:p>
    <w:p w14:paraId="0E40D565" w14:textId="77777777" w:rsidR="00E8577C" w:rsidRPr="006579DE" w:rsidRDefault="00E8577C" w:rsidP="00E8577C">
      <w:pPr>
        <w:spacing w:after="0" w:line="240" w:lineRule="auto"/>
        <w:ind w:left="1835"/>
        <w:rPr>
          <w:rFonts w:ascii="Cambria" w:eastAsia="Times New Roman" w:hAnsi="Cambria" w:cs="Times New Roman"/>
          <w:sz w:val="16"/>
          <w:szCs w:val="16"/>
        </w:rPr>
      </w:pPr>
      <w:r w:rsidRPr="006579DE">
        <w:rPr>
          <w:rFonts w:ascii="Cambria" w:hAnsi="Cambria"/>
          <w:color w:val="000000"/>
          <w:sz w:val="16"/>
          <w:szCs w:val="16"/>
        </w:rPr>
        <w:t>De Trinidad y Tobago a Belice: 75 t </w:t>
      </w:r>
    </w:p>
    <w:p w14:paraId="68472F99" w14:textId="77777777" w:rsidR="00E8577C" w:rsidRPr="006579DE" w:rsidRDefault="00E8577C" w:rsidP="00E8577C">
      <w:pPr>
        <w:spacing w:after="0" w:line="240" w:lineRule="auto"/>
        <w:ind w:left="1835"/>
        <w:rPr>
          <w:rFonts w:ascii="Cambria" w:eastAsia="Times New Roman" w:hAnsi="Cambria" w:cs="Times New Roman"/>
          <w:sz w:val="16"/>
          <w:szCs w:val="16"/>
        </w:rPr>
      </w:pPr>
      <w:r w:rsidRPr="006579DE">
        <w:rPr>
          <w:rFonts w:ascii="Cambria" w:hAnsi="Cambria"/>
          <w:color w:val="000000"/>
          <w:sz w:val="16"/>
          <w:szCs w:val="16"/>
        </w:rPr>
        <w:t>De Taipei Chino a Canadá: 35 t </w:t>
      </w:r>
    </w:p>
    <w:p w14:paraId="0DF9EB5C" w14:textId="0057D1B1" w:rsidR="00E8577C" w:rsidRPr="006579DE" w:rsidRDefault="00E8577C" w:rsidP="00E8577C">
      <w:pPr>
        <w:spacing w:before="2" w:after="0" w:line="240" w:lineRule="auto"/>
        <w:ind w:left="1829" w:right="72" w:firstLine="7"/>
        <w:jc w:val="both"/>
        <w:rPr>
          <w:rFonts w:ascii="Cambria" w:eastAsia="Times New Roman" w:hAnsi="Cambria" w:cs="Times New Roman"/>
          <w:sz w:val="16"/>
          <w:szCs w:val="16"/>
        </w:rPr>
      </w:pPr>
      <w:r w:rsidRPr="006579DE">
        <w:rPr>
          <w:rFonts w:ascii="Cambria" w:hAnsi="Cambria"/>
          <w:color w:val="000000"/>
          <w:sz w:val="16"/>
          <w:szCs w:val="16"/>
        </w:rPr>
        <w:t>De Brasil, Japón y Senegal a Mauritania: 25 t cada uno por un total de 75 t para 2018, 2019, 2020, 202</w:t>
      </w:r>
      <w:r w:rsidR="00617FE8" w:rsidRPr="006579DE">
        <w:rPr>
          <w:rFonts w:ascii="Cambria" w:hAnsi="Cambria"/>
          <w:color w:val="000000"/>
          <w:sz w:val="16"/>
          <w:szCs w:val="16"/>
        </w:rPr>
        <w:t>1,</w:t>
      </w:r>
      <w:r w:rsidRPr="006579DE">
        <w:rPr>
          <w:rFonts w:ascii="Cambria" w:hAnsi="Cambria"/>
          <w:color w:val="000000"/>
          <w:sz w:val="16"/>
          <w:szCs w:val="16"/>
        </w:rPr>
        <w:t xml:space="preserve"> 2022</w:t>
      </w:r>
      <w:r w:rsidR="00617FE8" w:rsidRPr="006579DE">
        <w:rPr>
          <w:rFonts w:ascii="Cambria" w:hAnsi="Cambria"/>
          <w:color w:val="000000"/>
          <w:sz w:val="16"/>
          <w:szCs w:val="16"/>
        </w:rPr>
        <w:t xml:space="preserve"> y </w:t>
      </w:r>
      <w:r w:rsidRPr="006579DE">
        <w:rPr>
          <w:rFonts w:ascii="Cambria" w:hAnsi="Cambria"/>
          <w:color w:val="000000"/>
          <w:sz w:val="16"/>
          <w:szCs w:val="16"/>
        </w:rPr>
        <w:t>2023, a condición de que Mauritania presente su plan de desarrollo conforme al párrafo 5 de esta Recomendación. Si no ha presentado un plan de desarrollo, estas transferencias se considerarán anuladas. Las futuras decisiones respecto al acceso de Mauritania a la pesquería de pez espada del Atlántico norte dependerán de la presentación de su plan de desarrollo. </w:t>
      </w:r>
    </w:p>
    <w:p w14:paraId="47C6D5AE" w14:textId="3EAD69BB" w:rsidR="00E8577C" w:rsidRPr="006579DE" w:rsidRDefault="00E8577C" w:rsidP="00E8577C">
      <w:pPr>
        <w:spacing w:before="4" w:after="0" w:line="240" w:lineRule="auto"/>
        <w:ind w:left="1835"/>
        <w:rPr>
          <w:rFonts w:ascii="Cambria" w:eastAsia="Times New Roman" w:hAnsi="Cambria" w:cs="Times New Roman"/>
          <w:sz w:val="16"/>
          <w:szCs w:val="16"/>
        </w:rPr>
      </w:pPr>
      <w:r w:rsidRPr="006579DE">
        <w:rPr>
          <w:rFonts w:ascii="Cambria" w:hAnsi="Cambria"/>
          <w:color w:val="000000"/>
          <w:sz w:val="16"/>
          <w:szCs w:val="16"/>
        </w:rPr>
        <w:t>De Trinidad y Tobago a Marruecos: 25 t para cada uno de los años 2020, 2021, 2022 y 2023</w:t>
      </w:r>
    </w:p>
    <w:p w14:paraId="320042F6" w14:textId="1E3FCC4D" w:rsidR="00E8577C" w:rsidRPr="006579DE" w:rsidRDefault="00E8577C" w:rsidP="00130704">
      <w:pPr>
        <w:spacing w:before="2" w:after="0" w:line="240" w:lineRule="auto"/>
        <w:ind w:left="1836"/>
        <w:jc w:val="both"/>
        <w:rPr>
          <w:rFonts w:ascii="Cambria" w:eastAsia="Times New Roman" w:hAnsi="Cambria" w:cs="Times New Roman"/>
          <w:sz w:val="16"/>
          <w:szCs w:val="16"/>
        </w:rPr>
      </w:pPr>
      <w:r w:rsidRPr="006579DE">
        <w:rPr>
          <w:rFonts w:ascii="Cambria" w:hAnsi="Cambria"/>
          <w:color w:val="000000"/>
          <w:sz w:val="16"/>
          <w:szCs w:val="16"/>
        </w:rPr>
        <w:t>De Taipei Chino a Marruecos: 20 t para cada uno de los años 2020, 2021, 2022 y 2023 </w:t>
      </w:r>
    </w:p>
    <w:p w14:paraId="0DAF3644" w14:textId="77777777" w:rsidR="00E8577C" w:rsidRPr="006579DE" w:rsidRDefault="00E8577C" w:rsidP="00130704">
      <w:pPr>
        <w:spacing w:before="221" w:after="0" w:line="240" w:lineRule="auto"/>
        <w:rPr>
          <w:rFonts w:ascii="Cambria" w:eastAsia="Times New Roman" w:hAnsi="Cambria" w:cs="Times New Roman"/>
          <w:sz w:val="16"/>
          <w:szCs w:val="16"/>
        </w:rPr>
      </w:pPr>
      <w:r w:rsidRPr="006579DE">
        <w:rPr>
          <w:rFonts w:ascii="Cambria" w:hAnsi="Cambria"/>
          <w:color w:val="000000"/>
          <w:sz w:val="16"/>
          <w:szCs w:val="16"/>
        </w:rPr>
        <w:t>Estas transferencias no modifican las asignaciones relativas de las CPC reflejadas en los límites de captura anteriores. </w:t>
      </w:r>
    </w:p>
    <w:p w14:paraId="15C18BD9" w14:textId="77777777" w:rsidR="00E8577C" w:rsidRPr="006579DE" w:rsidRDefault="00E8577C" w:rsidP="006B4444">
      <w:pPr>
        <w:spacing w:before="79" w:after="0" w:line="240" w:lineRule="auto"/>
        <w:ind w:left="1153" w:right="1018" w:hanging="267"/>
        <w:jc w:val="both"/>
        <w:rPr>
          <w:rFonts w:ascii="Cambria" w:eastAsia="Times New Roman" w:hAnsi="Cambria" w:cs="Times New Roman"/>
          <w:sz w:val="16"/>
          <w:szCs w:val="16"/>
        </w:rPr>
      </w:pPr>
      <w:r w:rsidRPr="006579DE">
        <w:rPr>
          <w:rFonts w:ascii="Cambria" w:hAnsi="Cambria"/>
          <w:color w:val="000000"/>
          <w:sz w:val="16"/>
          <w:szCs w:val="16"/>
        </w:rPr>
        <w:t>***Se autorizará a Japón a contabilizar hasta 400 t de su captura de pez espada en la zona de ordenación del Atlántico sur en compensación por la parte no capturada de su límite de captura de pez espada del Atlántico norte. </w:t>
      </w:r>
    </w:p>
    <w:p w14:paraId="3D1EBFB3" w14:textId="77777777" w:rsidR="00E8577C" w:rsidRPr="006579DE" w:rsidRDefault="00E8577C" w:rsidP="006B4444">
      <w:pPr>
        <w:spacing w:before="192" w:after="0" w:line="240" w:lineRule="auto"/>
        <w:ind w:left="1153" w:right="1066" w:firstLine="5"/>
        <w:jc w:val="both"/>
        <w:rPr>
          <w:rFonts w:ascii="Cambria" w:eastAsia="Times New Roman" w:hAnsi="Cambria" w:cs="Times New Roman"/>
          <w:sz w:val="16"/>
          <w:szCs w:val="16"/>
        </w:rPr>
      </w:pPr>
      <w:r w:rsidRPr="006579DE">
        <w:rPr>
          <w:rFonts w:ascii="Cambria" w:hAnsi="Cambria"/>
          <w:color w:val="000000"/>
          <w:sz w:val="16"/>
          <w:szCs w:val="16"/>
        </w:rPr>
        <w:lastRenderedPageBreak/>
        <w:t>Se autorizará a la Unión Europea a contabilizar hasta 200 t de su captura de pez espada en la zona de ordenación del Atlántico sur en compensación por la parte no capturada de su límite de captura de pez espada del Atlántico norte. </w:t>
      </w:r>
    </w:p>
    <w:p w14:paraId="5FAD14E3" w14:textId="77777777" w:rsidR="00E8577C" w:rsidRPr="006579DE" w:rsidRDefault="00E8577C" w:rsidP="006B4444">
      <w:pPr>
        <w:spacing w:before="190" w:after="0" w:line="240" w:lineRule="auto"/>
        <w:ind w:left="1155" w:right="1065" w:hanging="1"/>
        <w:jc w:val="both"/>
        <w:rPr>
          <w:rFonts w:ascii="Cambria" w:eastAsia="Times New Roman" w:hAnsi="Cambria" w:cs="Times New Roman"/>
          <w:sz w:val="16"/>
          <w:szCs w:val="16"/>
        </w:rPr>
      </w:pPr>
      <w:r w:rsidRPr="006579DE">
        <w:rPr>
          <w:rFonts w:ascii="Cambria" w:hAnsi="Cambria"/>
          <w:color w:val="000000"/>
          <w:sz w:val="16"/>
          <w:szCs w:val="16"/>
        </w:rPr>
        <w:t>Se autorizará a Estados Unidos a contabilizar hasta 200 t de su captura de pez espada en la zona entre 5º latitud norte y 5º latitud sur en compensación por la parte no capturada de su límite de captura de pez espada del Atlántico norte. </w:t>
      </w:r>
    </w:p>
    <w:p w14:paraId="0E0720A9" w14:textId="77777777" w:rsidR="00E8577C" w:rsidRPr="006579DE" w:rsidRDefault="00E8577C" w:rsidP="006B4444">
      <w:pPr>
        <w:spacing w:before="192" w:after="0" w:line="240" w:lineRule="auto"/>
        <w:ind w:left="1157" w:right="1066" w:hanging="2"/>
        <w:jc w:val="both"/>
        <w:rPr>
          <w:rFonts w:ascii="Cambria" w:eastAsia="Times New Roman" w:hAnsi="Cambria" w:cs="Times New Roman"/>
          <w:sz w:val="16"/>
          <w:szCs w:val="16"/>
        </w:rPr>
      </w:pPr>
      <w:r w:rsidRPr="006579DE">
        <w:rPr>
          <w:rFonts w:ascii="Cambria" w:hAnsi="Cambria"/>
          <w:color w:val="000000"/>
          <w:sz w:val="16"/>
          <w:szCs w:val="16"/>
        </w:rPr>
        <w:t>Se autorizará a Belice a contabilizar hasta 75 t de su captura de pez espada en la zona entre 5º latitud norte y 5º latitud sur en compensación por la parte no capturada de su límite de captura de pez espada del Atlántico norte. </w:t>
      </w:r>
    </w:p>
    <w:p w14:paraId="427C9EDA" w14:textId="25E2AF6C" w:rsidR="00E8577C" w:rsidRPr="006579DE" w:rsidRDefault="00CD531E" w:rsidP="006B4444">
      <w:pPr>
        <w:spacing w:before="190" w:after="0" w:line="240" w:lineRule="auto"/>
        <w:ind w:left="1153" w:right="1065" w:firstLine="5"/>
        <w:jc w:val="both"/>
        <w:rPr>
          <w:rFonts w:ascii="Cambria" w:eastAsia="Times New Roman" w:hAnsi="Cambria" w:cs="Times New Roman"/>
          <w:sz w:val="16"/>
          <w:szCs w:val="16"/>
        </w:rPr>
      </w:pPr>
      <w:r w:rsidRPr="006579DE">
        <w:rPr>
          <w:rFonts w:ascii="Cambria" w:hAnsi="Cambria"/>
          <w:color w:val="000000"/>
          <w:sz w:val="16"/>
          <w:szCs w:val="16"/>
        </w:rPr>
        <w:t>Se autorizará a Corea a contabilizar hasta 25 t de su captura de pez espada en la zona de ordenación del Atlántico sur en 2018, 2019, 2020, 2021, 2022 y 2023 en compensación por la parte no capturada de su límite de captura del Atlántico norte.” </w:t>
      </w:r>
    </w:p>
    <w:p w14:paraId="41E6F886" w14:textId="77777777" w:rsidR="00E8577C" w:rsidRPr="006579DE" w:rsidRDefault="00E8577C" w:rsidP="006B4444">
      <w:pPr>
        <w:spacing w:before="254" w:after="0" w:line="240" w:lineRule="auto"/>
        <w:ind w:left="563" w:hanging="421"/>
        <w:rPr>
          <w:rFonts w:ascii="Cambria" w:eastAsia="Times New Roman" w:hAnsi="Cambria" w:cs="Times New Roman"/>
          <w:sz w:val="20"/>
          <w:szCs w:val="20"/>
        </w:rPr>
      </w:pPr>
      <w:r w:rsidRPr="006579DE">
        <w:rPr>
          <w:rFonts w:ascii="Cambria" w:hAnsi="Cambria"/>
          <w:color w:val="000000"/>
          <w:sz w:val="20"/>
          <w:szCs w:val="20"/>
        </w:rPr>
        <w:t>B. El párrafo 3, se sustituirá por: </w:t>
      </w:r>
    </w:p>
    <w:p w14:paraId="21E23043" w14:textId="7F3C87A6" w:rsidR="00E8577C" w:rsidRPr="006579DE" w:rsidRDefault="00E8577C" w:rsidP="006B4444">
      <w:pPr>
        <w:spacing w:before="245" w:after="0" w:line="240" w:lineRule="auto"/>
        <w:ind w:left="426" w:right="65" w:hanging="284"/>
        <w:jc w:val="both"/>
        <w:rPr>
          <w:rFonts w:ascii="Cambria" w:eastAsia="Times New Roman" w:hAnsi="Cambria" w:cs="Times New Roman"/>
          <w:sz w:val="20"/>
          <w:szCs w:val="20"/>
        </w:rPr>
      </w:pPr>
      <w:r w:rsidRPr="006579DE">
        <w:rPr>
          <w:rFonts w:ascii="Cambria" w:hAnsi="Cambria"/>
          <w:color w:val="000000"/>
          <w:sz w:val="20"/>
          <w:szCs w:val="20"/>
        </w:rPr>
        <w:t xml:space="preserve">"3. </w:t>
      </w:r>
      <w:r w:rsidRPr="006579DE">
        <w:rPr>
          <w:rFonts w:ascii="Cambria" w:hAnsi="Cambria"/>
          <w:color w:val="000000"/>
          <w:sz w:val="20"/>
          <w:szCs w:val="20"/>
        </w:rPr>
        <w:tab/>
        <w:t>Cualquier proporción no utilizada o que supere la cuota anual ajustada, se puede añadir a o se deducirá de, según el caso, la cuota/límite de captura respectivo, durante o antes del año de ajuste, de la siguiente forma:</w:t>
      </w:r>
    </w:p>
    <w:tbl>
      <w:tblPr>
        <w:tblW w:w="0" w:type="auto"/>
        <w:jc w:val="center"/>
        <w:tblCellMar>
          <w:top w:w="15" w:type="dxa"/>
          <w:left w:w="15" w:type="dxa"/>
          <w:bottom w:w="15" w:type="dxa"/>
          <w:right w:w="15" w:type="dxa"/>
        </w:tblCellMar>
        <w:tblLook w:val="04A0" w:firstRow="1" w:lastRow="0" w:firstColumn="1" w:lastColumn="0" w:noHBand="0" w:noVBand="1"/>
      </w:tblPr>
      <w:tblGrid>
        <w:gridCol w:w="1515"/>
        <w:gridCol w:w="1313"/>
      </w:tblGrid>
      <w:tr w:rsidR="00E8577C" w:rsidRPr="006579DE" w14:paraId="65C33392"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23F45"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i/>
                <w:iCs/>
                <w:color w:val="000000"/>
                <w:sz w:val="20"/>
                <w:szCs w:val="20"/>
              </w:rPr>
              <w:t>Año de captura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23E77"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i/>
                <w:iCs/>
                <w:color w:val="000000"/>
                <w:sz w:val="20"/>
                <w:szCs w:val="20"/>
              </w:rPr>
              <w:t>Año de ajuste</w:t>
            </w:r>
          </w:p>
        </w:tc>
      </w:tr>
      <w:tr w:rsidR="00E8577C" w:rsidRPr="006579DE" w14:paraId="285310E6"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E47CD"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53C32"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2018</w:t>
            </w:r>
          </w:p>
        </w:tc>
      </w:tr>
      <w:tr w:rsidR="00E8577C" w:rsidRPr="006579DE" w14:paraId="03BCD3EB"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C0D04"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C148A"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2019</w:t>
            </w:r>
          </w:p>
        </w:tc>
      </w:tr>
      <w:tr w:rsidR="00E8577C" w:rsidRPr="006579DE" w14:paraId="100BF509"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A936B"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660C9"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2020</w:t>
            </w:r>
          </w:p>
        </w:tc>
      </w:tr>
      <w:tr w:rsidR="00E8577C" w:rsidRPr="006579DE" w14:paraId="4D3E2423"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410F8"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BC47F"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2021</w:t>
            </w:r>
          </w:p>
        </w:tc>
      </w:tr>
      <w:tr w:rsidR="00E8577C" w:rsidRPr="006579DE" w14:paraId="1DF42FCF" w14:textId="77777777" w:rsidTr="00CD531E">
        <w:trPr>
          <w:trHeight w:val="252"/>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D310C"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F8D81"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2022</w:t>
            </w:r>
          </w:p>
        </w:tc>
      </w:tr>
      <w:tr w:rsidR="00E8577C" w:rsidRPr="006579DE" w14:paraId="2D64A327"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AD68B"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561C5"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2023</w:t>
            </w:r>
          </w:p>
        </w:tc>
      </w:tr>
      <w:tr w:rsidR="00E8577C" w:rsidRPr="006579DE" w14:paraId="45E1BBE1"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3C7D1"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55CB1"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2024</w:t>
            </w:r>
          </w:p>
        </w:tc>
      </w:tr>
      <w:tr w:rsidR="00E8577C" w:rsidRPr="006579DE" w14:paraId="410E5C4E" w14:textId="77777777" w:rsidTr="00CD531E">
        <w:trPr>
          <w:trHeight w:val="2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18ECF"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0A6DD" w14:textId="77777777" w:rsidR="00E8577C" w:rsidRPr="006579DE" w:rsidRDefault="00E8577C" w:rsidP="00E8577C">
            <w:pPr>
              <w:spacing w:after="0" w:line="240" w:lineRule="auto"/>
              <w:jc w:val="center"/>
              <w:rPr>
                <w:rFonts w:ascii="Cambria" w:eastAsia="Times New Roman" w:hAnsi="Cambria" w:cs="Times New Roman"/>
                <w:sz w:val="20"/>
                <w:szCs w:val="20"/>
              </w:rPr>
            </w:pPr>
            <w:r w:rsidRPr="006579DE">
              <w:rPr>
                <w:rFonts w:ascii="Cambria" w:hAnsi="Cambria"/>
                <w:color w:val="000000"/>
                <w:sz w:val="20"/>
                <w:szCs w:val="20"/>
              </w:rPr>
              <w:t>2025</w:t>
            </w:r>
          </w:p>
        </w:tc>
      </w:tr>
    </w:tbl>
    <w:p w14:paraId="632350B3" w14:textId="77777777" w:rsidR="006B4444" w:rsidRPr="006579DE" w:rsidRDefault="006B4444" w:rsidP="00E8577C">
      <w:pPr>
        <w:spacing w:after="0" w:line="240" w:lineRule="auto"/>
        <w:ind w:left="1411" w:right="66" w:firstLine="2"/>
        <w:jc w:val="both"/>
        <w:rPr>
          <w:rFonts w:ascii="Cambria" w:eastAsia="Times New Roman" w:hAnsi="Cambria" w:cs="Times New Roman"/>
          <w:color w:val="000000"/>
          <w:sz w:val="20"/>
          <w:szCs w:val="20"/>
        </w:rPr>
      </w:pPr>
    </w:p>
    <w:p w14:paraId="671C8B81" w14:textId="2B4B8D2D" w:rsidR="00E8577C" w:rsidRPr="006579DE" w:rsidRDefault="00E8577C" w:rsidP="006B4444">
      <w:pPr>
        <w:spacing w:after="0" w:line="240" w:lineRule="auto"/>
        <w:ind w:left="426" w:right="66"/>
        <w:jc w:val="both"/>
        <w:rPr>
          <w:rFonts w:ascii="Cambria" w:eastAsia="Times New Roman" w:hAnsi="Cambria" w:cs="Times New Roman"/>
          <w:sz w:val="20"/>
          <w:szCs w:val="20"/>
        </w:rPr>
      </w:pPr>
      <w:r w:rsidRPr="006579DE">
        <w:rPr>
          <w:rFonts w:ascii="Cambria" w:hAnsi="Cambria"/>
          <w:color w:val="000000"/>
          <w:sz w:val="20"/>
          <w:szCs w:val="20"/>
        </w:rPr>
        <w:t xml:space="preserve">Sin embargo, el máximo remanente de captura que una Parte puede traspasar en un año determinado no superará el 15 % de su límite de captura inicial (especificado en el párrafo 2b anterior y excluyendo </w:t>
      </w:r>
      <w:r w:rsidR="00FF4665" w:rsidRPr="006579DE">
        <w:rPr>
          <w:rFonts w:ascii="Cambria" w:hAnsi="Cambria"/>
          <w:color w:val="000000"/>
          <w:sz w:val="20"/>
          <w:szCs w:val="20"/>
        </w:rPr>
        <w:t xml:space="preserve">la </w:t>
      </w:r>
      <w:r w:rsidRPr="006579DE">
        <w:rPr>
          <w:rFonts w:ascii="Cambria" w:hAnsi="Cambria"/>
          <w:color w:val="000000"/>
          <w:sz w:val="20"/>
          <w:szCs w:val="20"/>
        </w:rPr>
        <w:t>transferencias de cuota) para aquellas CPC con límites de captura superiores a 500 t</w:t>
      </w:r>
      <w:r w:rsidR="00783164" w:rsidRPr="006579DE">
        <w:rPr>
          <w:rFonts w:ascii="Cambria" w:hAnsi="Cambria"/>
          <w:color w:val="000000"/>
          <w:sz w:val="20"/>
          <w:szCs w:val="20"/>
        </w:rPr>
        <w:t>;</w:t>
      </w:r>
      <w:r w:rsidRPr="006579DE">
        <w:rPr>
          <w:rFonts w:ascii="Cambria" w:hAnsi="Cambria"/>
          <w:color w:val="000000"/>
          <w:sz w:val="20"/>
          <w:szCs w:val="20"/>
        </w:rPr>
        <w:t xml:space="preserve"> y el 40 % para las demás CPC.</w:t>
      </w:r>
      <w:r w:rsidR="00630CE9">
        <w:rPr>
          <w:rFonts w:ascii="Cambria" w:hAnsi="Cambria"/>
          <w:color w:val="000000"/>
          <w:sz w:val="20"/>
          <w:szCs w:val="20"/>
        </w:rPr>
        <w:t>”</w:t>
      </w:r>
    </w:p>
    <w:p w14:paraId="4D20C022" w14:textId="6E549D52" w:rsidR="00E8577C" w:rsidRPr="006579DE" w:rsidRDefault="00D45D0C" w:rsidP="006B4444">
      <w:pPr>
        <w:spacing w:before="244" w:after="0" w:line="240" w:lineRule="auto"/>
        <w:ind w:left="563" w:hanging="563"/>
        <w:rPr>
          <w:rFonts w:ascii="Cambria" w:eastAsia="Times New Roman" w:hAnsi="Cambria" w:cs="Times New Roman"/>
          <w:sz w:val="20"/>
          <w:szCs w:val="20"/>
        </w:rPr>
      </w:pPr>
      <w:r w:rsidRPr="006579DE">
        <w:rPr>
          <w:rFonts w:ascii="Cambria" w:hAnsi="Cambria"/>
          <w:color w:val="000000"/>
          <w:sz w:val="20"/>
          <w:szCs w:val="20"/>
        </w:rPr>
        <w:t>C</w:t>
      </w:r>
      <w:r w:rsidR="00E8577C" w:rsidRPr="006579DE">
        <w:rPr>
          <w:rFonts w:ascii="Cambria" w:hAnsi="Cambria"/>
          <w:color w:val="000000"/>
          <w:sz w:val="20"/>
          <w:szCs w:val="20"/>
        </w:rPr>
        <w:t>. El párrafo 4, se sustituirá por: </w:t>
      </w:r>
    </w:p>
    <w:p w14:paraId="7C77C43F" w14:textId="5FAC2669" w:rsidR="00E8577C" w:rsidRPr="006579DE" w:rsidRDefault="006579DE" w:rsidP="00783164">
      <w:pPr>
        <w:spacing w:before="245" w:after="0" w:line="240" w:lineRule="auto"/>
        <w:ind w:left="851" w:right="66" w:hanging="425"/>
        <w:jc w:val="both"/>
        <w:rPr>
          <w:rFonts w:ascii="Cambria" w:eastAsia="Times New Roman" w:hAnsi="Cambria" w:cs="Times New Roman"/>
          <w:sz w:val="20"/>
          <w:szCs w:val="20"/>
        </w:rPr>
      </w:pPr>
      <w:r>
        <w:rPr>
          <w:rFonts w:ascii="Cambria" w:hAnsi="Cambria"/>
          <w:color w:val="000000"/>
          <w:sz w:val="20"/>
          <w:szCs w:val="20"/>
        </w:rPr>
        <w:t>“</w:t>
      </w:r>
      <w:r w:rsidR="00E8577C" w:rsidRPr="006579DE">
        <w:rPr>
          <w:rFonts w:ascii="Cambria" w:hAnsi="Cambria"/>
          <w:color w:val="000000"/>
          <w:sz w:val="20"/>
          <w:szCs w:val="20"/>
        </w:rPr>
        <w:t xml:space="preserve">4. </w:t>
      </w:r>
      <w:r w:rsidR="00E8577C" w:rsidRPr="006579DE">
        <w:rPr>
          <w:rFonts w:ascii="Cambria" w:hAnsi="Cambria"/>
          <w:color w:val="000000"/>
          <w:sz w:val="20"/>
          <w:szCs w:val="20"/>
        </w:rPr>
        <w:tab/>
        <w:t xml:space="preserve">Si los desembarques de Japón sobrepasan sus límites de captura para un año concreto, el exceso de captura se deducirá en los años subsiguientes de modo que los desembarques totales de Japón no superen sus límites de captura totales para el período de </w:t>
      </w:r>
      <w:r w:rsidR="00355747" w:rsidRPr="006579DE">
        <w:rPr>
          <w:rFonts w:ascii="Cambria" w:hAnsi="Cambria"/>
          <w:color w:val="000000"/>
          <w:sz w:val="20"/>
          <w:szCs w:val="20"/>
        </w:rPr>
        <w:t>seis</w:t>
      </w:r>
      <w:r w:rsidR="00E8577C" w:rsidRPr="006579DE">
        <w:rPr>
          <w:rFonts w:ascii="Cambria" w:hAnsi="Cambria"/>
          <w:color w:val="000000"/>
          <w:sz w:val="20"/>
          <w:szCs w:val="20"/>
        </w:rPr>
        <w:t xml:space="preserve"> años que comienza en 2018. Si los desembarques anuales de Japón son inferiores a sus límites de captura, el remanente puede sumarse a los límites de captura de los años subsiguientes, de modo que los desembarques totales de Japón no superen su total para el mismo período de seis años. Cualquier exceso o remanente de captura del período de ordenación de 2018-2023 se aplicará al período de ordenación subsiguiente que la Comisión decidirá en 2023.</w:t>
      </w:r>
      <w:r>
        <w:rPr>
          <w:rFonts w:ascii="Cambria" w:hAnsi="Cambria"/>
          <w:color w:val="000000"/>
          <w:sz w:val="20"/>
          <w:szCs w:val="20"/>
        </w:rPr>
        <w:t>”</w:t>
      </w:r>
      <w:r w:rsidR="00E8577C" w:rsidRPr="006579DE">
        <w:rPr>
          <w:rFonts w:ascii="Cambria" w:hAnsi="Cambria"/>
          <w:color w:val="000000"/>
          <w:sz w:val="20"/>
          <w:szCs w:val="20"/>
        </w:rPr>
        <w:t> </w:t>
      </w:r>
    </w:p>
    <w:p w14:paraId="19B0944F" w14:textId="2809E8FD" w:rsidR="00E8577C" w:rsidRPr="006579DE" w:rsidRDefault="00D45D0C" w:rsidP="00D45D0C">
      <w:pPr>
        <w:spacing w:before="242" w:after="0" w:line="240" w:lineRule="auto"/>
        <w:ind w:left="284" w:hanging="284"/>
        <w:rPr>
          <w:rFonts w:ascii="Cambria" w:eastAsia="Times New Roman" w:hAnsi="Cambria" w:cs="Times New Roman"/>
          <w:sz w:val="20"/>
          <w:szCs w:val="20"/>
        </w:rPr>
      </w:pPr>
      <w:r w:rsidRPr="006579DE">
        <w:rPr>
          <w:rFonts w:ascii="Cambria" w:hAnsi="Cambria"/>
          <w:color w:val="000000"/>
          <w:sz w:val="20"/>
          <w:szCs w:val="20"/>
        </w:rPr>
        <w:t xml:space="preserve">D. </w:t>
      </w:r>
      <w:r w:rsidR="00E8577C" w:rsidRPr="006579DE">
        <w:rPr>
          <w:rFonts w:ascii="Cambria" w:hAnsi="Cambria"/>
          <w:color w:val="000000"/>
          <w:sz w:val="20"/>
          <w:szCs w:val="20"/>
        </w:rPr>
        <w:t>La primera frase del párrafo 5 se sustituirá por: </w:t>
      </w:r>
    </w:p>
    <w:p w14:paraId="26365213" w14:textId="5F853EA2" w:rsidR="00E8577C" w:rsidRPr="006579DE" w:rsidRDefault="00FF4665" w:rsidP="00783164">
      <w:pPr>
        <w:spacing w:before="245" w:after="0" w:line="240" w:lineRule="auto"/>
        <w:ind w:left="851" w:right="66" w:hanging="425"/>
        <w:jc w:val="both"/>
        <w:rPr>
          <w:rFonts w:ascii="Cambria" w:eastAsia="Times New Roman" w:hAnsi="Cambria" w:cs="Times New Roman"/>
          <w:sz w:val="20"/>
          <w:szCs w:val="20"/>
        </w:rPr>
      </w:pPr>
      <w:r w:rsidRPr="006579DE">
        <w:rPr>
          <w:rFonts w:ascii="Cambria" w:hAnsi="Cambria"/>
          <w:color w:val="000000"/>
          <w:sz w:val="20"/>
          <w:szCs w:val="20"/>
        </w:rPr>
        <w:t>“</w:t>
      </w:r>
      <w:r w:rsidR="00E8577C" w:rsidRPr="006579DE">
        <w:rPr>
          <w:rFonts w:ascii="Cambria" w:hAnsi="Cambria"/>
          <w:color w:val="000000"/>
          <w:sz w:val="20"/>
          <w:szCs w:val="20"/>
        </w:rPr>
        <w:t xml:space="preserve">5. </w:t>
      </w:r>
      <w:r w:rsidRPr="006579DE">
        <w:rPr>
          <w:rFonts w:ascii="Cambria" w:hAnsi="Cambria"/>
          <w:color w:val="000000"/>
          <w:sz w:val="20"/>
          <w:szCs w:val="20"/>
        </w:rPr>
        <w:tab/>
      </w:r>
      <w:r w:rsidR="00E8577C" w:rsidRPr="006579DE">
        <w:rPr>
          <w:rFonts w:ascii="Cambria" w:hAnsi="Cambria"/>
          <w:color w:val="000000"/>
          <w:sz w:val="20"/>
          <w:szCs w:val="20"/>
        </w:rPr>
        <w:t xml:space="preserve">El SCRS proseguirá perfilando la MSE y continuará probando los procedimientos de ordenación candidatos en 2023. Para apoyar este esfuerzo, el SCRS y la Subcomisión 4 celebrarán dos reuniones de diálogo sobre la MSE en 2023. En la reunión anual de ICCAT de 2023, la Comisión revisará los procedimientos de ordenación candidatos finales y seleccionará uno para su </w:t>
      </w:r>
      <w:r w:rsidR="00E8577C" w:rsidRPr="006579DE">
        <w:rPr>
          <w:rFonts w:ascii="Cambria" w:hAnsi="Cambria"/>
          <w:color w:val="000000"/>
          <w:sz w:val="20"/>
          <w:szCs w:val="20"/>
        </w:rPr>
        <w:lastRenderedPageBreak/>
        <w:t>adopción y aplicación con el fin de establecer el TAC para 2024 y años futuros, lo que incluye acciones de ordenación acordadas previamente que se emprenderán en función de las diversas condiciones del stock.” </w:t>
      </w:r>
    </w:p>
    <w:p w14:paraId="0CF75F4C" w14:textId="19ACA6E5" w:rsidR="00E8577C" w:rsidRPr="006579DE" w:rsidRDefault="00E8577C" w:rsidP="006B4444">
      <w:pPr>
        <w:spacing w:before="244" w:after="0" w:line="240" w:lineRule="auto"/>
        <w:ind w:left="426" w:right="66" w:hanging="426"/>
        <w:jc w:val="both"/>
        <w:rPr>
          <w:rFonts w:ascii="Cambria" w:eastAsia="Times New Roman" w:hAnsi="Cambria" w:cs="Times New Roman"/>
          <w:sz w:val="20"/>
          <w:szCs w:val="20"/>
        </w:rPr>
      </w:pPr>
      <w:r w:rsidRPr="006579DE">
        <w:rPr>
          <w:rFonts w:ascii="Cambria" w:hAnsi="Cambria"/>
          <w:color w:val="000000"/>
          <w:sz w:val="20"/>
          <w:szCs w:val="20"/>
        </w:rPr>
        <w:t>2</w:t>
      </w:r>
      <w:r w:rsidRPr="006579DE">
        <w:rPr>
          <w:rFonts w:ascii="Cambria" w:hAnsi="Cambria"/>
          <w:i/>
          <w:iCs/>
          <w:color w:val="000000"/>
          <w:sz w:val="20"/>
          <w:szCs w:val="20"/>
        </w:rPr>
        <w:t>.</w:t>
      </w:r>
      <w:r w:rsidRPr="006579DE">
        <w:rPr>
          <w:rFonts w:ascii="Cambria" w:hAnsi="Cambria"/>
          <w:color w:val="000000"/>
          <w:sz w:val="20"/>
          <w:szCs w:val="20"/>
        </w:rPr>
        <w:t xml:space="preserve"> </w:t>
      </w:r>
      <w:r w:rsidRPr="006579DE">
        <w:rPr>
          <w:rFonts w:ascii="Cambria" w:hAnsi="Cambria"/>
          <w:color w:val="000000"/>
          <w:sz w:val="20"/>
          <w:szCs w:val="20"/>
        </w:rPr>
        <w:tab/>
        <w:t xml:space="preserve">Esta Recomendación deroga y sustituye a la </w:t>
      </w:r>
      <w:r w:rsidRPr="006579DE">
        <w:rPr>
          <w:rFonts w:ascii="Cambria" w:hAnsi="Cambria"/>
          <w:i/>
          <w:iCs/>
          <w:color w:val="000000"/>
          <w:sz w:val="20"/>
          <w:szCs w:val="20"/>
        </w:rPr>
        <w:t>Recomendación suplementaria de ICCAT que amplía y enmienda la Recomendación 17-02 que enmienda la Recomendación 16-03 para la conservación del pez espada del Atlántico norte</w:t>
      </w:r>
      <w:r w:rsidRPr="006579DE">
        <w:rPr>
          <w:rFonts w:ascii="Cambria" w:hAnsi="Cambria"/>
          <w:color w:val="000000"/>
          <w:sz w:val="20"/>
          <w:szCs w:val="20"/>
        </w:rPr>
        <w:t xml:space="preserve"> (Rec. 21-02).</w:t>
      </w:r>
    </w:p>
    <w:p w14:paraId="090FA986" w14:textId="77777777" w:rsidR="00203CA9" w:rsidRPr="006579DE" w:rsidRDefault="00203CA9">
      <w:pPr>
        <w:rPr>
          <w:rFonts w:ascii="Cambria" w:hAnsi="Cambria"/>
          <w:sz w:val="20"/>
          <w:szCs w:val="20"/>
        </w:rPr>
      </w:pPr>
    </w:p>
    <w:sectPr w:rsidR="00203CA9" w:rsidRPr="006579DE" w:rsidSect="006B4444">
      <w:footerReference w:type="default" r:id="rId6"/>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A2BF" w14:textId="77777777" w:rsidR="00A95C17" w:rsidRDefault="00A95C17" w:rsidP="006B4444">
      <w:pPr>
        <w:spacing w:after="0" w:line="240" w:lineRule="auto"/>
      </w:pPr>
      <w:r>
        <w:separator/>
      </w:r>
    </w:p>
  </w:endnote>
  <w:endnote w:type="continuationSeparator" w:id="0">
    <w:p w14:paraId="7713F968" w14:textId="77777777" w:rsidR="00A95C17" w:rsidRDefault="00A95C17" w:rsidP="006B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4B80" w14:textId="72399207" w:rsidR="006B4444" w:rsidRPr="006B4444" w:rsidRDefault="006B4444" w:rsidP="006B4444">
    <w:pPr>
      <w:tabs>
        <w:tab w:val="center" w:pos="4535"/>
        <w:tab w:val="center" w:pos="4680"/>
        <w:tab w:val="left" w:pos="6150"/>
        <w:tab w:val="right" w:pos="9360"/>
      </w:tabs>
      <w:spacing w:after="0" w:line="240" w:lineRule="auto"/>
      <w:jc w:val="center"/>
      <w:rPr>
        <w:rFonts w:ascii="Cambria" w:eastAsia="Calibri" w:hAnsi="Cambria" w:cs="Calibri"/>
      </w:rPr>
    </w:pPr>
    <w:r w:rsidRPr="0089763E">
      <w:rPr>
        <w:rFonts w:ascii="Cambria" w:eastAsia="Calibri" w:hAnsi="Cambria" w:cs="Calibri"/>
        <w:szCs w:val="20"/>
      </w:rPr>
      <w:fldChar w:fldCharType="begin"/>
    </w:r>
    <w:r w:rsidRPr="0089763E">
      <w:rPr>
        <w:rFonts w:ascii="Cambria" w:eastAsia="Calibri" w:hAnsi="Cambria" w:cs="Calibri"/>
        <w:szCs w:val="20"/>
      </w:rPr>
      <w:instrText xml:space="preserve"> PAGE </w:instrText>
    </w:r>
    <w:r w:rsidRPr="0089763E">
      <w:rPr>
        <w:rFonts w:ascii="Cambria" w:eastAsia="Calibri" w:hAnsi="Cambria" w:cs="Calibri"/>
        <w:szCs w:val="20"/>
      </w:rPr>
      <w:fldChar w:fldCharType="separate"/>
    </w:r>
    <w:r>
      <w:rPr>
        <w:rFonts w:ascii="Cambria" w:eastAsia="Calibri" w:hAnsi="Cambria" w:cs="Calibri"/>
        <w:szCs w:val="20"/>
      </w:rPr>
      <w:t>1</w:t>
    </w:r>
    <w:r w:rsidRPr="0089763E">
      <w:rPr>
        <w:rFonts w:ascii="Cambria" w:eastAsia="Calibri" w:hAnsi="Cambria" w:cs="Calibri"/>
        <w:szCs w:val="20"/>
      </w:rPr>
      <w:fldChar w:fldCharType="end"/>
    </w:r>
    <w:r>
      <w:rPr>
        <w:rFonts w:ascii="Cambria" w:hAnsi="Cambria"/>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9773" w14:textId="77777777" w:rsidR="00A95C17" w:rsidRDefault="00A95C17" w:rsidP="006B4444">
      <w:pPr>
        <w:spacing w:after="0" w:line="240" w:lineRule="auto"/>
      </w:pPr>
      <w:r>
        <w:separator/>
      </w:r>
    </w:p>
  </w:footnote>
  <w:footnote w:type="continuationSeparator" w:id="0">
    <w:p w14:paraId="1ED92C7C" w14:textId="77777777" w:rsidR="00A95C17" w:rsidRDefault="00A95C17" w:rsidP="006B44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77C"/>
    <w:rsid w:val="00084F97"/>
    <w:rsid w:val="0008697E"/>
    <w:rsid w:val="00103724"/>
    <w:rsid w:val="00130704"/>
    <w:rsid w:val="00203CA9"/>
    <w:rsid w:val="002079F6"/>
    <w:rsid w:val="00213684"/>
    <w:rsid w:val="00276851"/>
    <w:rsid w:val="002C084B"/>
    <w:rsid w:val="00355747"/>
    <w:rsid w:val="003F5AC5"/>
    <w:rsid w:val="00405854"/>
    <w:rsid w:val="0046121A"/>
    <w:rsid w:val="004831D6"/>
    <w:rsid w:val="004E1531"/>
    <w:rsid w:val="00561C37"/>
    <w:rsid w:val="005D5D86"/>
    <w:rsid w:val="005E7FC6"/>
    <w:rsid w:val="00617FE8"/>
    <w:rsid w:val="00622522"/>
    <w:rsid w:val="00630CE9"/>
    <w:rsid w:val="006579DE"/>
    <w:rsid w:val="006B4444"/>
    <w:rsid w:val="007616CC"/>
    <w:rsid w:val="00783164"/>
    <w:rsid w:val="007F4D51"/>
    <w:rsid w:val="009029AE"/>
    <w:rsid w:val="0097141F"/>
    <w:rsid w:val="009E2159"/>
    <w:rsid w:val="009E3737"/>
    <w:rsid w:val="00A125EC"/>
    <w:rsid w:val="00A95C17"/>
    <w:rsid w:val="00B23043"/>
    <w:rsid w:val="00B570E5"/>
    <w:rsid w:val="00BB7442"/>
    <w:rsid w:val="00C16749"/>
    <w:rsid w:val="00C70C54"/>
    <w:rsid w:val="00CA4E73"/>
    <w:rsid w:val="00CD531E"/>
    <w:rsid w:val="00D355D5"/>
    <w:rsid w:val="00D45D0C"/>
    <w:rsid w:val="00DB26E4"/>
    <w:rsid w:val="00E3297A"/>
    <w:rsid w:val="00E3434C"/>
    <w:rsid w:val="00E8577C"/>
    <w:rsid w:val="00FC34F5"/>
    <w:rsid w:val="00FF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9FBA0"/>
  <w15:chartTrackingRefBased/>
  <w15:docId w15:val="{79560320-1F73-45BE-8767-3613E629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5E7FC6"/>
    <w:pPr>
      <w:keepNext/>
      <w:spacing w:after="0" w:line="240" w:lineRule="auto"/>
      <w:jc w:val="center"/>
      <w:outlineLvl w:val="4"/>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7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4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444"/>
  </w:style>
  <w:style w:type="paragraph" w:styleId="Footer">
    <w:name w:val="footer"/>
    <w:basedOn w:val="Normal"/>
    <w:link w:val="FooterChar"/>
    <w:uiPriority w:val="99"/>
    <w:unhideWhenUsed/>
    <w:rsid w:val="006B4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444"/>
  </w:style>
  <w:style w:type="character" w:customStyle="1" w:styleId="Heading5Char">
    <w:name w:val="Heading 5 Char"/>
    <w:basedOn w:val="DefaultParagraphFont"/>
    <w:link w:val="Heading5"/>
    <w:rsid w:val="005E7FC6"/>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8150">
      <w:bodyDiv w:val="1"/>
      <w:marLeft w:val="0"/>
      <w:marRight w:val="0"/>
      <w:marTop w:val="0"/>
      <w:marBottom w:val="0"/>
      <w:divBdr>
        <w:top w:val="none" w:sz="0" w:space="0" w:color="auto"/>
        <w:left w:val="none" w:sz="0" w:space="0" w:color="auto"/>
        <w:bottom w:val="none" w:sz="0" w:space="0" w:color="auto"/>
        <w:right w:val="none" w:sz="0" w:space="0" w:color="auto"/>
      </w:divBdr>
      <w:divsChild>
        <w:div w:id="1769423421">
          <w:marLeft w:val="1212"/>
          <w:marRight w:val="0"/>
          <w:marTop w:val="0"/>
          <w:marBottom w:val="0"/>
          <w:divBdr>
            <w:top w:val="none" w:sz="0" w:space="0" w:color="auto"/>
            <w:left w:val="none" w:sz="0" w:space="0" w:color="auto"/>
            <w:bottom w:val="none" w:sz="0" w:space="0" w:color="auto"/>
            <w:right w:val="none" w:sz="0" w:space="0" w:color="auto"/>
          </w:divBdr>
        </w:div>
        <w:div w:id="1012952298">
          <w:marLeft w:val="2954"/>
          <w:marRight w:val="0"/>
          <w:marTop w:val="0"/>
          <w:marBottom w:val="0"/>
          <w:divBdr>
            <w:top w:val="none" w:sz="0" w:space="0" w:color="auto"/>
            <w:left w:val="none" w:sz="0" w:space="0" w:color="auto"/>
            <w:bottom w:val="none" w:sz="0" w:space="0" w:color="auto"/>
            <w:right w:val="none" w:sz="0" w:space="0" w:color="auto"/>
          </w:divBdr>
        </w:div>
      </w:divsChild>
    </w:div>
    <w:div w:id="555091822">
      <w:bodyDiv w:val="1"/>
      <w:marLeft w:val="0"/>
      <w:marRight w:val="0"/>
      <w:marTop w:val="0"/>
      <w:marBottom w:val="0"/>
      <w:divBdr>
        <w:top w:val="none" w:sz="0" w:space="0" w:color="auto"/>
        <w:left w:val="none" w:sz="0" w:space="0" w:color="auto"/>
        <w:bottom w:val="none" w:sz="0" w:space="0" w:color="auto"/>
        <w:right w:val="none" w:sz="0" w:space="0" w:color="auto"/>
      </w:divBdr>
    </w:div>
    <w:div w:id="204413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1462</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Carrie.Soltanoff</dc:creator>
  <cp:keywords/>
  <dc:description/>
  <cp:lastModifiedBy>Author</cp:lastModifiedBy>
  <cp:revision>14</cp:revision>
  <dcterms:created xsi:type="dcterms:W3CDTF">2022-11-17T21:21:00Z</dcterms:created>
  <dcterms:modified xsi:type="dcterms:W3CDTF">2022-12-22T10:49:00Z</dcterms:modified>
</cp:coreProperties>
</file>