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3EB0" w14:textId="30A66F67" w:rsidR="00321F69" w:rsidRPr="00005A62" w:rsidRDefault="00321F69" w:rsidP="00321F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rPr>
          <w:rFonts w:ascii="Cambria" w:hAnsi="Cambria"/>
          <w:b/>
          <w:sz w:val="20"/>
        </w:rPr>
      </w:pPr>
      <w:bookmarkStart w:id="0" w:name="_Hlk120523852"/>
      <w:bookmarkStart w:id="1" w:name="_Hlk120523710"/>
      <w:r w:rsidRPr="00005A62">
        <w:rPr>
          <w:rFonts w:ascii="Cambria" w:hAnsi="Cambria"/>
          <w:b/>
          <w:sz w:val="20"/>
        </w:rPr>
        <w:t>22-</w:t>
      </w:r>
      <w:r w:rsidR="00C07A37" w:rsidRPr="00005A62">
        <w:rPr>
          <w:rFonts w:ascii="Cambria" w:hAnsi="Cambria"/>
          <w:b/>
          <w:sz w:val="20"/>
        </w:rPr>
        <w:t>02</w:t>
      </w:r>
      <w:r w:rsidRPr="00005A62">
        <w:rPr>
          <w:rFonts w:ascii="Cambria" w:hAnsi="Cambria"/>
          <w:b/>
          <w:sz w:val="20"/>
        </w:rPr>
        <w:tab/>
      </w:r>
      <w:bookmarkEnd w:id="0"/>
      <w:proofErr w:type="spellStart"/>
      <w:r w:rsidR="00C07A37" w:rsidRPr="00005A62">
        <w:rPr>
          <w:rFonts w:ascii="Cambria" w:hAnsi="Cambria"/>
          <w:b/>
          <w:sz w:val="20"/>
        </w:rPr>
        <w:t>TRO</w:t>
      </w:r>
      <w:proofErr w:type="spellEnd"/>
    </w:p>
    <w:bookmarkEnd w:id="1"/>
    <w:p w14:paraId="013E5752" w14:textId="77777777" w:rsidR="00321F69" w:rsidRPr="00005A62" w:rsidRDefault="009A3B0C" w:rsidP="00321F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uppressAutoHyphens w:val="0"/>
        <w:spacing w:after="0" w:line="240" w:lineRule="auto"/>
        <w:jc w:val="center"/>
        <w:rPr>
          <w:rFonts w:ascii="Cambria" w:eastAsia="Arial" w:hAnsi="Cambria" w:cs="Arial"/>
          <w:b/>
          <w:sz w:val="20"/>
          <w:szCs w:val="20"/>
        </w:rPr>
      </w:pPr>
      <w:r w:rsidRPr="00005A62">
        <w:rPr>
          <w:rFonts w:ascii="Cambria" w:eastAsia="Arial" w:hAnsi="Cambria" w:cs="Arial"/>
          <w:b/>
          <w:sz w:val="20"/>
          <w:szCs w:val="20"/>
        </w:rPr>
        <w:t>RESOLUCIÓN DE ICCAT SOBRE EL DESARROLLO DE OBJETIVOS</w:t>
      </w:r>
      <w:r w:rsidR="00321F69" w:rsidRPr="00005A62">
        <w:rPr>
          <w:rFonts w:ascii="Cambria" w:eastAsia="Arial" w:hAnsi="Cambria" w:cs="Arial"/>
          <w:b/>
          <w:sz w:val="20"/>
          <w:szCs w:val="20"/>
        </w:rPr>
        <w:t xml:space="preserve"> </w:t>
      </w:r>
      <w:r w:rsidRPr="00005A62">
        <w:rPr>
          <w:rFonts w:ascii="Cambria" w:eastAsia="Arial" w:hAnsi="Cambria" w:cs="Arial"/>
          <w:b/>
          <w:sz w:val="20"/>
          <w:szCs w:val="20"/>
        </w:rPr>
        <w:t xml:space="preserve"> DE ORDENACIÓN </w:t>
      </w:r>
    </w:p>
    <w:p w14:paraId="28C915B1" w14:textId="75A328FD" w:rsidR="009B4545" w:rsidRDefault="00F321EE" w:rsidP="007E50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uppressAutoHyphens w:val="0"/>
        <w:spacing w:after="0" w:line="240" w:lineRule="auto"/>
        <w:jc w:val="center"/>
        <w:rPr>
          <w:rFonts w:ascii="Cambria" w:eastAsia="Arial" w:hAnsi="Cambria" w:cs="Arial"/>
          <w:b/>
          <w:sz w:val="20"/>
          <w:szCs w:val="20"/>
        </w:rPr>
      </w:pPr>
      <w:r w:rsidRPr="00005A62">
        <w:rPr>
          <w:rFonts w:ascii="Cambria" w:eastAsia="Arial" w:hAnsi="Cambria" w:cs="Arial"/>
          <w:b/>
          <w:sz w:val="20"/>
          <w:szCs w:val="20"/>
        </w:rPr>
        <w:t xml:space="preserve">CONCEPTUALES </w:t>
      </w:r>
      <w:r w:rsidR="009A3B0C" w:rsidRPr="00005A62">
        <w:rPr>
          <w:rFonts w:ascii="Cambria" w:eastAsia="Arial" w:hAnsi="Cambria" w:cs="Arial"/>
          <w:b/>
          <w:sz w:val="20"/>
          <w:szCs w:val="20"/>
        </w:rPr>
        <w:t>INICIALES</w:t>
      </w:r>
      <w:r w:rsidR="008D7933" w:rsidRPr="00005A62">
        <w:rPr>
          <w:rFonts w:ascii="Cambria" w:eastAsia="Arial" w:hAnsi="Cambria" w:cs="Arial"/>
          <w:b/>
          <w:sz w:val="20"/>
          <w:szCs w:val="20"/>
        </w:rPr>
        <w:t xml:space="preserve"> </w:t>
      </w:r>
      <w:r w:rsidR="009A3B0C" w:rsidRPr="00005A62">
        <w:rPr>
          <w:rFonts w:ascii="Cambria" w:eastAsia="Arial" w:hAnsi="Cambria" w:cs="Arial"/>
          <w:b/>
          <w:sz w:val="20"/>
          <w:szCs w:val="20"/>
        </w:rPr>
        <w:t>PARA EL LISTADO DEL ATLÁNTICO OCCIDENTAL</w:t>
      </w:r>
    </w:p>
    <w:p w14:paraId="321FF49D" w14:textId="77777777" w:rsidR="007E50D7" w:rsidRPr="003C7DC8" w:rsidRDefault="007E50D7" w:rsidP="007E50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jc w:val="center"/>
        <w:rPr>
          <w:rFonts w:ascii="Cambria" w:eastAsia="Arial" w:hAnsi="Cambria" w:cs="Arial"/>
          <w:b/>
          <w:sz w:val="6"/>
          <w:szCs w:val="6"/>
        </w:rPr>
      </w:pPr>
    </w:p>
    <w:p w14:paraId="79B34CF3" w14:textId="77777777" w:rsidR="003E2363" w:rsidRPr="00005A62" w:rsidRDefault="003E2363" w:rsidP="00AA634A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</w:p>
    <w:p w14:paraId="32F73DF3" w14:textId="7D8BA598" w:rsidR="00A51900" w:rsidRPr="00005A62" w:rsidRDefault="006925DD" w:rsidP="006925DD">
      <w:pPr>
        <w:spacing w:after="0" w:line="240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</w:rPr>
      </w:pPr>
      <w:r w:rsidRPr="00005A62">
        <w:rPr>
          <w:rFonts w:asciiTheme="majorHAnsi" w:hAnsiTheme="majorHAnsi"/>
          <w:i/>
          <w:iCs/>
          <w:sz w:val="20"/>
          <w:szCs w:val="20"/>
        </w:rPr>
        <w:t>RECORDANDO</w:t>
      </w:r>
      <w:r w:rsidRPr="00005A62">
        <w:rPr>
          <w:rFonts w:asciiTheme="majorHAnsi" w:hAnsiTheme="majorHAnsi"/>
          <w:sz w:val="20"/>
          <w:szCs w:val="20"/>
        </w:rPr>
        <w:t xml:space="preserve"> la intención de la Comisión de adoptar procedimientos de ordenación </w:t>
      </w:r>
      <w:r w:rsidR="008D7933" w:rsidRPr="00005A62">
        <w:rPr>
          <w:rFonts w:asciiTheme="majorHAnsi" w:hAnsiTheme="majorHAnsi"/>
          <w:sz w:val="20"/>
          <w:szCs w:val="20"/>
        </w:rPr>
        <w:t>(MP) probados</w:t>
      </w:r>
      <w:r w:rsidRPr="00005A62">
        <w:rPr>
          <w:rFonts w:asciiTheme="majorHAnsi" w:hAnsiTheme="majorHAnsi"/>
          <w:sz w:val="20"/>
          <w:szCs w:val="20"/>
        </w:rPr>
        <w:t xml:space="preserve"> mediante la evaluación de estrategias de ordenación (MSE) para stock prioritarios, lo que incluye el listado occidental, tal y como se establece en la</w:t>
      </w:r>
      <w:r w:rsidRPr="00005A62">
        <w:rPr>
          <w:rFonts w:asciiTheme="majorHAnsi" w:hAnsiTheme="majorHAnsi"/>
          <w:i/>
          <w:iCs/>
          <w:sz w:val="20"/>
          <w:szCs w:val="20"/>
        </w:rPr>
        <w:t xml:space="preserve"> Recomendación de ICCAT sobre el desarrollo de normas de control de la captura y de evaluación de estrategias de ordenación</w:t>
      </w:r>
      <w:r w:rsidRPr="00005A62">
        <w:rPr>
          <w:rFonts w:asciiTheme="majorHAnsi" w:hAnsiTheme="majorHAnsi"/>
          <w:sz w:val="20"/>
          <w:szCs w:val="20"/>
        </w:rPr>
        <w:t xml:space="preserve"> (Rec. 15-07)</w:t>
      </w:r>
      <w:r w:rsidR="008D7933" w:rsidRPr="00005A62">
        <w:rPr>
          <w:rFonts w:asciiTheme="majorHAnsi" w:hAnsiTheme="majorHAnsi"/>
          <w:sz w:val="20"/>
          <w:szCs w:val="20"/>
        </w:rPr>
        <w:t xml:space="preserve"> para una ordenación de pesquerías más efectiva frente a incertidumbres no identificadas</w:t>
      </w:r>
      <w:r w:rsidRPr="00005A62">
        <w:rPr>
          <w:rFonts w:asciiTheme="majorHAnsi" w:hAnsiTheme="majorHAnsi"/>
          <w:sz w:val="20"/>
          <w:szCs w:val="20"/>
        </w:rPr>
        <w:t>;</w:t>
      </w:r>
    </w:p>
    <w:p w14:paraId="154F357E" w14:textId="77777777" w:rsidR="006925DD" w:rsidRPr="00005A62" w:rsidRDefault="006925DD" w:rsidP="006925DD">
      <w:pPr>
        <w:spacing w:after="0" w:line="240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56E43B5C" w14:textId="514C7999" w:rsidR="000D7632" w:rsidRPr="00005A62" w:rsidRDefault="006925DD" w:rsidP="006925DD">
      <w:pPr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r w:rsidRPr="00005A62">
        <w:rPr>
          <w:rFonts w:asciiTheme="majorHAnsi" w:hAnsiTheme="majorHAnsi"/>
          <w:i/>
          <w:iCs/>
          <w:sz w:val="20"/>
          <w:szCs w:val="20"/>
        </w:rPr>
        <w:t xml:space="preserve">RECORDANDO </w:t>
      </w:r>
      <w:r w:rsidRPr="00005A62">
        <w:rPr>
          <w:rFonts w:asciiTheme="majorHAnsi" w:hAnsiTheme="majorHAnsi"/>
          <w:sz w:val="20"/>
          <w:szCs w:val="20"/>
        </w:rPr>
        <w:t>la</w:t>
      </w:r>
      <w:r w:rsidRPr="00005A62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005A62">
        <w:rPr>
          <w:rFonts w:asciiTheme="majorHAnsi" w:hAnsiTheme="majorHAnsi"/>
          <w:sz w:val="20"/>
          <w:szCs w:val="20"/>
        </w:rPr>
        <w:t xml:space="preserve">aplicación del enfoque precautorio de conformidad con las normas internacionales pertinentes tal y como se establece en la </w:t>
      </w:r>
      <w:r w:rsidRPr="00005A62">
        <w:rPr>
          <w:rFonts w:asciiTheme="majorHAnsi" w:hAnsiTheme="majorHAnsi"/>
          <w:i/>
          <w:iCs/>
          <w:sz w:val="20"/>
          <w:szCs w:val="20"/>
        </w:rPr>
        <w:t>Resolución de ICCAT sobre el uso del enfoque precautorio en la implementación de las medidas de conservación y ordenación de ICCAT</w:t>
      </w:r>
      <w:r w:rsidRPr="00005A62">
        <w:rPr>
          <w:rFonts w:asciiTheme="majorHAnsi" w:hAnsiTheme="majorHAnsi"/>
          <w:sz w:val="20"/>
          <w:szCs w:val="20"/>
        </w:rPr>
        <w:t xml:space="preserve"> (Res. 15-12);</w:t>
      </w:r>
    </w:p>
    <w:p w14:paraId="7DE1CABB" w14:textId="77777777" w:rsidR="006925DD" w:rsidRPr="00005A62" w:rsidRDefault="006925DD" w:rsidP="006925DD">
      <w:pPr>
        <w:spacing w:after="0" w:line="240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27B42F1F" w14:textId="10D31FA9" w:rsidR="004F1167" w:rsidRPr="00005A62" w:rsidRDefault="00A51900" w:rsidP="006D3587">
      <w:pPr>
        <w:spacing w:after="0" w:line="240" w:lineRule="auto"/>
        <w:ind w:firstLine="426"/>
        <w:jc w:val="both"/>
        <w:rPr>
          <w:rFonts w:asciiTheme="majorHAnsi" w:hAnsiTheme="majorHAnsi" w:cs="Cambria"/>
          <w:iCs/>
          <w:sz w:val="20"/>
          <w:szCs w:val="20"/>
        </w:rPr>
      </w:pPr>
      <w:r w:rsidRPr="00005A62">
        <w:rPr>
          <w:rFonts w:asciiTheme="majorHAnsi" w:hAnsiTheme="majorHAnsi"/>
          <w:i/>
          <w:iCs/>
          <w:sz w:val="20"/>
          <w:szCs w:val="20"/>
        </w:rPr>
        <w:t>TENIENDO EN CUENTA</w:t>
      </w:r>
      <w:r w:rsidRPr="00005A62">
        <w:rPr>
          <w:rFonts w:asciiTheme="majorHAnsi" w:hAnsiTheme="majorHAnsi"/>
          <w:sz w:val="20"/>
          <w:szCs w:val="20"/>
        </w:rPr>
        <w:t xml:space="preserve"> los esfuerzos para una ordenación sostenible del stock de listado del Atlántico occidental, de un modo coherente con los objetivos del Convenio y con la </w:t>
      </w:r>
      <w:r w:rsidRPr="00005A62">
        <w:rPr>
          <w:rFonts w:asciiTheme="majorHAnsi" w:hAnsiTheme="majorHAnsi"/>
          <w:i/>
          <w:iCs/>
          <w:sz w:val="20"/>
          <w:szCs w:val="20"/>
        </w:rPr>
        <w:t>Recomendación de ICCAT sobre los principios de toma de decisiones para las medidas de conservación y ordenación de ICCA</w:t>
      </w:r>
      <w:r w:rsidRPr="00005A62">
        <w:rPr>
          <w:rFonts w:asciiTheme="majorHAnsi" w:hAnsiTheme="majorHAnsi"/>
          <w:sz w:val="20"/>
          <w:szCs w:val="20"/>
        </w:rPr>
        <w:t>T (Rec.</w:t>
      </w:r>
      <w:r w:rsidRPr="00005A62">
        <w:rPr>
          <w:rFonts w:asciiTheme="majorHAnsi" w:hAnsiTheme="majorHAnsi"/>
          <w:iCs/>
          <w:sz w:val="20"/>
          <w:szCs w:val="20"/>
        </w:rPr>
        <w:t xml:space="preserve"> 11-13);</w:t>
      </w:r>
    </w:p>
    <w:p w14:paraId="46809120" w14:textId="77777777" w:rsidR="007C3C39" w:rsidRPr="00005A62" w:rsidRDefault="007C3C39" w:rsidP="00AA634A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4D4C62CC" w14:textId="665FF70C" w:rsidR="007C3C39" w:rsidRPr="00005A62" w:rsidRDefault="007F53FA" w:rsidP="006D3587">
      <w:pPr>
        <w:spacing w:after="0" w:line="240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005A62">
        <w:rPr>
          <w:rFonts w:asciiTheme="majorHAnsi" w:hAnsiTheme="majorHAnsi"/>
          <w:i/>
          <w:iCs/>
          <w:sz w:val="20"/>
          <w:szCs w:val="20"/>
        </w:rPr>
        <w:t>CONSTATANDO</w:t>
      </w:r>
      <w:r w:rsidRPr="00005A62">
        <w:rPr>
          <w:rFonts w:asciiTheme="majorHAnsi" w:hAnsiTheme="majorHAnsi"/>
          <w:sz w:val="20"/>
          <w:szCs w:val="20"/>
        </w:rPr>
        <w:t xml:space="preserve"> la conclusión de la evaluación de stock </w:t>
      </w:r>
      <w:r w:rsidR="006925DD" w:rsidRPr="00005A62">
        <w:rPr>
          <w:rFonts w:asciiTheme="majorHAnsi" w:hAnsiTheme="majorHAnsi"/>
          <w:sz w:val="20"/>
          <w:szCs w:val="20"/>
        </w:rPr>
        <w:t xml:space="preserve">de 2022 </w:t>
      </w:r>
      <w:r w:rsidRPr="00005A62">
        <w:rPr>
          <w:rFonts w:asciiTheme="majorHAnsi" w:hAnsiTheme="majorHAnsi"/>
          <w:sz w:val="20"/>
          <w:szCs w:val="20"/>
        </w:rPr>
        <w:t xml:space="preserve">del Comité Permanente de Estadísticas e Investigación (SCRS) </w:t>
      </w:r>
      <w:r w:rsidR="003E16A3" w:rsidRPr="00005A62">
        <w:rPr>
          <w:rFonts w:asciiTheme="majorHAnsi" w:hAnsiTheme="majorHAnsi"/>
          <w:sz w:val="20"/>
          <w:szCs w:val="20"/>
        </w:rPr>
        <w:t>de ICCAT que indicaba</w:t>
      </w:r>
      <w:r w:rsidRPr="00005A62">
        <w:rPr>
          <w:rFonts w:asciiTheme="majorHAnsi" w:hAnsiTheme="majorHAnsi"/>
          <w:sz w:val="20"/>
          <w:szCs w:val="20"/>
        </w:rPr>
        <w:t xml:space="preserve"> que es muy probable que el stock de listado del Atlántico occidental esté situado en la zona verde del diagrama de Kobe, </w:t>
      </w:r>
      <w:r w:rsidR="003E16A3" w:rsidRPr="00005A62">
        <w:rPr>
          <w:rFonts w:asciiTheme="majorHAnsi" w:hAnsiTheme="majorHAnsi"/>
          <w:sz w:val="20"/>
          <w:szCs w:val="20"/>
        </w:rPr>
        <w:t xml:space="preserve">lo que indica que </w:t>
      </w:r>
      <w:r w:rsidRPr="00005A62">
        <w:rPr>
          <w:rFonts w:asciiTheme="majorHAnsi" w:hAnsiTheme="majorHAnsi"/>
          <w:sz w:val="20"/>
          <w:szCs w:val="20"/>
        </w:rPr>
        <w:t>el stock no est</w:t>
      </w:r>
      <w:r w:rsidR="003E16A3" w:rsidRPr="00005A62">
        <w:rPr>
          <w:rFonts w:asciiTheme="majorHAnsi" w:hAnsiTheme="majorHAnsi"/>
          <w:sz w:val="20"/>
          <w:szCs w:val="20"/>
        </w:rPr>
        <w:t>á</w:t>
      </w:r>
      <w:r w:rsidRPr="00005A62">
        <w:rPr>
          <w:rFonts w:asciiTheme="majorHAnsi" w:hAnsiTheme="majorHAnsi"/>
          <w:sz w:val="20"/>
          <w:szCs w:val="20"/>
        </w:rPr>
        <w:t xml:space="preserve"> sobrepescado ni se est</w:t>
      </w:r>
      <w:r w:rsidR="003E16A3" w:rsidRPr="00005A62">
        <w:rPr>
          <w:rFonts w:asciiTheme="majorHAnsi" w:hAnsiTheme="majorHAnsi"/>
          <w:sz w:val="20"/>
          <w:szCs w:val="20"/>
        </w:rPr>
        <w:t>á</w:t>
      </w:r>
      <w:r w:rsidRPr="00005A62">
        <w:rPr>
          <w:rFonts w:asciiTheme="majorHAnsi" w:hAnsiTheme="majorHAnsi"/>
          <w:sz w:val="20"/>
          <w:szCs w:val="20"/>
        </w:rPr>
        <w:t xml:space="preserve"> produciendo sobrepesca;</w:t>
      </w:r>
    </w:p>
    <w:p w14:paraId="067714B7" w14:textId="77777777" w:rsidR="007C3C39" w:rsidRPr="00005A62" w:rsidRDefault="007C3C39" w:rsidP="00AA634A">
      <w:pPr>
        <w:pStyle w:val="Default"/>
        <w:jc w:val="both"/>
        <w:rPr>
          <w:color w:val="auto"/>
          <w:sz w:val="20"/>
          <w:szCs w:val="20"/>
        </w:rPr>
      </w:pPr>
    </w:p>
    <w:p w14:paraId="5FB96C88" w14:textId="7AAE182C" w:rsidR="00294B6A" w:rsidRPr="00005A62" w:rsidRDefault="002C4BAE" w:rsidP="006D3587">
      <w:pPr>
        <w:pStyle w:val="Default"/>
        <w:ind w:firstLine="426"/>
        <w:jc w:val="both"/>
        <w:rPr>
          <w:color w:val="auto"/>
          <w:sz w:val="20"/>
          <w:szCs w:val="20"/>
        </w:rPr>
      </w:pPr>
      <w:r w:rsidRPr="00005A62">
        <w:rPr>
          <w:i/>
          <w:iCs/>
          <w:color w:val="auto"/>
          <w:sz w:val="20"/>
          <w:szCs w:val="20"/>
        </w:rPr>
        <w:t>ENTENDIENDO</w:t>
      </w:r>
      <w:r w:rsidRPr="00005A62">
        <w:rPr>
          <w:color w:val="auto"/>
          <w:sz w:val="20"/>
          <w:szCs w:val="20"/>
        </w:rPr>
        <w:t xml:space="preserve"> que los objetivos conceptuales son objetivos aspiracionales de alto nivel que verbalizan una meta genérica deseada sin incluir detalles específicos sobre una meta medible o un plazo de </w:t>
      </w:r>
      <w:r w:rsidR="006925DD" w:rsidRPr="00005A62">
        <w:rPr>
          <w:color w:val="auto"/>
          <w:sz w:val="20"/>
          <w:szCs w:val="20"/>
        </w:rPr>
        <w:t>realización,</w:t>
      </w:r>
      <w:r w:rsidRPr="00005A62">
        <w:rPr>
          <w:color w:val="auto"/>
          <w:sz w:val="20"/>
          <w:szCs w:val="20"/>
        </w:rPr>
        <w:t xml:space="preserve"> mientras que los objetivos operativos son un componente </w:t>
      </w:r>
      <w:r w:rsidR="00467212" w:rsidRPr="00005A62">
        <w:rPr>
          <w:color w:val="auto"/>
          <w:sz w:val="20"/>
          <w:szCs w:val="20"/>
        </w:rPr>
        <w:t>fundamental</w:t>
      </w:r>
      <w:r w:rsidRPr="00005A62">
        <w:rPr>
          <w:color w:val="auto"/>
          <w:sz w:val="20"/>
          <w:szCs w:val="20"/>
        </w:rPr>
        <w:t xml:space="preserve"> clave de cualquier MSE y proporcionan metas específicas y medibles, con probabilidades asociadas de alcanzar esas metas en plazos determinados; </w:t>
      </w:r>
    </w:p>
    <w:p w14:paraId="54291C20" w14:textId="77777777" w:rsidR="007C3C39" w:rsidRPr="00005A62" w:rsidRDefault="007C3C39" w:rsidP="00AA634A">
      <w:pPr>
        <w:spacing w:after="0" w:line="240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4828E94B" w14:textId="26D71727" w:rsidR="007C3C39" w:rsidRPr="00005A62" w:rsidRDefault="00E07A86" w:rsidP="006D3587">
      <w:pPr>
        <w:pStyle w:val="Default"/>
        <w:ind w:firstLine="426"/>
        <w:jc w:val="both"/>
        <w:rPr>
          <w:rFonts w:asciiTheme="majorHAnsi" w:hAnsiTheme="majorHAnsi"/>
          <w:sz w:val="20"/>
          <w:szCs w:val="20"/>
        </w:rPr>
      </w:pPr>
      <w:r w:rsidRPr="00005A62">
        <w:rPr>
          <w:rFonts w:asciiTheme="majorHAnsi" w:hAnsiTheme="majorHAnsi"/>
          <w:i/>
          <w:iCs/>
          <w:sz w:val="20"/>
          <w:szCs w:val="20"/>
        </w:rPr>
        <w:t>RECORDANDO</w:t>
      </w:r>
      <w:r w:rsidRPr="00005A62">
        <w:rPr>
          <w:rFonts w:asciiTheme="majorHAnsi" w:hAnsiTheme="majorHAnsi"/>
          <w:sz w:val="20"/>
          <w:szCs w:val="20"/>
        </w:rPr>
        <w:t xml:space="preserve"> que los indicadores de desempeño preliminares acordados por la Comisión para los túnidos tropicales, tal y como se indica en la</w:t>
      </w:r>
      <w:r w:rsidRPr="00005A62">
        <w:rPr>
          <w:rFonts w:asciiTheme="majorHAnsi" w:hAnsiTheme="majorHAnsi"/>
          <w:i/>
          <w:iCs/>
          <w:sz w:val="20"/>
          <w:szCs w:val="20"/>
        </w:rPr>
        <w:t xml:space="preserve"> Recomendación de ICCAT sobre un programa plurianual de conservación y ordenación de túnidos tropicale</w:t>
      </w:r>
      <w:r w:rsidRPr="00005A62">
        <w:rPr>
          <w:rFonts w:asciiTheme="majorHAnsi" w:hAnsiTheme="majorHAnsi"/>
          <w:sz w:val="20"/>
          <w:szCs w:val="20"/>
        </w:rPr>
        <w:t>s (Rec. 16-01), incluyen cuatro categorías de objetivos de ordenación, a saber, estado, seguridad, rendimiento y estabilidad;</w:t>
      </w:r>
    </w:p>
    <w:p w14:paraId="648AAAC6" w14:textId="77777777" w:rsidR="007C3C39" w:rsidRPr="00005A62" w:rsidRDefault="007C3C39" w:rsidP="00AA634A">
      <w:pPr>
        <w:pStyle w:val="Default"/>
        <w:ind w:firstLine="720"/>
        <w:jc w:val="both"/>
        <w:rPr>
          <w:color w:val="auto"/>
          <w:sz w:val="20"/>
          <w:szCs w:val="20"/>
        </w:rPr>
      </w:pPr>
    </w:p>
    <w:p w14:paraId="36C6678A" w14:textId="59F45077" w:rsidR="007C3C39" w:rsidRPr="00005A62" w:rsidRDefault="00E07A86" w:rsidP="006D3587">
      <w:pPr>
        <w:pStyle w:val="Default"/>
        <w:ind w:firstLine="426"/>
        <w:jc w:val="both"/>
        <w:rPr>
          <w:color w:val="auto"/>
          <w:sz w:val="20"/>
          <w:szCs w:val="20"/>
        </w:rPr>
      </w:pPr>
      <w:r w:rsidRPr="00005A62">
        <w:rPr>
          <w:i/>
          <w:iCs/>
          <w:color w:val="auto"/>
          <w:sz w:val="20"/>
          <w:szCs w:val="20"/>
        </w:rPr>
        <w:t>CONSIDERANDO</w:t>
      </w:r>
      <w:r w:rsidRPr="00005A62">
        <w:rPr>
          <w:color w:val="auto"/>
          <w:sz w:val="20"/>
          <w:szCs w:val="20"/>
        </w:rPr>
        <w:t xml:space="preserve"> que la Comisión tiene previsto </w:t>
      </w:r>
      <w:r w:rsidR="003E16A3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adoptar un MP</w:t>
      </w:r>
      <w:r w:rsidRPr="00005A62">
        <w:rPr>
          <w:color w:val="auto"/>
          <w:sz w:val="20"/>
          <w:szCs w:val="20"/>
        </w:rPr>
        <w:t xml:space="preserve"> para el listado del Atlántico occidental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en</w:t>
      </w:r>
      <w:r w:rsidRPr="00005A62">
        <w:rPr>
          <w:color w:val="auto"/>
          <w:sz w:val="20"/>
          <w:szCs w:val="20"/>
        </w:rPr>
        <w:t xml:space="preserve"> 2023; </w:t>
      </w:r>
    </w:p>
    <w:p w14:paraId="4283AC40" w14:textId="77777777" w:rsidR="007C3C39" w:rsidRPr="00005A62" w:rsidRDefault="007C3C39" w:rsidP="00AA634A">
      <w:pPr>
        <w:spacing w:after="0" w:line="240" w:lineRule="auto"/>
        <w:ind w:firstLine="720"/>
        <w:jc w:val="both"/>
        <w:rPr>
          <w:rFonts w:ascii="Cambria" w:hAnsi="Cambria" w:cs="Cambria"/>
          <w:color w:val="000000"/>
          <w:sz w:val="20"/>
          <w:szCs w:val="20"/>
        </w:rPr>
      </w:pPr>
    </w:p>
    <w:p w14:paraId="5073FA33" w14:textId="77777777" w:rsidR="007C3C39" w:rsidRPr="00005A62" w:rsidRDefault="00E07A86" w:rsidP="00AA634A">
      <w:pPr>
        <w:spacing w:after="0" w:line="240" w:lineRule="auto"/>
        <w:jc w:val="center"/>
        <w:rPr>
          <w:rFonts w:ascii="Cambria" w:hAnsi="Cambria" w:cs="Cambria"/>
          <w:color w:val="000000"/>
          <w:sz w:val="20"/>
          <w:szCs w:val="20"/>
        </w:rPr>
      </w:pPr>
      <w:r w:rsidRPr="00005A62">
        <w:rPr>
          <w:rFonts w:ascii="Cambria" w:hAnsi="Cambria"/>
          <w:color w:val="000000"/>
          <w:sz w:val="20"/>
          <w:szCs w:val="20"/>
        </w:rPr>
        <w:t>LA COMISIÓN INTERNACIONAL PARA LA CONSERVACIÓN</w:t>
      </w:r>
    </w:p>
    <w:p w14:paraId="0C526666" w14:textId="77777777" w:rsidR="007C3C39" w:rsidRPr="00005A62" w:rsidRDefault="00E07A86" w:rsidP="00AA634A">
      <w:pPr>
        <w:spacing w:after="0" w:line="240" w:lineRule="auto"/>
        <w:jc w:val="center"/>
        <w:rPr>
          <w:rFonts w:ascii="Cambria" w:hAnsi="Cambria" w:cs="Cambria"/>
          <w:color w:val="000000"/>
          <w:sz w:val="20"/>
          <w:szCs w:val="20"/>
        </w:rPr>
      </w:pPr>
      <w:r w:rsidRPr="00005A62">
        <w:rPr>
          <w:rFonts w:ascii="Cambria" w:hAnsi="Cambria"/>
          <w:color w:val="000000"/>
          <w:sz w:val="20"/>
          <w:szCs w:val="20"/>
        </w:rPr>
        <w:t>DEL ATÚN ATLÁNTICO (ICCAT) RESUELVE LO SIGUIENTE:</w:t>
      </w:r>
    </w:p>
    <w:p w14:paraId="502F11CC" w14:textId="77777777" w:rsidR="007C3C39" w:rsidRPr="00005A62" w:rsidRDefault="007C3C39" w:rsidP="00AA634A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38CAA889" w14:textId="687AAB8F" w:rsidR="007C3C39" w:rsidRPr="00005A62" w:rsidRDefault="00E07A86" w:rsidP="002D58E3">
      <w:pPr>
        <w:pStyle w:val="Default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sz w:val="20"/>
          <w:szCs w:val="20"/>
        </w:rPr>
        <w:t>Deberían establecerse objetivos de ordenación para el listado del Atlántico occidental que sean coherentes con el objetivo del Convenio</w:t>
      </w:r>
      <w:r w:rsidR="006925DD" w:rsidRPr="00005A62">
        <w:rPr>
          <w:sz w:val="20"/>
          <w:szCs w:val="20"/>
        </w:rPr>
        <w:t xml:space="preserve"> de </w:t>
      </w:r>
      <w:r w:rsidRPr="00005A62">
        <w:rPr>
          <w:sz w:val="20"/>
          <w:szCs w:val="20"/>
        </w:rPr>
        <w:t>mantener las poblaciones en o por encima de los niveles que soporten la captura máxima sostenible (normalmente denominada RMS).</w:t>
      </w:r>
    </w:p>
    <w:p w14:paraId="50874DDD" w14:textId="77777777" w:rsidR="002D58E3" w:rsidRPr="00005A62" w:rsidRDefault="002D58E3" w:rsidP="00D20623">
      <w:pPr>
        <w:pStyle w:val="Default"/>
        <w:ind w:left="426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51B0590C" w14:textId="0701CBEF" w:rsidR="007C3C39" w:rsidRPr="00005A62" w:rsidRDefault="00F321EE" w:rsidP="00D20623">
      <w:pPr>
        <w:pStyle w:val="Default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 xml:space="preserve">La Subcomisión 1 debería emprender, durante una reunión intersesiones de 2023 de la Subcomisión 1, el desarrollo de objetivos de ordenación operativos iniciales para el listado occidental. </w:t>
      </w:r>
      <w:r w:rsidR="009C1ADE" w:rsidRPr="00005A62">
        <w:rPr>
          <w:rFonts w:asciiTheme="majorHAnsi" w:hAnsiTheme="majorHAnsi"/>
          <w:color w:val="auto"/>
          <w:sz w:val="20"/>
          <w:szCs w:val="20"/>
        </w:rPr>
        <w:t>Con el fin de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facilitar este desarrollo, deberían considerarse los siguientes objetivos de ordenación conceptuales: </w:t>
      </w:r>
    </w:p>
    <w:p w14:paraId="5692FD36" w14:textId="538C4E2E" w:rsidR="00D20623" w:rsidRPr="00005A62" w:rsidRDefault="00D20623" w:rsidP="00467212">
      <w:pPr>
        <w:pStyle w:val="ListParagraph"/>
        <w:tabs>
          <w:tab w:val="left" w:pos="322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55513EC" w14:textId="0B2FA7E7" w:rsidR="007C3C39" w:rsidRPr="00005A62" w:rsidRDefault="00E07A86" w:rsidP="00D20623">
      <w:pPr>
        <w:pStyle w:val="Default"/>
        <w:widowControl w:val="0"/>
        <w:numPr>
          <w:ilvl w:val="0"/>
          <w:numId w:val="1"/>
        </w:numPr>
        <w:ind w:left="851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 xml:space="preserve">Estado del stock </w:t>
      </w:r>
    </w:p>
    <w:p w14:paraId="3E48EEE8" w14:textId="77777777" w:rsidR="00D20623" w:rsidRPr="00005A62" w:rsidRDefault="00D20623" w:rsidP="00D20623">
      <w:pPr>
        <w:pStyle w:val="Default"/>
        <w:widowControl w:val="0"/>
        <w:ind w:left="72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5BEA3A85" w14:textId="2BD21E8F" w:rsidR="007C3C39" w:rsidRPr="00005A62" w:rsidRDefault="00E07A86" w:rsidP="00D20623">
      <w:pPr>
        <w:pStyle w:val="Default"/>
        <w:widowControl w:val="0"/>
        <w:numPr>
          <w:ilvl w:val="1"/>
          <w:numId w:val="1"/>
        </w:numPr>
        <w:ind w:left="1276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>El stock debería tener un</w:t>
      </w:r>
      <w:r w:rsidR="003E16A3" w:rsidRPr="00005A62">
        <w:rPr>
          <w:rFonts w:asciiTheme="majorHAnsi" w:hAnsiTheme="majorHAnsi"/>
          <w:color w:val="auto"/>
          <w:sz w:val="20"/>
          <w:szCs w:val="20"/>
        </w:rPr>
        <w:t>a probabilidad del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[</w:t>
      </w:r>
      <w:r w:rsidR="00C8168C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XX </w:t>
      </w:r>
      <w:r w:rsidR="003E16A3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%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 o superior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] de situarse en el cuadrante verde de la matriz de Kobe </w:t>
      </w:r>
      <w:r w:rsidR="00F321EE" w:rsidRPr="00005A62">
        <w:rPr>
          <w:rFonts w:asciiTheme="majorHAnsi" w:hAnsiTheme="majorHAnsi"/>
          <w:color w:val="auto"/>
          <w:sz w:val="20"/>
          <w:szCs w:val="20"/>
        </w:rPr>
        <w:t xml:space="preserve">utilizando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periodo</w:t>
      </w:r>
      <w:r w:rsidR="00F321EE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s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 de proyección de </w:t>
      </w:r>
      <w:r w:rsidR="00F321EE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[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X</w:t>
      </w:r>
      <w:r w:rsidR="00F321EE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]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 años tal y como lo determine el SCRS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;  </w:t>
      </w:r>
    </w:p>
    <w:p w14:paraId="56063512" w14:textId="2EBAA4DB" w:rsidR="00D20623" w:rsidRPr="00005A62" w:rsidRDefault="00D20623" w:rsidP="00D20623">
      <w:pPr>
        <w:pStyle w:val="Default"/>
        <w:widowControl w:val="0"/>
        <w:ind w:left="1276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49533E20" w14:textId="19831FEE" w:rsidR="003E2363" w:rsidRPr="00005A62" w:rsidRDefault="003E2363" w:rsidP="00D20623">
      <w:pPr>
        <w:pStyle w:val="Default"/>
        <w:widowControl w:val="0"/>
        <w:ind w:left="1276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566C99D1" w14:textId="05AFC739" w:rsidR="003E2363" w:rsidRDefault="003E2363" w:rsidP="00D20623">
      <w:pPr>
        <w:pStyle w:val="Default"/>
        <w:widowControl w:val="0"/>
        <w:ind w:left="1276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437A9BFD" w14:textId="77777777" w:rsidR="00393D15" w:rsidRPr="00005A62" w:rsidRDefault="00393D15" w:rsidP="00D20623">
      <w:pPr>
        <w:pStyle w:val="Default"/>
        <w:widowControl w:val="0"/>
        <w:ind w:left="1276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43D3EED6" w14:textId="0F0217A5" w:rsidR="007C3C39" w:rsidRPr="00005A62" w:rsidRDefault="00E07A86" w:rsidP="00D20623">
      <w:pPr>
        <w:pStyle w:val="Default"/>
        <w:widowControl w:val="0"/>
        <w:numPr>
          <w:ilvl w:val="0"/>
          <w:numId w:val="1"/>
        </w:numPr>
        <w:ind w:left="851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lastRenderedPageBreak/>
        <w:t xml:space="preserve">Seguridad: </w:t>
      </w:r>
    </w:p>
    <w:p w14:paraId="5E51D4DB" w14:textId="77777777" w:rsidR="00D20623" w:rsidRPr="00005A62" w:rsidRDefault="00D20623" w:rsidP="00D20623">
      <w:pPr>
        <w:pStyle w:val="Default"/>
        <w:widowControl w:val="0"/>
        <w:ind w:left="72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47E5E83" w14:textId="0BF45245" w:rsidR="007C3C39" w:rsidRPr="00005A62" w:rsidRDefault="00E07A86" w:rsidP="00D20623">
      <w:pPr>
        <w:pStyle w:val="Default"/>
        <w:widowControl w:val="0"/>
        <w:numPr>
          <w:ilvl w:val="1"/>
          <w:numId w:val="1"/>
        </w:numPr>
        <w:ind w:left="1276" w:hanging="425"/>
        <w:jc w:val="both"/>
        <w:rPr>
          <w:rFonts w:asciiTheme="majorHAnsi" w:eastAsiaTheme="minorHAnsi" w:hAnsiTheme="majorHAnsi" w:cstheme="minorBid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 xml:space="preserve">Debería haber </w:t>
      </w:r>
      <w:r w:rsidR="003D57C6" w:rsidRPr="00005A62">
        <w:rPr>
          <w:rFonts w:asciiTheme="majorHAnsi" w:hAnsiTheme="majorHAnsi"/>
          <w:color w:val="auto"/>
          <w:sz w:val="20"/>
          <w:szCs w:val="20"/>
        </w:rPr>
        <w:t xml:space="preserve">una probabilidad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no superior</w:t>
      </w:r>
      <w:r w:rsidR="003D57C6" w:rsidRPr="00005A62">
        <w:rPr>
          <w:rFonts w:asciiTheme="majorHAnsi" w:hAnsiTheme="majorHAnsi"/>
          <w:color w:val="auto"/>
          <w:sz w:val="20"/>
          <w:szCs w:val="20"/>
        </w:rPr>
        <w:t xml:space="preserve"> al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[</w:t>
      </w:r>
      <w:r w:rsidR="00C8168C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XX 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%</w:t>
      </w:r>
      <w:r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]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de que el stock se sitúe por debajo de B</w:t>
      </w:r>
      <w:r w:rsidRPr="00005A62">
        <w:rPr>
          <w:rFonts w:asciiTheme="majorHAnsi" w:hAnsiTheme="majorHAnsi"/>
          <w:color w:val="auto"/>
          <w:sz w:val="20"/>
          <w:szCs w:val="20"/>
          <w:vertAlign w:val="subscript"/>
        </w:rPr>
        <w:t>LIM</w:t>
      </w:r>
      <w:r w:rsidR="00F321EE" w:rsidRPr="00005A62">
        <w:rPr>
          <w:rStyle w:val="FootnoteReference"/>
          <w:rFonts w:asciiTheme="majorHAnsi" w:hAnsiTheme="majorHAnsi"/>
          <w:color w:val="auto"/>
          <w:sz w:val="20"/>
          <w:szCs w:val="20"/>
        </w:rPr>
        <w:footnoteReference w:id="1"/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en cualquier momento durante periodo</w:t>
      </w:r>
      <w:r w:rsidR="00F321EE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s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 de proyección de X años;</w:t>
      </w:r>
      <w:r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 </w:t>
      </w:r>
    </w:p>
    <w:p w14:paraId="4BA2F26D" w14:textId="453B2C78" w:rsidR="0080681F" w:rsidRPr="00005A62" w:rsidRDefault="0080681F" w:rsidP="00D20623">
      <w:pPr>
        <w:pStyle w:val="Default"/>
        <w:widowControl w:val="0"/>
        <w:ind w:left="144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6EFC881A" w14:textId="7E6715B0" w:rsidR="007C3C39" w:rsidRPr="00005A62" w:rsidRDefault="00E07A86" w:rsidP="00D20623">
      <w:pPr>
        <w:pStyle w:val="Default"/>
        <w:widowControl w:val="0"/>
        <w:numPr>
          <w:ilvl w:val="0"/>
          <w:numId w:val="1"/>
        </w:numPr>
        <w:ind w:left="851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>Rendimiento</w:t>
      </w:r>
      <w:r w:rsidR="00B2691C" w:rsidRPr="00005A62">
        <w:rPr>
          <w:rFonts w:asciiTheme="majorHAnsi" w:hAnsiTheme="majorHAnsi"/>
          <w:color w:val="auto"/>
          <w:sz w:val="20"/>
          <w:szCs w:val="20"/>
        </w:rPr>
        <w:t>: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14:paraId="1FE7A24F" w14:textId="77777777" w:rsidR="00D20623" w:rsidRPr="00005A62" w:rsidRDefault="00D20623" w:rsidP="00D20623">
      <w:pPr>
        <w:pStyle w:val="Default"/>
        <w:widowControl w:val="0"/>
        <w:ind w:left="72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68FE3658" w14:textId="6BD776EE" w:rsidR="007C3C39" w:rsidRPr="00005A62" w:rsidRDefault="00E07A86" w:rsidP="00D20623">
      <w:pPr>
        <w:pStyle w:val="Default"/>
        <w:widowControl w:val="0"/>
        <w:numPr>
          <w:ilvl w:val="1"/>
          <w:numId w:val="1"/>
        </w:numPr>
        <w:ind w:left="1276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sz w:val="20"/>
          <w:szCs w:val="20"/>
        </w:rPr>
        <w:t xml:space="preserve">Maximizar los niveles globales de capturas </w:t>
      </w:r>
      <w:r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a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corto (1-3 años), </w:t>
      </w:r>
      <w:r w:rsidRPr="00005A62">
        <w:rPr>
          <w:rFonts w:asciiTheme="majorHAnsi" w:hAnsiTheme="majorHAnsi"/>
          <w:sz w:val="20"/>
          <w:szCs w:val="20"/>
        </w:rPr>
        <w:t>medio (4-10 años) y largo plazo (1</w:t>
      </w:r>
      <w:r w:rsidR="00BE1F9D" w:rsidRPr="00005A62">
        <w:rPr>
          <w:rFonts w:asciiTheme="majorHAnsi" w:hAnsiTheme="majorHAnsi"/>
          <w:sz w:val="20"/>
          <w:szCs w:val="20"/>
        </w:rPr>
        <w:t>1</w:t>
      </w:r>
      <w:r w:rsidRPr="00005A62">
        <w:rPr>
          <w:rFonts w:asciiTheme="majorHAnsi" w:hAnsiTheme="majorHAnsi"/>
          <w:sz w:val="20"/>
          <w:szCs w:val="20"/>
        </w:rPr>
        <w:t>-30 años); y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 </w:t>
      </w:r>
    </w:p>
    <w:p w14:paraId="593BCE4A" w14:textId="77777777" w:rsidR="0080681F" w:rsidRPr="00005A62" w:rsidRDefault="0080681F" w:rsidP="0080681F">
      <w:pPr>
        <w:pStyle w:val="Default"/>
        <w:widowControl w:val="0"/>
        <w:ind w:left="1276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7B77B332" w14:textId="6665D2DC" w:rsidR="007C3C39" w:rsidRPr="00005A62" w:rsidRDefault="00E07A86" w:rsidP="00D20623">
      <w:pPr>
        <w:pStyle w:val="Default"/>
        <w:widowControl w:val="0"/>
        <w:numPr>
          <w:ilvl w:val="0"/>
          <w:numId w:val="1"/>
        </w:numPr>
        <w:ind w:left="851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 xml:space="preserve">Estabilidad:  </w:t>
      </w:r>
    </w:p>
    <w:p w14:paraId="6B5723ED" w14:textId="77777777" w:rsidR="0080681F" w:rsidRPr="00005A62" w:rsidRDefault="0080681F" w:rsidP="0080681F">
      <w:pPr>
        <w:pStyle w:val="Default"/>
        <w:widowControl w:val="0"/>
        <w:ind w:left="851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A226E37" w14:textId="4E18900A" w:rsidR="007C3C39" w:rsidRPr="00005A62" w:rsidRDefault="00E07A86" w:rsidP="0080681F">
      <w:pPr>
        <w:pStyle w:val="Default"/>
        <w:widowControl w:val="0"/>
        <w:numPr>
          <w:ilvl w:val="1"/>
          <w:numId w:val="1"/>
        </w:numPr>
        <w:ind w:left="1276" w:hanging="425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color w:val="auto"/>
          <w:sz w:val="20"/>
          <w:szCs w:val="20"/>
        </w:rPr>
        <w:t xml:space="preserve">Cualquier cambio en el TAC entre diferentes periodos de ordenación debería </w:t>
      </w:r>
      <w:r w:rsidR="003D57C6" w:rsidRPr="00005A62">
        <w:rPr>
          <w:color w:val="auto"/>
          <w:sz w:val="20"/>
          <w:szCs w:val="20"/>
        </w:rPr>
        <w:t>se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r d</w:t>
      </w:r>
      <w:r w:rsidR="003D57C6" w:rsidRPr="00005A62">
        <w:rPr>
          <w:color w:val="auto"/>
          <w:sz w:val="20"/>
          <w:szCs w:val="20"/>
        </w:rPr>
        <w:t xml:space="preserve">e un </w:t>
      </w:r>
      <w:r w:rsidRPr="00005A62">
        <w:rPr>
          <w:color w:val="auto"/>
          <w:sz w:val="20"/>
          <w:szCs w:val="20"/>
        </w:rPr>
        <w:t>[</w:t>
      </w:r>
      <w:r w:rsidR="00C8168C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XX</w:t>
      </w:r>
      <w:r w:rsidRPr="00005A62">
        <w:rPr>
          <w:color w:val="auto"/>
          <w:sz w:val="20"/>
          <w:szCs w:val="20"/>
        </w:rPr>
        <w:t>]</w:t>
      </w:r>
      <w:r w:rsidR="00C8168C" w:rsidRPr="00005A62">
        <w:rPr>
          <w:color w:val="auto"/>
          <w:sz w:val="20"/>
          <w:szCs w:val="20"/>
        </w:rPr>
        <w:t> </w:t>
      </w:r>
      <w:r w:rsidRPr="00005A62">
        <w:rPr>
          <w:color w:val="auto"/>
          <w:sz w:val="20"/>
          <w:szCs w:val="20"/>
        </w:rPr>
        <w:t>%</w:t>
      </w:r>
      <w:r w:rsidR="003D57C6" w:rsidRPr="00005A62">
        <w:rPr>
          <w:color w:val="auto"/>
          <w:sz w:val="20"/>
          <w:szCs w:val="20"/>
        </w:rPr>
        <w:t xml:space="preserve">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o inferior.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</w:t>
      </w:r>
      <w:bookmarkStart w:id="2" w:name="_Hlk72487911"/>
      <w:bookmarkEnd w:id="2"/>
      <w:r w:rsidRPr="00005A62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14:paraId="0E846773" w14:textId="32A905C3" w:rsidR="003D57C6" w:rsidRPr="00005A62" w:rsidRDefault="003D57C6" w:rsidP="003D57C6">
      <w:pPr>
        <w:pStyle w:val="Default"/>
        <w:widowControl w:val="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194EE674" w14:textId="6EB5013D" w:rsidR="003D57C6" w:rsidRPr="00005A62" w:rsidRDefault="001074F7" w:rsidP="001074F7">
      <w:pPr>
        <w:pStyle w:val="Default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rFonts w:asciiTheme="majorHAnsi" w:hAnsiTheme="majorHAnsi"/>
          <w:color w:val="auto"/>
          <w:sz w:val="20"/>
          <w:szCs w:val="20"/>
        </w:rPr>
        <w:t xml:space="preserve">Al seguir desarrollando los objetivos de ordenación operativos iniciales, la Subcomisión 1 podrá rechazar, modificar o complementar, según proceda, los objetivos de ordenación candidatos incluidos en el párrafo 2, y estos objetivos de ordenación iniciales se remitirán al Grupo de especies de túnidos tropicales del SCRS </w:t>
      </w:r>
      <w:r w:rsidRPr="00005A62">
        <w:rPr>
          <w:sz w:val="20"/>
          <w:szCs w:val="20"/>
        </w:rPr>
        <w:t>para</w:t>
      </w:r>
      <w:r w:rsidRPr="00005A62">
        <w:rPr>
          <w:rFonts w:asciiTheme="majorHAnsi" w:hAnsiTheme="majorHAnsi"/>
          <w:color w:val="auto"/>
          <w:sz w:val="20"/>
          <w:szCs w:val="20"/>
        </w:rPr>
        <w:t xml:space="preserve"> su revisión y evaluación mediante el proceso de la MSE.</w:t>
      </w:r>
    </w:p>
    <w:p w14:paraId="55EB00EE" w14:textId="77777777" w:rsidR="00C44AB2" w:rsidRPr="00005A62" w:rsidRDefault="00C44AB2" w:rsidP="00AA634A">
      <w:pPr>
        <w:pStyle w:val="Default"/>
        <w:widowControl w:val="0"/>
        <w:ind w:left="144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4F8887A6" w14:textId="0C878997" w:rsidR="00F321EE" w:rsidRPr="00005A62" w:rsidRDefault="00E07A86" w:rsidP="002D58E3">
      <w:pPr>
        <w:pStyle w:val="Default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color w:val="auto"/>
          <w:sz w:val="20"/>
          <w:szCs w:val="20"/>
        </w:rPr>
      </w:pPr>
      <w:r w:rsidRPr="00005A62">
        <w:rPr>
          <w:sz w:val="20"/>
          <w:szCs w:val="20"/>
        </w:rPr>
        <w:t xml:space="preserve">La Subcomisión 1 presentará a la Comisión sus recomendaciones para los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objetivos </w:t>
      </w:r>
      <w:r w:rsidRPr="00005A62">
        <w:rPr>
          <w:sz w:val="20"/>
          <w:szCs w:val="20"/>
        </w:rPr>
        <w:t>de ordenación</w:t>
      </w:r>
      <w:r w:rsidR="003D57C6" w:rsidRPr="00005A62">
        <w:rPr>
          <w:sz w:val="20"/>
          <w:szCs w:val="20"/>
        </w:rPr>
        <w:t xml:space="preserve"> </w:t>
      </w:r>
      <w:r w:rsidR="003D57C6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finales</w:t>
      </w:r>
      <w:r w:rsidRPr="00005A62">
        <w:rPr>
          <w:sz w:val="20"/>
          <w:szCs w:val="20"/>
        </w:rPr>
        <w:t xml:space="preserve"> del listado del Atlántico occidental, teniendo en cuenta las aportaciones del </w:t>
      </w:r>
      <w:r w:rsidR="00467212" w:rsidRPr="00005A62">
        <w:rPr>
          <w:sz w:val="20"/>
          <w:szCs w:val="20"/>
        </w:rPr>
        <w:t>SCRS</w:t>
      </w:r>
      <w:r w:rsidR="00C8168C" w:rsidRPr="00005A62">
        <w:rPr>
          <w:sz w:val="20"/>
          <w:szCs w:val="20"/>
        </w:rPr>
        <w:t xml:space="preserve"> </w:t>
      </w:r>
      <w:r w:rsidR="00F321EE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como parte de la selección de un procedimiento de ordenación</w:t>
      </w:r>
      <w:r w:rsidR="00C8168C" w:rsidRPr="00005A62">
        <w:rPr>
          <w:sz w:val="20"/>
          <w:szCs w:val="20"/>
        </w:rPr>
        <w:t>, para que las considere en su reunión anual de 202</w:t>
      </w:r>
      <w:r w:rsidR="00C8168C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 xml:space="preserve">3 o lo antes posible a partir de </w:t>
      </w:r>
      <w:r w:rsidR="009C1ADE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entonces</w:t>
      </w:r>
      <w:r w:rsidR="00C8168C" w:rsidRPr="00005A62">
        <w:rPr>
          <w:rFonts w:asciiTheme="majorHAnsi" w:eastAsiaTheme="minorHAnsi" w:hAnsiTheme="majorHAnsi" w:cstheme="minorBidi"/>
          <w:color w:val="auto"/>
          <w:sz w:val="20"/>
          <w:szCs w:val="20"/>
        </w:rPr>
        <w:t>.</w:t>
      </w:r>
    </w:p>
    <w:sectPr w:rsidR="00F321EE" w:rsidRPr="00005A62" w:rsidSect="00467212">
      <w:footerReference w:type="default" r:id="rId8"/>
      <w:pgSz w:w="11907" w:h="16840" w:code="9"/>
      <w:pgMar w:top="1418" w:right="1418" w:bottom="1418" w:left="1418" w:header="851" w:footer="6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66AA" w14:textId="77777777" w:rsidR="00B9538E" w:rsidRDefault="00B9538E">
      <w:pPr>
        <w:spacing w:after="0" w:line="240" w:lineRule="auto"/>
      </w:pPr>
      <w:r>
        <w:separator/>
      </w:r>
    </w:p>
  </w:endnote>
  <w:endnote w:type="continuationSeparator" w:id="0">
    <w:p w14:paraId="50577B9F" w14:textId="77777777" w:rsidR="00B9538E" w:rsidRDefault="00B9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DFD9" w14:textId="217722A3" w:rsidR="003D4EC2" w:rsidRPr="003D4EC2" w:rsidRDefault="003D4EC2" w:rsidP="003D4EC2">
    <w:pPr>
      <w:tabs>
        <w:tab w:val="center" w:pos="4535"/>
        <w:tab w:val="center" w:pos="4680"/>
        <w:tab w:val="left" w:pos="6150"/>
        <w:tab w:val="right" w:pos="9360"/>
      </w:tabs>
      <w:suppressAutoHyphens w:val="0"/>
      <w:jc w:val="center"/>
      <w:rPr>
        <w:rFonts w:ascii="Cambria" w:eastAsia="Calibri" w:hAnsi="Cambria" w:cs="Calibri"/>
        <w:sz w:val="20"/>
      </w:rPr>
    </w:pPr>
    <w:r w:rsidRPr="003D4EC2">
      <w:rPr>
        <w:rFonts w:ascii="Cambria" w:eastAsia="Calibri" w:hAnsi="Cambria" w:cs="Calibri"/>
        <w:sz w:val="20"/>
        <w:szCs w:val="20"/>
      </w:rPr>
      <w:fldChar w:fldCharType="begin"/>
    </w:r>
    <w:r w:rsidRPr="003D4EC2">
      <w:rPr>
        <w:rFonts w:ascii="Cambria" w:eastAsia="Calibri" w:hAnsi="Cambria" w:cs="Calibri"/>
        <w:sz w:val="20"/>
        <w:szCs w:val="20"/>
      </w:rPr>
      <w:instrText xml:space="preserve"> PAGE </w:instrText>
    </w:r>
    <w:r w:rsidRPr="003D4EC2">
      <w:rPr>
        <w:rFonts w:ascii="Cambria" w:eastAsia="Calibri" w:hAnsi="Cambria" w:cs="Calibri"/>
        <w:sz w:val="20"/>
        <w:szCs w:val="20"/>
      </w:rPr>
      <w:fldChar w:fldCharType="separate"/>
    </w:r>
    <w:r w:rsidRPr="003D4EC2">
      <w:rPr>
        <w:rFonts w:ascii="Cambria" w:eastAsia="Calibri" w:hAnsi="Cambria" w:cs="Calibri"/>
        <w:sz w:val="20"/>
        <w:szCs w:val="20"/>
      </w:rPr>
      <w:t>1</w:t>
    </w:r>
    <w:r w:rsidRPr="003D4EC2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5F3" w14:textId="77777777" w:rsidR="00B9538E" w:rsidRDefault="00B9538E">
      <w:pPr>
        <w:spacing w:after="0" w:line="240" w:lineRule="auto"/>
      </w:pPr>
      <w:r>
        <w:separator/>
      </w:r>
    </w:p>
  </w:footnote>
  <w:footnote w:type="continuationSeparator" w:id="0">
    <w:p w14:paraId="2E160AC1" w14:textId="77777777" w:rsidR="00B9538E" w:rsidRDefault="00B9538E">
      <w:pPr>
        <w:spacing w:after="0" w:line="240" w:lineRule="auto"/>
      </w:pPr>
      <w:r>
        <w:continuationSeparator/>
      </w:r>
    </w:p>
  </w:footnote>
  <w:footnote w:id="1">
    <w:p w14:paraId="3A9C977D" w14:textId="53A5FBA9" w:rsidR="00F321EE" w:rsidRPr="00321F69" w:rsidRDefault="00F321EE">
      <w:pPr>
        <w:pStyle w:val="FootnoteText"/>
        <w:rPr>
          <w:rFonts w:asciiTheme="majorHAnsi" w:hAnsiTheme="majorHAnsi"/>
          <w:sz w:val="16"/>
          <w:szCs w:val="16"/>
        </w:rPr>
      </w:pPr>
      <w:r w:rsidRPr="00321F6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21F69">
        <w:rPr>
          <w:rFonts w:asciiTheme="majorHAnsi" w:hAnsiTheme="majorHAnsi"/>
          <w:sz w:val="16"/>
          <w:szCs w:val="16"/>
        </w:rPr>
        <w:t xml:space="preserve"> El SCRS asesorará sobre una B</w:t>
      </w:r>
      <w:r w:rsidRPr="00321F69">
        <w:rPr>
          <w:rFonts w:asciiTheme="majorHAnsi" w:hAnsiTheme="majorHAnsi"/>
          <w:sz w:val="16"/>
          <w:szCs w:val="16"/>
          <w:vertAlign w:val="subscript"/>
        </w:rPr>
        <w:t>LIM</w:t>
      </w:r>
      <w:r w:rsidRPr="00321F69">
        <w:rPr>
          <w:rFonts w:asciiTheme="majorHAnsi" w:hAnsiTheme="majorHAnsi"/>
          <w:sz w:val="16"/>
          <w:szCs w:val="16"/>
        </w:rPr>
        <w:t xml:space="preserve"> apropiad</w:t>
      </w:r>
      <w:r w:rsidR="009C1ADE" w:rsidRPr="00321F69">
        <w:rPr>
          <w:rFonts w:asciiTheme="majorHAnsi" w:hAnsiTheme="majorHAnsi"/>
          <w:sz w:val="16"/>
          <w:szCs w:val="16"/>
        </w:rPr>
        <w:t>a</w:t>
      </w:r>
      <w:r w:rsidRPr="00321F69">
        <w:rPr>
          <w:rFonts w:asciiTheme="majorHAnsi" w:hAnsiTheme="majorHAnsi"/>
          <w:sz w:val="16"/>
          <w:szCs w:val="16"/>
        </w:rPr>
        <w:t xml:space="preserve"> para el listado del Atlántico occidental.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D43"/>
    <w:multiLevelType w:val="multilevel"/>
    <w:tmpl w:val="DA60236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C673FF"/>
    <w:multiLevelType w:val="multilevel"/>
    <w:tmpl w:val="534CFE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701B75"/>
    <w:multiLevelType w:val="hybridMultilevel"/>
    <w:tmpl w:val="1C868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4244"/>
    <w:multiLevelType w:val="multilevel"/>
    <w:tmpl w:val="FE5471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4358AD"/>
    <w:multiLevelType w:val="hybridMultilevel"/>
    <w:tmpl w:val="4D9CF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6720">
    <w:abstractNumId w:val="1"/>
  </w:num>
  <w:num w:numId="2" w16cid:durableId="1952978331">
    <w:abstractNumId w:val="0"/>
  </w:num>
  <w:num w:numId="3" w16cid:durableId="416363781">
    <w:abstractNumId w:val="3"/>
  </w:num>
  <w:num w:numId="4" w16cid:durableId="1542522925">
    <w:abstractNumId w:val="4"/>
  </w:num>
  <w:num w:numId="5" w16cid:durableId="55701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39"/>
    <w:rsid w:val="0000034C"/>
    <w:rsid w:val="00005A62"/>
    <w:rsid w:val="000D7632"/>
    <w:rsid w:val="000E16A1"/>
    <w:rsid w:val="001074F7"/>
    <w:rsid w:val="00191252"/>
    <w:rsid w:val="001A4071"/>
    <w:rsid w:val="00200520"/>
    <w:rsid w:val="00215B98"/>
    <w:rsid w:val="002243A7"/>
    <w:rsid w:val="00236135"/>
    <w:rsid w:val="00274C8F"/>
    <w:rsid w:val="00294B6A"/>
    <w:rsid w:val="002C4BAE"/>
    <w:rsid w:val="002D58E3"/>
    <w:rsid w:val="00321F69"/>
    <w:rsid w:val="003500D2"/>
    <w:rsid w:val="00393D15"/>
    <w:rsid w:val="003C74D6"/>
    <w:rsid w:val="003D4EC2"/>
    <w:rsid w:val="003D57C6"/>
    <w:rsid w:val="003E16A3"/>
    <w:rsid w:val="003E2363"/>
    <w:rsid w:val="00464213"/>
    <w:rsid w:val="00467212"/>
    <w:rsid w:val="004726FA"/>
    <w:rsid w:val="004A0F2E"/>
    <w:rsid w:val="004F1167"/>
    <w:rsid w:val="005128BD"/>
    <w:rsid w:val="0054021C"/>
    <w:rsid w:val="005C25D9"/>
    <w:rsid w:val="005D0E9A"/>
    <w:rsid w:val="005D12E7"/>
    <w:rsid w:val="005F0A34"/>
    <w:rsid w:val="006873A9"/>
    <w:rsid w:val="006925DD"/>
    <w:rsid w:val="006D0B5C"/>
    <w:rsid w:val="006D3587"/>
    <w:rsid w:val="006D4360"/>
    <w:rsid w:val="007C3C39"/>
    <w:rsid w:val="007E50D7"/>
    <w:rsid w:val="007F53FA"/>
    <w:rsid w:val="0080681F"/>
    <w:rsid w:val="008615EE"/>
    <w:rsid w:val="00867C0F"/>
    <w:rsid w:val="00867CB5"/>
    <w:rsid w:val="0087129E"/>
    <w:rsid w:val="008A70F1"/>
    <w:rsid w:val="008D7933"/>
    <w:rsid w:val="00923665"/>
    <w:rsid w:val="00942B63"/>
    <w:rsid w:val="009642F1"/>
    <w:rsid w:val="009A3B0C"/>
    <w:rsid w:val="009A5121"/>
    <w:rsid w:val="009B4545"/>
    <w:rsid w:val="009C1ADE"/>
    <w:rsid w:val="009D64A3"/>
    <w:rsid w:val="00A51900"/>
    <w:rsid w:val="00AA634A"/>
    <w:rsid w:val="00AD1E5B"/>
    <w:rsid w:val="00AE1E17"/>
    <w:rsid w:val="00AF054B"/>
    <w:rsid w:val="00B05088"/>
    <w:rsid w:val="00B250F3"/>
    <w:rsid w:val="00B2691C"/>
    <w:rsid w:val="00B80660"/>
    <w:rsid w:val="00B9538E"/>
    <w:rsid w:val="00BA0B2C"/>
    <w:rsid w:val="00BC14B2"/>
    <w:rsid w:val="00BE1F9D"/>
    <w:rsid w:val="00C07A37"/>
    <w:rsid w:val="00C33ECC"/>
    <w:rsid w:val="00C44AB2"/>
    <w:rsid w:val="00C8168C"/>
    <w:rsid w:val="00D20623"/>
    <w:rsid w:val="00D56845"/>
    <w:rsid w:val="00D87917"/>
    <w:rsid w:val="00DB6529"/>
    <w:rsid w:val="00DE0862"/>
    <w:rsid w:val="00DF62F4"/>
    <w:rsid w:val="00E07A86"/>
    <w:rsid w:val="00E164D5"/>
    <w:rsid w:val="00E435F3"/>
    <w:rsid w:val="00E520ED"/>
    <w:rsid w:val="00EA7A8F"/>
    <w:rsid w:val="00EF4621"/>
    <w:rsid w:val="00EF46E9"/>
    <w:rsid w:val="00F10C6E"/>
    <w:rsid w:val="00F11209"/>
    <w:rsid w:val="00F321EE"/>
    <w:rsid w:val="00FB4573"/>
    <w:rsid w:val="00F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75820D"/>
  <w15:docId w15:val="{4BD23FD3-00F4-4DBA-AA49-E6B0A967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558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3864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90AB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90AB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90A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56E1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A656E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1024"/>
  </w:style>
  <w:style w:type="character" w:customStyle="1" w:styleId="FooterChar">
    <w:name w:val="Footer Char"/>
    <w:basedOn w:val="DefaultParagraphFont"/>
    <w:link w:val="Footer"/>
    <w:uiPriority w:val="99"/>
    <w:qFormat/>
    <w:rsid w:val="00221024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459AB"/>
    <w:rPr>
      <w:rFonts w:ascii="Calibri" w:eastAsia="SimSun" w:hAnsi="Calibri" w:cs="Calibri"/>
      <w:lang w:eastAsia="zh-CN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459A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ntstyle11">
    <w:name w:val="fontstyle11"/>
    <w:basedOn w:val="DefaultParagraphFont"/>
    <w:qFormat/>
    <w:rsid w:val="001209D9"/>
    <w:rPr>
      <w:rFonts w:ascii="Cambria" w:hAnsi="Cambria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55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55587"/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5D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90AB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90ABE"/>
    <w:rPr>
      <w:b/>
      <w:bCs/>
    </w:rPr>
  </w:style>
  <w:style w:type="paragraph" w:styleId="Revision">
    <w:name w:val="Revision"/>
    <w:uiPriority w:val="99"/>
    <w:semiHidden/>
    <w:qFormat/>
    <w:rsid w:val="001C6653"/>
  </w:style>
  <w:style w:type="paragraph" w:styleId="NormalWeb">
    <w:name w:val="Normal (Web)"/>
    <w:basedOn w:val="Normal"/>
    <w:uiPriority w:val="99"/>
    <w:semiHidden/>
    <w:unhideWhenUsed/>
    <w:qFormat/>
    <w:rsid w:val="005A31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2102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21024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59AB"/>
    <w:pPr>
      <w:snapToGrid w:val="0"/>
      <w:spacing w:after="0" w:line="240" w:lineRule="auto"/>
    </w:pPr>
    <w:rPr>
      <w:rFonts w:ascii="Calibri" w:eastAsia="SimSun" w:hAnsi="Calibri" w:cs="Calibri"/>
      <w:lang w:eastAsia="zh-CN"/>
    </w:rPr>
  </w:style>
  <w:style w:type="table" w:styleId="TableGrid">
    <w:name w:val="Table Grid"/>
    <w:basedOn w:val="TableNormal"/>
    <w:uiPriority w:val="39"/>
    <w:rsid w:val="00A8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32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E221-FF1D-4972-BF77-10F2CFA8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Author</cp:lastModifiedBy>
  <cp:revision>21</cp:revision>
  <cp:lastPrinted>2022-11-21T12:34:00Z</cp:lastPrinted>
  <dcterms:created xsi:type="dcterms:W3CDTF">2022-11-21T09:35:00Z</dcterms:created>
  <dcterms:modified xsi:type="dcterms:W3CDTF">2022-12-21T09:23:00Z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