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C54A" w14:textId="0EC8B93C" w:rsidR="001257FD" w:rsidRPr="00F935B0" w:rsidRDefault="00097489" w:rsidP="000974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contextualSpacing/>
        <w:rPr>
          <w:rFonts w:asciiTheme="majorHAnsi" w:hAnsiTheme="majorHAnsi"/>
          <w:b/>
          <w:sz w:val="20"/>
          <w:szCs w:val="20"/>
        </w:rPr>
      </w:pPr>
      <w:bookmarkStart w:id="0" w:name="_Hlk119752663"/>
      <w:r w:rsidRPr="00F935B0">
        <w:rPr>
          <w:rFonts w:asciiTheme="majorHAnsi" w:hAnsiTheme="majorHAnsi"/>
          <w:b/>
          <w:sz w:val="20"/>
          <w:szCs w:val="20"/>
        </w:rPr>
        <w:t>22-</w:t>
      </w:r>
      <w:r w:rsidR="003B37B2" w:rsidRPr="00F935B0">
        <w:rPr>
          <w:rFonts w:asciiTheme="majorHAnsi" w:hAnsiTheme="majorHAnsi"/>
          <w:b/>
          <w:sz w:val="20"/>
          <w:szCs w:val="20"/>
        </w:rPr>
        <w:t>02</w:t>
      </w:r>
      <w:r w:rsidRPr="00F935B0">
        <w:rPr>
          <w:rFonts w:asciiTheme="majorHAnsi" w:hAnsiTheme="majorHAnsi"/>
          <w:b/>
          <w:sz w:val="20"/>
          <w:szCs w:val="20"/>
        </w:rPr>
        <w:tab/>
      </w:r>
      <w:r w:rsidRPr="00F935B0">
        <w:rPr>
          <w:rFonts w:asciiTheme="majorHAnsi" w:hAnsiTheme="majorHAnsi"/>
          <w:b/>
          <w:sz w:val="20"/>
          <w:szCs w:val="20"/>
        </w:rPr>
        <w:tab/>
      </w:r>
      <w:r w:rsidRPr="00F935B0">
        <w:rPr>
          <w:rFonts w:asciiTheme="majorHAnsi" w:hAnsiTheme="majorHAnsi"/>
          <w:b/>
          <w:sz w:val="20"/>
          <w:szCs w:val="20"/>
        </w:rPr>
        <w:tab/>
      </w:r>
      <w:r w:rsidRPr="00F935B0">
        <w:rPr>
          <w:rFonts w:asciiTheme="majorHAnsi" w:hAnsiTheme="majorHAnsi"/>
          <w:b/>
          <w:sz w:val="20"/>
          <w:szCs w:val="20"/>
        </w:rPr>
        <w:tab/>
      </w:r>
      <w:r w:rsidRPr="00F935B0">
        <w:rPr>
          <w:rFonts w:asciiTheme="majorHAnsi" w:hAnsiTheme="majorHAnsi"/>
          <w:b/>
          <w:sz w:val="20"/>
          <w:szCs w:val="20"/>
        </w:rPr>
        <w:tab/>
      </w:r>
      <w:r w:rsidRPr="00F935B0">
        <w:rPr>
          <w:rFonts w:asciiTheme="majorHAnsi" w:hAnsiTheme="majorHAnsi"/>
          <w:b/>
          <w:sz w:val="20"/>
          <w:szCs w:val="20"/>
        </w:rPr>
        <w:tab/>
      </w:r>
      <w:r w:rsidRPr="00F935B0">
        <w:rPr>
          <w:rFonts w:asciiTheme="majorHAnsi" w:hAnsiTheme="majorHAnsi"/>
          <w:b/>
          <w:sz w:val="20"/>
          <w:szCs w:val="20"/>
        </w:rPr>
        <w:tab/>
      </w:r>
      <w:r w:rsidRPr="00F935B0">
        <w:rPr>
          <w:rFonts w:asciiTheme="majorHAnsi" w:hAnsiTheme="majorHAnsi"/>
          <w:b/>
          <w:sz w:val="20"/>
          <w:szCs w:val="20"/>
        </w:rPr>
        <w:tab/>
      </w:r>
      <w:r w:rsidR="00D01621" w:rsidRPr="00F935B0">
        <w:rPr>
          <w:rFonts w:asciiTheme="majorHAnsi" w:hAnsiTheme="majorHAnsi"/>
          <w:b/>
          <w:sz w:val="20"/>
          <w:szCs w:val="20"/>
        </w:rPr>
        <w:tab/>
      </w:r>
      <w:r w:rsidRPr="00F935B0">
        <w:rPr>
          <w:rFonts w:asciiTheme="majorHAnsi" w:hAnsiTheme="majorHAnsi"/>
          <w:b/>
          <w:sz w:val="20"/>
          <w:szCs w:val="20"/>
        </w:rPr>
        <w:tab/>
      </w:r>
      <w:r w:rsidRPr="00F935B0">
        <w:rPr>
          <w:rFonts w:asciiTheme="majorHAnsi" w:hAnsiTheme="majorHAnsi"/>
          <w:b/>
          <w:sz w:val="20"/>
          <w:szCs w:val="20"/>
        </w:rPr>
        <w:tab/>
      </w:r>
      <w:r w:rsidRPr="00F935B0">
        <w:rPr>
          <w:rFonts w:asciiTheme="majorHAnsi" w:hAnsiTheme="majorHAnsi"/>
          <w:b/>
          <w:sz w:val="20"/>
          <w:szCs w:val="20"/>
        </w:rPr>
        <w:tab/>
      </w:r>
      <w:r w:rsidR="003B37B2" w:rsidRPr="00F935B0">
        <w:rPr>
          <w:rFonts w:asciiTheme="majorHAnsi" w:hAnsiTheme="majorHAnsi"/>
          <w:b/>
          <w:sz w:val="20"/>
          <w:szCs w:val="20"/>
        </w:rPr>
        <w:t>TRO</w:t>
      </w:r>
    </w:p>
    <w:p w14:paraId="714C8B76" w14:textId="77777777" w:rsidR="001257FD" w:rsidRPr="00F935B0" w:rsidRDefault="001257FD" w:rsidP="001257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14:paraId="49BCBA23" w14:textId="4A5E0AF4" w:rsidR="007F53FA" w:rsidRPr="00F935B0" w:rsidRDefault="00AC075E" w:rsidP="001257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contextualSpacing/>
        <w:jc w:val="center"/>
        <w:rPr>
          <w:rFonts w:asciiTheme="majorHAnsi" w:hAnsiTheme="majorHAnsi"/>
          <w:b/>
          <w:bCs/>
          <w:sz w:val="20"/>
          <w:szCs w:val="20"/>
        </w:rPr>
      </w:pPr>
      <w:r w:rsidRPr="00F935B0">
        <w:rPr>
          <w:rFonts w:asciiTheme="majorHAnsi" w:hAnsiTheme="majorHAnsi"/>
          <w:b/>
          <w:sz w:val="20"/>
          <w:szCs w:val="20"/>
        </w:rPr>
        <w:t>R</w:t>
      </w:r>
      <w:r w:rsidR="006E5D0B" w:rsidRPr="00F935B0">
        <w:rPr>
          <w:rFonts w:asciiTheme="majorHAnsi" w:hAnsiTheme="majorHAnsi"/>
          <w:b/>
          <w:sz w:val="20"/>
          <w:szCs w:val="20"/>
        </w:rPr>
        <w:t>É</w:t>
      </w:r>
      <w:r w:rsidRPr="00F935B0">
        <w:rPr>
          <w:rFonts w:asciiTheme="majorHAnsi" w:hAnsiTheme="majorHAnsi"/>
          <w:b/>
          <w:sz w:val="20"/>
          <w:szCs w:val="20"/>
        </w:rPr>
        <w:t>SOLUTION DE L’ICCAT CONCERNANT L’</w:t>
      </w:r>
      <w:r w:rsidR="006E5D0B" w:rsidRPr="00F935B0">
        <w:rPr>
          <w:rFonts w:asciiTheme="majorHAnsi" w:hAnsiTheme="majorHAnsi"/>
          <w:b/>
          <w:sz w:val="20"/>
          <w:szCs w:val="20"/>
        </w:rPr>
        <w:t>É</w:t>
      </w:r>
      <w:r w:rsidRPr="00F935B0">
        <w:rPr>
          <w:rFonts w:asciiTheme="majorHAnsi" w:hAnsiTheme="majorHAnsi"/>
          <w:b/>
          <w:sz w:val="20"/>
          <w:szCs w:val="20"/>
        </w:rPr>
        <w:t xml:space="preserve">LABORATION D’OBJECTIFS DE GESTION </w:t>
      </w:r>
      <w:r w:rsidR="00894B82" w:rsidRPr="00F935B0">
        <w:rPr>
          <w:rFonts w:asciiTheme="majorHAnsi" w:hAnsiTheme="majorHAnsi"/>
          <w:b/>
          <w:sz w:val="20"/>
          <w:szCs w:val="20"/>
        </w:rPr>
        <w:t>CONCEPTUELS</w:t>
      </w:r>
      <w:r w:rsidR="003C448D" w:rsidRPr="00F935B0">
        <w:rPr>
          <w:rFonts w:asciiTheme="majorHAnsi" w:hAnsiTheme="majorHAnsi"/>
          <w:b/>
          <w:sz w:val="20"/>
          <w:szCs w:val="20"/>
        </w:rPr>
        <w:t xml:space="preserve"> </w:t>
      </w:r>
      <w:r w:rsidRPr="00F935B0">
        <w:rPr>
          <w:rFonts w:asciiTheme="majorHAnsi" w:hAnsiTheme="majorHAnsi"/>
          <w:b/>
          <w:sz w:val="20"/>
          <w:szCs w:val="20"/>
        </w:rPr>
        <w:t xml:space="preserve">INITIAUX </w:t>
      </w:r>
      <w:r w:rsidRPr="00F935B0">
        <w:rPr>
          <w:rFonts w:asciiTheme="majorHAnsi" w:hAnsiTheme="majorHAnsi"/>
          <w:b/>
          <w:bCs/>
          <w:sz w:val="20"/>
          <w:szCs w:val="20"/>
        </w:rPr>
        <w:t>POUR LE LISTAO DE L’ATLANTIQUE OUEST</w:t>
      </w:r>
    </w:p>
    <w:p w14:paraId="208F1712" w14:textId="77777777" w:rsidR="001257FD" w:rsidRPr="00F935B0" w:rsidRDefault="001257FD" w:rsidP="001257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contextualSpacing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05FE2E5E" w14:textId="77777777" w:rsidR="00D11AB4" w:rsidRPr="00F935B0" w:rsidRDefault="00D11AB4" w:rsidP="00D11AB4">
      <w:pPr>
        <w:spacing w:after="0" w:line="240" w:lineRule="auto"/>
        <w:contextualSpacing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2C74C1EA" w14:textId="77777777" w:rsidR="001257FD" w:rsidRPr="00F935B0" w:rsidRDefault="001257FD" w:rsidP="00D11AB4">
      <w:pPr>
        <w:spacing w:after="0" w:line="240" w:lineRule="auto"/>
        <w:contextualSpacing/>
        <w:jc w:val="center"/>
        <w:rPr>
          <w:rFonts w:asciiTheme="majorHAnsi" w:hAnsiTheme="majorHAnsi"/>
          <w:b/>
          <w:bCs/>
          <w:sz w:val="20"/>
          <w:szCs w:val="20"/>
        </w:rPr>
      </w:pPr>
    </w:p>
    <w:bookmarkEnd w:id="0"/>
    <w:p w14:paraId="63223925" w14:textId="06DB2ED5" w:rsidR="007C3C39" w:rsidRPr="00F935B0" w:rsidRDefault="00E07A86" w:rsidP="005C091E">
      <w:pPr>
        <w:spacing w:after="0" w:line="240" w:lineRule="auto"/>
        <w:ind w:firstLine="425"/>
        <w:contextualSpacing/>
        <w:jc w:val="both"/>
        <w:rPr>
          <w:rFonts w:asciiTheme="majorHAnsi" w:hAnsiTheme="majorHAnsi"/>
          <w:i/>
          <w:iCs/>
          <w:sz w:val="20"/>
          <w:szCs w:val="20"/>
        </w:rPr>
      </w:pPr>
      <w:r w:rsidRPr="00F935B0">
        <w:rPr>
          <w:rFonts w:asciiTheme="majorHAnsi" w:hAnsiTheme="majorHAnsi"/>
          <w:i/>
          <w:iCs/>
          <w:sz w:val="20"/>
          <w:szCs w:val="20"/>
        </w:rPr>
        <w:t xml:space="preserve">RAPPELANT </w:t>
      </w:r>
      <w:r w:rsidRPr="00F935B0">
        <w:rPr>
          <w:rFonts w:asciiTheme="majorHAnsi" w:hAnsiTheme="majorHAnsi"/>
          <w:sz w:val="20"/>
          <w:szCs w:val="20"/>
        </w:rPr>
        <w:t xml:space="preserve">l'intention de la Commission d'adopter des procédures de gestion </w:t>
      </w:r>
      <w:r w:rsidR="003C448D" w:rsidRPr="00F935B0">
        <w:rPr>
          <w:rFonts w:asciiTheme="majorHAnsi" w:hAnsiTheme="majorHAnsi"/>
          <w:sz w:val="20"/>
          <w:szCs w:val="20"/>
        </w:rPr>
        <w:t xml:space="preserve">testées au moyen </w:t>
      </w:r>
      <w:r w:rsidRPr="00F935B0">
        <w:rPr>
          <w:rFonts w:asciiTheme="majorHAnsi" w:hAnsiTheme="majorHAnsi"/>
          <w:sz w:val="20"/>
          <w:szCs w:val="20"/>
        </w:rPr>
        <w:t xml:space="preserve">d’une évaluation de la stratégie de gestion </w:t>
      </w:r>
      <w:r w:rsidR="003C448D" w:rsidRPr="00F935B0">
        <w:rPr>
          <w:rFonts w:asciiTheme="majorHAnsi" w:hAnsiTheme="majorHAnsi"/>
          <w:sz w:val="20"/>
          <w:szCs w:val="20"/>
        </w:rPr>
        <w:t xml:space="preserve">(MSE) </w:t>
      </w:r>
      <w:r w:rsidRPr="00F935B0">
        <w:rPr>
          <w:rFonts w:asciiTheme="majorHAnsi" w:hAnsiTheme="majorHAnsi"/>
          <w:sz w:val="20"/>
          <w:szCs w:val="20"/>
        </w:rPr>
        <w:t>pour les stocks prioritaires, dont le listao de l’Atlantique Ouest, tel</w:t>
      </w:r>
      <w:r w:rsidR="00FD0553" w:rsidRPr="00F935B0">
        <w:rPr>
          <w:rFonts w:asciiTheme="majorHAnsi" w:hAnsiTheme="majorHAnsi"/>
          <w:sz w:val="20"/>
          <w:szCs w:val="20"/>
        </w:rPr>
        <w:t xml:space="preserve">le </w:t>
      </w:r>
      <w:r w:rsidRPr="00F935B0">
        <w:rPr>
          <w:rFonts w:asciiTheme="majorHAnsi" w:hAnsiTheme="majorHAnsi"/>
          <w:sz w:val="20"/>
          <w:szCs w:val="20"/>
        </w:rPr>
        <w:t>qu’établi</w:t>
      </w:r>
      <w:r w:rsidR="00FD0553" w:rsidRPr="00F935B0">
        <w:rPr>
          <w:rFonts w:asciiTheme="majorHAnsi" w:hAnsiTheme="majorHAnsi"/>
          <w:sz w:val="20"/>
          <w:szCs w:val="20"/>
        </w:rPr>
        <w:t>e</w:t>
      </w:r>
      <w:r w:rsidRPr="00F935B0">
        <w:rPr>
          <w:rFonts w:asciiTheme="majorHAnsi" w:hAnsiTheme="majorHAnsi"/>
          <w:sz w:val="20"/>
          <w:szCs w:val="20"/>
        </w:rPr>
        <w:t xml:space="preserve"> dans la </w:t>
      </w:r>
      <w:r w:rsidRPr="00F935B0">
        <w:rPr>
          <w:rFonts w:asciiTheme="majorHAnsi" w:hAnsiTheme="majorHAnsi"/>
          <w:i/>
          <w:iCs/>
          <w:sz w:val="20"/>
          <w:szCs w:val="20"/>
        </w:rPr>
        <w:t>Recommandation de l’ICCAT sur le développement de règles de contrôle de l’exploitation et d'une évaluation de la stratégie de gestion</w:t>
      </w:r>
      <w:r w:rsidR="00FD789C" w:rsidRPr="00F935B0">
        <w:rPr>
          <w:rFonts w:asciiTheme="majorHAnsi" w:hAnsiTheme="majorHAnsi"/>
          <w:sz w:val="20"/>
          <w:szCs w:val="20"/>
        </w:rPr>
        <w:t xml:space="preserve"> (</w:t>
      </w:r>
      <w:r w:rsidRPr="00F935B0">
        <w:rPr>
          <w:rFonts w:asciiTheme="majorHAnsi" w:hAnsiTheme="majorHAnsi"/>
          <w:sz w:val="20"/>
          <w:szCs w:val="20"/>
        </w:rPr>
        <w:t>Rec. 15-07</w:t>
      </w:r>
      <w:r w:rsidR="00FD789C" w:rsidRPr="00F935B0">
        <w:rPr>
          <w:rFonts w:asciiTheme="majorHAnsi" w:hAnsiTheme="majorHAnsi"/>
          <w:sz w:val="20"/>
          <w:szCs w:val="20"/>
        </w:rPr>
        <w:t>)</w:t>
      </w:r>
      <w:r w:rsidR="003C448D" w:rsidRPr="00F935B0">
        <w:rPr>
          <w:rFonts w:asciiTheme="majorHAnsi" w:hAnsiTheme="majorHAnsi"/>
          <w:sz w:val="20"/>
          <w:szCs w:val="20"/>
        </w:rPr>
        <w:t xml:space="preserve"> pour gérer plus efficacement les pêcheries face aux incertitudes identifiées ;</w:t>
      </w:r>
    </w:p>
    <w:p w14:paraId="32F73DF3" w14:textId="77777777" w:rsidR="00A51900" w:rsidRPr="00F935B0" w:rsidRDefault="00A51900" w:rsidP="005C091E">
      <w:pPr>
        <w:spacing w:after="0" w:line="240" w:lineRule="auto"/>
        <w:ind w:firstLine="425"/>
        <w:contextualSpacing/>
        <w:jc w:val="both"/>
        <w:rPr>
          <w:rFonts w:asciiTheme="majorHAnsi" w:hAnsiTheme="majorHAnsi"/>
          <w:i/>
          <w:iCs/>
          <w:sz w:val="20"/>
          <w:szCs w:val="20"/>
        </w:rPr>
      </w:pPr>
    </w:p>
    <w:p w14:paraId="52105045" w14:textId="6E1982CB" w:rsidR="00A51900" w:rsidRPr="00F935B0" w:rsidRDefault="00A51900" w:rsidP="005C091E">
      <w:pPr>
        <w:spacing w:after="0" w:line="240" w:lineRule="auto"/>
        <w:ind w:firstLine="425"/>
        <w:contextualSpacing/>
        <w:jc w:val="both"/>
        <w:rPr>
          <w:rFonts w:asciiTheme="majorHAnsi" w:hAnsiTheme="majorHAnsi"/>
          <w:i/>
          <w:iCs/>
          <w:sz w:val="20"/>
          <w:szCs w:val="20"/>
        </w:rPr>
      </w:pPr>
      <w:r w:rsidRPr="00F935B0">
        <w:rPr>
          <w:rFonts w:asciiTheme="majorHAnsi" w:hAnsiTheme="majorHAnsi"/>
          <w:i/>
          <w:iCs/>
          <w:sz w:val="20"/>
          <w:szCs w:val="20"/>
        </w:rPr>
        <w:t xml:space="preserve">RAPPELANT </w:t>
      </w:r>
      <w:r w:rsidRPr="00F935B0">
        <w:rPr>
          <w:rFonts w:asciiTheme="majorHAnsi" w:hAnsiTheme="majorHAnsi"/>
          <w:iCs/>
          <w:sz w:val="20"/>
          <w:szCs w:val="20"/>
        </w:rPr>
        <w:t>l’application de l’approche de précaution conformément aux normes internationales pertinentes, tel qu’établi dans la</w:t>
      </w:r>
      <w:r w:rsidRPr="00F935B0">
        <w:rPr>
          <w:rFonts w:asciiTheme="majorHAnsi" w:hAnsiTheme="majorHAnsi"/>
          <w:i/>
          <w:iCs/>
          <w:sz w:val="20"/>
          <w:szCs w:val="20"/>
        </w:rPr>
        <w:t xml:space="preserve"> Résolution de l’ICCAT concernant l'utilisation d’une approche de précaution lors de la mise en œuvre des mesures de conservation et de gestion de l'ICCAT</w:t>
      </w:r>
      <w:r w:rsidR="00FD789C" w:rsidRPr="00F935B0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FD789C" w:rsidRPr="00F935B0">
        <w:rPr>
          <w:rFonts w:asciiTheme="majorHAnsi" w:hAnsiTheme="majorHAnsi"/>
          <w:iCs/>
          <w:sz w:val="20"/>
          <w:szCs w:val="20"/>
        </w:rPr>
        <w:t>(Rés. 15-12)</w:t>
      </w:r>
      <w:r w:rsidRPr="00F935B0">
        <w:rPr>
          <w:rFonts w:asciiTheme="majorHAnsi" w:hAnsiTheme="majorHAnsi"/>
          <w:i/>
          <w:iCs/>
          <w:sz w:val="20"/>
          <w:szCs w:val="20"/>
        </w:rPr>
        <w:t> ;</w:t>
      </w:r>
    </w:p>
    <w:p w14:paraId="56E43B5C" w14:textId="77777777" w:rsidR="000D7632" w:rsidRPr="00F935B0" w:rsidRDefault="000D7632" w:rsidP="005C091E">
      <w:pPr>
        <w:spacing w:after="0" w:line="240" w:lineRule="auto"/>
        <w:ind w:firstLine="425"/>
        <w:contextualSpacing/>
        <w:jc w:val="both"/>
        <w:rPr>
          <w:rFonts w:asciiTheme="majorHAnsi" w:hAnsiTheme="majorHAnsi"/>
          <w:i/>
          <w:iCs/>
          <w:sz w:val="20"/>
          <w:szCs w:val="20"/>
        </w:rPr>
      </w:pPr>
    </w:p>
    <w:p w14:paraId="27B42F1F" w14:textId="1893F40B" w:rsidR="004F1167" w:rsidRPr="00F935B0" w:rsidRDefault="00A51900" w:rsidP="005C091E">
      <w:pPr>
        <w:spacing w:after="0" w:line="240" w:lineRule="auto"/>
        <w:ind w:firstLine="425"/>
        <w:contextualSpacing/>
        <w:jc w:val="both"/>
        <w:rPr>
          <w:rFonts w:asciiTheme="majorHAnsi" w:hAnsiTheme="majorHAnsi" w:cs="Cambria"/>
          <w:sz w:val="20"/>
          <w:szCs w:val="20"/>
        </w:rPr>
      </w:pPr>
      <w:r w:rsidRPr="00F935B0">
        <w:rPr>
          <w:rFonts w:asciiTheme="majorHAnsi" w:hAnsiTheme="majorHAnsi"/>
          <w:i/>
          <w:sz w:val="20"/>
          <w:szCs w:val="20"/>
        </w:rPr>
        <w:t>COMPTE TENU</w:t>
      </w:r>
      <w:r w:rsidRPr="00F935B0">
        <w:rPr>
          <w:rFonts w:asciiTheme="majorHAnsi" w:hAnsiTheme="majorHAnsi"/>
          <w:sz w:val="20"/>
          <w:szCs w:val="20"/>
        </w:rPr>
        <w:t xml:space="preserve"> des efforts en faveur de la gestion durable du stock de listao de l’Atlantique Ouest, conformément aux objectifs de la Convention et à la </w:t>
      </w:r>
      <w:r w:rsidRPr="00F935B0">
        <w:rPr>
          <w:rFonts w:asciiTheme="majorHAnsi" w:hAnsiTheme="majorHAnsi"/>
          <w:i/>
          <w:sz w:val="20"/>
          <w:szCs w:val="20"/>
        </w:rPr>
        <w:t>Recommandation de l'ICCAT sur les principes de la prise de décisions sur des mesures de conservation et de gestion de l’ICCAT</w:t>
      </w:r>
      <w:r w:rsidRPr="00F935B0">
        <w:rPr>
          <w:rFonts w:asciiTheme="majorHAnsi" w:hAnsiTheme="majorHAnsi"/>
          <w:sz w:val="20"/>
          <w:szCs w:val="20"/>
        </w:rPr>
        <w:t xml:space="preserve"> </w:t>
      </w:r>
      <w:r w:rsidR="00BB605F" w:rsidRPr="00F935B0">
        <w:rPr>
          <w:rFonts w:asciiTheme="majorHAnsi" w:hAnsiTheme="majorHAnsi"/>
          <w:sz w:val="20"/>
          <w:szCs w:val="20"/>
        </w:rPr>
        <w:t>(</w:t>
      </w:r>
      <w:r w:rsidRPr="00F935B0">
        <w:rPr>
          <w:rFonts w:asciiTheme="majorHAnsi" w:hAnsiTheme="majorHAnsi"/>
          <w:sz w:val="20"/>
          <w:szCs w:val="20"/>
        </w:rPr>
        <w:t>Rec. 11-13</w:t>
      </w:r>
      <w:r w:rsidR="00BB605F" w:rsidRPr="00F935B0">
        <w:rPr>
          <w:rFonts w:asciiTheme="majorHAnsi" w:hAnsiTheme="majorHAnsi"/>
          <w:sz w:val="20"/>
          <w:szCs w:val="20"/>
        </w:rPr>
        <w:t>)</w:t>
      </w:r>
      <w:r w:rsidR="006F1225" w:rsidRPr="00F935B0">
        <w:rPr>
          <w:rFonts w:asciiTheme="majorHAnsi" w:hAnsiTheme="majorHAnsi"/>
          <w:i/>
          <w:sz w:val="20"/>
          <w:szCs w:val="20"/>
        </w:rPr>
        <w:t> ;</w:t>
      </w:r>
    </w:p>
    <w:p w14:paraId="46809120" w14:textId="77777777" w:rsidR="007C3C39" w:rsidRPr="00F935B0" w:rsidRDefault="007C3C39" w:rsidP="005C091E">
      <w:pPr>
        <w:spacing w:after="0" w:line="240" w:lineRule="auto"/>
        <w:ind w:firstLine="425"/>
        <w:contextualSpacing/>
        <w:jc w:val="both"/>
        <w:rPr>
          <w:rFonts w:asciiTheme="majorHAnsi" w:hAnsiTheme="majorHAnsi"/>
          <w:sz w:val="20"/>
          <w:szCs w:val="20"/>
        </w:rPr>
      </w:pPr>
    </w:p>
    <w:p w14:paraId="4D4C62CC" w14:textId="251FA46B" w:rsidR="007C3C39" w:rsidRPr="00F935B0" w:rsidRDefault="007F53FA" w:rsidP="005C091E">
      <w:pPr>
        <w:spacing w:after="0" w:line="240" w:lineRule="auto"/>
        <w:ind w:firstLine="425"/>
        <w:contextualSpacing/>
        <w:jc w:val="both"/>
        <w:rPr>
          <w:rFonts w:asciiTheme="majorHAnsi" w:hAnsiTheme="majorHAnsi"/>
          <w:sz w:val="20"/>
          <w:szCs w:val="20"/>
        </w:rPr>
      </w:pPr>
      <w:r w:rsidRPr="00F935B0">
        <w:rPr>
          <w:rFonts w:asciiTheme="majorHAnsi" w:hAnsiTheme="majorHAnsi"/>
          <w:i/>
          <w:sz w:val="20"/>
          <w:szCs w:val="20"/>
        </w:rPr>
        <w:t xml:space="preserve">NOTANT </w:t>
      </w:r>
      <w:r w:rsidRPr="00F935B0">
        <w:rPr>
          <w:rFonts w:asciiTheme="majorHAnsi" w:hAnsiTheme="majorHAnsi"/>
          <w:sz w:val="20"/>
          <w:szCs w:val="20"/>
        </w:rPr>
        <w:t xml:space="preserve">les conclusions de l’évaluation du stock de 2022 </w:t>
      </w:r>
      <w:r w:rsidR="003C448D" w:rsidRPr="00F935B0">
        <w:rPr>
          <w:rFonts w:asciiTheme="majorHAnsi" w:hAnsiTheme="majorHAnsi"/>
          <w:sz w:val="20"/>
          <w:szCs w:val="20"/>
        </w:rPr>
        <w:t xml:space="preserve">réalisée par le </w:t>
      </w:r>
      <w:r w:rsidRPr="00F935B0">
        <w:rPr>
          <w:rFonts w:asciiTheme="majorHAnsi" w:hAnsiTheme="majorHAnsi"/>
          <w:sz w:val="20"/>
          <w:szCs w:val="20"/>
        </w:rPr>
        <w:t>Comité permanent pour la recherche et les statistiques</w:t>
      </w:r>
      <w:r w:rsidR="003C448D" w:rsidRPr="00F935B0">
        <w:rPr>
          <w:rFonts w:asciiTheme="majorHAnsi" w:hAnsiTheme="majorHAnsi"/>
          <w:sz w:val="20"/>
          <w:szCs w:val="20"/>
        </w:rPr>
        <w:t xml:space="preserve"> </w:t>
      </w:r>
      <w:r w:rsidRPr="00F935B0">
        <w:rPr>
          <w:rFonts w:asciiTheme="majorHAnsi" w:hAnsiTheme="majorHAnsi"/>
          <w:sz w:val="20"/>
          <w:szCs w:val="20"/>
        </w:rPr>
        <w:t>(SCRS)</w:t>
      </w:r>
      <w:r w:rsidR="003C448D" w:rsidRPr="00F935B0">
        <w:rPr>
          <w:rFonts w:asciiTheme="majorHAnsi" w:hAnsiTheme="majorHAnsi"/>
          <w:sz w:val="20"/>
          <w:szCs w:val="20"/>
        </w:rPr>
        <w:t xml:space="preserve"> de l’ICCAT</w:t>
      </w:r>
      <w:r w:rsidRPr="00F935B0">
        <w:rPr>
          <w:rFonts w:asciiTheme="majorHAnsi" w:hAnsiTheme="majorHAnsi"/>
          <w:sz w:val="20"/>
          <w:szCs w:val="20"/>
        </w:rPr>
        <w:t xml:space="preserve">, </w:t>
      </w:r>
      <w:r w:rsidR="003C448D" w:rsidRPr="00F935B0">
        <w:rPr>
          <w:rFonts w:asciiTheme="majorHAnsi" w:hAnsiTheme="majorHAnsi"/>
          <w:sz w:val="20"/>
          <w:szCs w:val="20"/>
        </w:rPr>
        <w:t>qui indiquait qu’</w:t>
      </w:r>
      <w:r w:rsidRPr="00F935B0">
        <w:rPr>
          <w:rFonts w:asciiTheme="majorHAnsi" w:hAnsiTheme="majorHAnsi"/>
          <w:sz w:val="20"/>
          <w:szCs w:val="20"/>
        </w:rPr>
        <w:t xml:space="preserve">il est fort probable que le stock de listao de l’Atlantique Ouest se situe dans la zone verte du diagramme de Kobe, </w:t>
      </w:r>
      <w:r w:rsidR="003C448D" w:rsidRPr="00F935B0">
        <w:rPr>
          <w:rFonts w:asciiTheme="majorHAnsi" w:hAnsiTheme="majorHAnsi"/>
          <w:sz w:val="20"/>
          <w:szCs w:val="20"/>
        </w:rPr>
        <w:t>indiquant que</w:t>
      </w:r>
      <w:r w:rsidRPr="00F935B0">
        <w:rPr>
          <w:rFonts w:asciiTheme="majorHAnsi" w:hAnsiTheme="majorHAnsi"/>
          <w:sz w:val="20"/>
          <w:szCs w:val="20"/>
        </w:rPr>
        <w:t xml:space="preserve"> le stock n’est pas surexploité et ne fait pas l’objet de surpêche ;</w:t>
      </w:r>
    </w:p>
    <w:p w14:paraId="067714B7" w14:textId="77777777" w:rsidR="007C3C39" w:rsidRPr="00F935B0" w:rsidRDefault="007C3C39" w:rsidP="005C091E">
      <w:pPr>
        <w:pStyle w:val="Default"/>
        <w:ind w:firstLine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5FB96C88" w14:textId="55C2A971" w:rsidR="00294B6A" w:rsidRPr="00F935B0" w:rsidRDefault="002C4BAE" w:rsidP="005C091E">
      <w:pPr>
        <w:pStyle w:val="Default"/>
        <w:ind w:firstLine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rFonts w:asciiTheme="majorHAnsi" w:hAnsiTheme="majorHAnsi"/>
          <w:i/>
          <w:color w:val="auto"/>
          <w:sz w:val="20"/>
          <w:szCs w:val="20"/>
        </w:rPr>
        <w:t>COMPRENANT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 que les objectifs conceptuels sont des objectifs aspirationnels de haut niveau qui traduisent une finalité génér</w:t>
      </w:r>
      <w:r w:rsidR="00120A7D" w:rsidRPr="00F935B0">
        <w:rPr>
          <w:rFonts w:asciiTheme="majorHAnsi" w:hAnsiTheme="majorHAnsi"/>
          <w:color w:val="auto"/>
          <w:sz w:val="20"/>
          <w:szCs w:val="20"/>
        </w:rPr>
        <w:t>ique souhaitée, sans inclure de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 précisions sur un objectif mesurable ou un délai permettant de l’atteindre, alors que les objectifs opérationnels sont une composante </w:t>
      </w:r>
      <w:r w:rsidR="007631E3" w:rsidRPr="00F935B0">
        <w:rPr>
          <w:rFonts w:asciiTheme="majorHAnsi" w:hAnsiTheme="majorHAnsi"/>
          <w:color w:val="auto"/>
          <w:sz w:val="20"/>
          <w:szCs w:val="20"/>
        </w:rPr>
        <w:t>de base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 clé de toute MSE et fournissent des objectifs spécifiques et mesurables, avec des probabilités associées d’atteindre ces objectifs dans des délais déterminés ; </w:t>
      </w:r>
    </w:p>
    <w:p w14:paraId="54291C20" w14:textId="77777777" w:rsidR="007C3C39" w:rsidRPr="00F935B0" w:rsidRDefault="007C3C39" w:rsidP="005C091E">
      <w:pPr>
        <w:spacing w:after="0" w:line="240" w:lineRule="auto"/>
        <w:ind w:firstLine="425"/>
        <w:contextualSpacing/>
        <w:jc w:val="both"/>
        <w:rPr>
          <w:rFonts w:asciiTheme="majorHAnsi" w:hAnsiTheme="majorHAnsi"/>
          <w:i/>
          <w:iCs/>
          <w:sz w:val="20"/>
          <w:szCs w:val="20"/>
        </w:rPr>
      </w:pPr>
    </w:p>
    <w:p w14:paraId="4828E94B" w14:textId="08A26985" w:rsidR="007C3C39" w:rsidRPr="00F935B0" w:rsidRDefault="00E07A86" w:rsidP="005C091E">
      <w:pPr>
        <w:spacing w:after="0" w:line="240" w:lineRule="auto"/>
        <w:ind w:firstLine="425"/>
        <w:contextualSpacing/>
        <w:jc w:val="both"/>
        <w:rPr>
          <w:rFonts w:asciiTheme="majorHAnsi" w:hAnsiTheme="majorHAnsi" w:cs="Cambria"/>
          <w:sz w:val="20"/>
          <w:szCs w:val="20"/>
        </w:rPr>
      </w:pPr>
      <w:r w:rsidRPr="00F935B0">
        <w:rPr>
          <w:rFonts w:asciiTheme="majorHAnsi" w:hAnsiTheme="majorHAnsi"/>
          <w:i/>
          <w:iCs/>
          <w:sz w:val="20"/>
          <w:szCs w:val="20"/>
        </w:rPr>
        <w:t xml:space="preserve">RAPPELANT </w:t>
      </w:r>
      <w:r w:rsidRPr="00F935B0">
        <w:rPr>
          <w:rFonts w:asciiTheme="majorHAnsi" w:hAnsiTheme="majorHAnsi"/>
          <w:sz w:val="20"/>
          <w:szCs w:val="20"/>
        </w:rPr>
        <w:t xml:space="preserve">que les indicateurs de performance préliminaires convenus par la Commission pour les thonidés tropicaux, énoncés dans la </w:t>
      </w:r>
      <w:r w:rsidRPr="00F935B0">
        <w:rPr>
          <w:rFonts w:asciiTheme="majorHAnsi" w:hAnsiTheme="majorHAnsi"/>
          <w:i/>
          <w:sz w:val="20"/>
          <w:szCs w:val="20"/>
        </w:rPr>
        <w:t>Recommandation de l’ICCAT sur un programme pluriannuel de conservation et de gestion pour les thonidés tropicaux</w:t>
      </w:r>
      <w:r w:rsidR="00120A7D" w:rsidRPr="00F935B0">
        <w:rPr>
          <w:rFonts w:asciiTheme="majorHAnsi" w:hAnsiTheme="majorHAnsi"/>
          <w:i/>
          <w:sz w:val="20"/>
          <w:szCs w:val="20"/>
        </w:rPr>
        <w:t xml:space="preserve"> </w:t>
      </w:r>
      <w:r w:rsidR="007631E3" w:rsidRPr="00F935B0">
        <w:rPr>
          <w:rFonts w:asciiTheme="majorHAnsi" w:hAnsiTheme="majorHAnsi"/>
          <w:sz w:val="20"/>
          <w:szCs w:val="20"/>
        </w:rPr>
        <w:t>(</w:t>
      </w:r>
      <w:r w:rsidRPr="00F935B0">
        <w:rPr>
          <w:rFonts w:asciiTheme="majorHAnsi" w:hAnsiTheme="majorHAnsi"/>
          <w:sz w:val="20"/>
          <w:szCs w:val="20"/>
        </w:rPr>
        <w:t>Rec. 16-01</w:t>
      </w:r>
      <w:r w:rsidR="007631E3" w:rsidRPr="00F935B0">
        <w:rPr>
          <w:rFonts w:asciiTheme="majorHAnsi" w:hAnsiTheme="majorHAnsi"/>
          <w:sz w:val="20"/>
          <w:szCs w:val="20"/>
        </w:rPr>
        <w:t>)</w:t>
      </w:r>
      <w:r w:rsidRPr="00F935B0">
        <w:rPr>
          <w:rFonts w:asciiTheme="majorHAnsi" w:hAnsiTheme="majorHAnsi"/>
          <w:sz w:val="20"/>
          <w:szCs w:val="20"/>
        </w:rPr>
        <w:t>, incluaient quatre catégories d’objectifs de gestion, à savoir l’état, la sécurité, la production et la stabilité</w:t>
      </w:r>
      <w:r w:rsidR="00120A7D" w:rsidRPr="00F935B0">
        <w:rPr>
          <w:rFonts w:asciiTheme="majorHAnsi" w:hAnsiTheme="majorHAnsi"/>
          <w:sz w:val="20"/>
          <w:szCs w:val="20"/>
        </w:rPr>
        <w:t> ;</w:t>
      </w:r>
    </w:p>
    <w:p w14:paraId="648AAAC6" w14:textId="77777777" w:rsidR="007C3C39" w:rsidRPr="00F935B0" w:rsidRDefault="007C3C39" w:rsidP="005C091E">
      <w:pPr>
        <w:pStyle w:val="Default"/>
        <w:ind w:firstLine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36C6678A" w14:textId="6C6D6B8F" w:rsidR="007C3C39" w:rsidRPr="00F935B0" w:rsidRDefault="00E07A86" w:rsidP="005C091E">
      <w:pPr>
        <w:pStyle w:val="Default"/>
        <w:ind w:firstLine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rFonts w:asciiTheme="majorHAnsi" w:hAnsiTheme="majorHAnsi"/>
          <w:i/>
          <w:iCs/>
          <w:color w:val="auto"/>
          <w:sz w:val="20"/>
          <w:szCs w:val="20"/>
        </w:rPr>
        <w:t xml:space="preserve">CONSIDÉRANT 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que la Commission entend 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>adopter une MP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 pour le listao de l’Atlantique Ouest 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 xml:space="preserve">en 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2023 ; </w:t>
      </w:r>
    </w:p>
    <w:p w14:paraId="4283AC40" w14:textId="77777777" w:rsidR="007C3C39" w:rsidRPr="00F935B0" w:rsidRDefault="007C3C39" w:rsidP="00D11AB4">
      <w:pPr>
        <w:spacing w:after="0" w:line="240" w:lineRule="auto"/>
        <w:ind w:firstLine="720"/>
        <w:contextualSpacing/>
        <w:jc w:val="both"/>
        <w:rPr>
          <w:rFonts w:asciiTheme="majorHAnsi" w:hAnsiTheme="majorHAnsi" w:cs="Cambria"/>
          <w:color w:val="000000"/>
          <w:sz w:val="20"/>
          <w:szCs w:val="20"/>
        </w:rPr>
      </w:pPr>
    </w:p>
    <w:p w14:paraId="1F7EA9F8" w14:textId="77777777" w:rsidR="00B22577" w:rsidRPr="00F935B0" w:rsidRDefault="00B22577" w:rsidP="00D11AB4">
      <w:pPr>
        <w:spacing w:after="0" w:line="240" w:lineRule="auto"/>
        <w:ind w:firstLine="720"/>
        <w:contextualSpacing/>
        <w:jc w:val="both"/>
        <w:rPr>
          <w:rFonts w:asciiTheme="majorHAnsi" w:hAnsiTheme="majorHAnsi" w:cs="Cambria"/>
          <w:color w:val="000000"/>
          <w:sz w:val="20"/>
          <w:szCs w:val="20"/>
        </w:rPr>
      </w:pPr>
    </w:p>
    <w:p w14:paraId="6756541C" w14:textId="77777777" w:rsidR="006541C5" w:rsidRPr="00F935B0" w:rsidRDefault="00E07A86" w:rsidP="00D11AB4">
      <w:pPr>
        <w:spacing w:after="0" w:line="240" w:lineRule="auto"/>
        <w:contextualSpacing/>
        <w:jc w:val="center"/>
        <w:rPr>
          <w:rFonts w:asciiTheme="majorHAnsi" w:hAnsiTheme="majorHAnsi"/>
          <w:color w:val="000000"/>
          <w:sz w:val="20"/>
          <w:szCs w:val="20"/>
        </w:rPr>
      </w:pPr>
      <w:r w:rsidRPr="00F935B0">
        <w:rPr>
          <w:rFonts w:asciiTheme="majorHAnsi" w:hAnsiTheme="majorHAnsi"/>
          <w:color w:val="000000"/>
          <w:sz w:val="20"/>
          <w:szCs w:val="20"/>
        </w:rPr>
        <w:t>LA COMMISSION INTERNATIONALE POUR LA CONSERVATION</w:t>
      </w:r>
    </w:p>
    <w:p w14:paraId="0C526666" w14:textId="52B925B6" w:rsidR="007C3C39" w:rsidRPr="00F935B0" w:rsidRDefault="00E07A86" w:rsidP="00D11AB4">
      <w:pPr>
        <w:spacing w:after="0" w:line="240" w:lineRule="auto"/>
        <w:contextualSpacing/>
        <w:jc w:val="center"/>
        <w:rPr>
          <w:rFonts w:asciiTheme="majorHAnsi" w:hAnsiTheme="majorHAnsi" w:cs="Cambria"/>
          <w:color w:val="000000"/>
          <w:sz w:val="20"/>
          <w:szCs w:val="20"/>
        </w:rPr>
      </w:pPr>
      <w:r w:rsidRPr="00F935B0">
        <w:rPr>
          <w:rFonts w:asciiTheme="majorHAnsi" w:hAnsiTheme="majorHAnsi"/>
          <w:color w:val="000000"/>
          <w:sz w:val="20"/>
          <w:szCs w:val="20"/>
        </w:rPr>
        <w:t>DES THONIDÉS DE L’ATLANTIQUE (ICCAT) DÉCIDE CE QUI SUIT :</w:t>
      </w:r>
    </w:p>
    <w:p w14:paraId="502F11CC" w14:textId="77777777" w:rsidR="007C3C39" w:rsidRPr="00F935B0" w:rsidRDefault="007C3C39" w:rsidP="00D11AB4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14:paraId="594B5753" w14:textId="77777777" w:rsidR="00B22577" w:rsidRPr="00F935B0" w:rsidRDefault="00B22577" w:rsidP="00D11AB4">
      <w:pPr>
        <w:spacing w:after="0" w:line="240" w:lineRule="auto"/>
        <w:contextualSpacing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</w:p>
    <w:p w14:paraId="38CAA889" w14:textId="4B3A269A" w:rsidR="007C3C39" w:rsidRPr="00F935B0" w:rsidRDefault="00E07A86" w:rsidP="000053CD">
      <w:pPr>
        <w:pStyle w:val="Default"/>
        <w:numPr>
          <w:ilvl w:val="0"/>
          <w:numId w:val="2"/>
        </w:numPr>
        <w:ind w:left="425" w:hanging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rFonts w:asciiTheme="majorHAnsi" w:hAnsiTheme="majorHAnsi"/>
          <w:sz w:val="20"/>
          <w:szCs w:val="20"/>
        </w:rPr>
        <w:t>Des objectifs de gestion devraient être établis pour le listao de l’Atlantique Ouest, conformément à l’objectif de la Convention de maintenir les populations à des niveaux ou au-delà des niveaux qui permettront d’obtenir la prise maximale équilibrée (généralement désignée PME)</w:t>
      </w:r>
      <w:r w:rsidR="00D11AB4" w:rsidRPr="00F935B0">
        <w:rPr>
          <w:rFonts w:asciiTheme="majorHAnsi" w:hAnsiTheme="majorHAnsi"/>
          <w:sz w:val="20"/>
          <w:szCs w:val="20"/>
        </w:rPr>
        <w:t>.</w:t>
      </w:r>
    </w:p>
    <w:p w14:paraId="10E7B1F9" w14:textId="66AAD104" w:rsidR="00D11AB4" w:rsidRPr="00F935B0" w:rsidRDefault="00D11AB4" w:rsidP="007C6FBC">
      <w:pPr>
        <w:pStyle w:val="Default"/>
        <w:ind w:left="782" w:hanging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42217B6B" w14:textId="4C3500AD" w:rsidR="00894B82" w:rsidRPr="00F935B0" w:rsidRDefault="00894B82" w:rsidP="000053CD">
      <w:pPr>
        <w:pStyle w:val="Default"/>
        <w:numPr>
          <w:ilvl w:val="0"/>
          <w:numId w:val="2"/>
        </w:numPr>
        <w:ind w:left="425" w:hanging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rFonts w:asciiTheme="majorHAnsi" w:hAnsiTheme="majorHAnsi"/>
          <w:color w:val="auto"/>
          <w:sz w:val="20"/>
          <w:szCs w:val="20"/>
        </w:rPr>
        <w:t>La Sous-commission 1 devrait entreprendre, au cours d'une réunion intersessions de la Sous-</w:t>
      </w:r>
      <w:r w:rsidRPr="00F935B0">
        <w:rPr>
          <w:rFonts w:asciiTheme="majorHAnsi" w:hAnsiTheme="majorHAnsi"/>
          <w:sz w:val="20"/>
          <w:szCs w:val="20"/>
        </w:rPr>
        <w:t>commission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 1 en 2023, le développement d'objectifs de gestion opérationnels initiaux concernant le listao de l’Ouest. </w:t>
      </w:r>
      <w:r w:rsidR="00C96679" w:rsidRPr="00F935B0">
        <w:rPr>
          <w:rFonts w:asciiTheme="majorHAnsi" w:hAnsiTheme="majorHAnsi"/>
          <w:color w:val="auto"/>
          <w:sz w:val="20"/>
          <w:szCs w:val="20"/>
        </w:rPr>
        <w:t>En vue de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 faciliter ce développement, les objectifs conceptuels de gestion suivants devraient être envisagés :</w:t>
      </w:r>
    </w:p>
    <w:p w14:paraId="24A7432F" w14:textId="77777777" w:rsidR="00894B82" w:rsidRPr="00F935B0" w:rsidRDefault="00894B82" w:rsidP="00D11AB4">
      <w:pPr>
        <w:pStyle w:val="Default"/>
        <w:ind w:left="360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755513EC" w14:textId="3C877FC6" w:rsidR="007C3C39" w:rsidRPr="00F935B0" w:rsidRDefault="007631E3" w:rsidP="001E370D">
      <w:pPr>
        <w:pStyle w:val="Default"/>
        <w:numPr>
          <w:ilvl w:val="0"/>
          <w:numId w:val="1"/>
        </w:numPr>
        <w:ind w:left="850" w:hanging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rFonts w:asciiTheme="majorHAnsi" w:hAnsiTheme="majorHAnsi"/>
          <w:color w:val="auto"/>
          <w:sz w:val="20"/>
          <w:szCs w:val="20"/>
        </w:rPr>
        <w:t>État du stock</w:t>
      </w:r>
    </w:p>
    <w:p w14:paraId="4B593303" w14:textId="77777777" w:rsidR="00D11AB4" w:rsidRPr="00F935B0" w:rsidRDefault="00D11AB4" w:rsidP="00D11AB4">
      <w:pPr>
        <w:pStyle w:val="Default"/>
        <w:widowControl w:val="0"/>
        <w:ind w:left="720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53B42FEC" w14:textId="24462FFF" w:rsidR="003C448D" w:rsidRPr="00F935B0" w:rsidRDefault="00E07A86" w:rsidP="00B56AAB">
      <w:pPr>
        <w:pStyle w:val="Default"/>
        <w:widowControl w:val="0"/>
        <w:numPr>
          <w:ilvl w:val="1"/>
          <w:numId w:val="1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F935B0">
        <w:rPr>
          <w:rFonts w:asciiTheme="majorHAnsi" w:hAnsiTheme="majorHAnsi"/>
          <w:color w:val="auto"/>
          <w:sz w:val="20"/>
          <w:szCs w:val="20"/>
        </w:rPr>
        <w:t xml:space="preserve">Le stock devrait avoir une probabilité 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>de [</w:t>
      </w:r>
      <w:r w:rsidR="00C96679" w:rsidRPr="00F935B0">
        <w:rPr>
          <w:rFonts w:asciiTheme="majorHAnsi" w:hAnsiTheme="majorHAnsi"/>
          <w:color w:val="auto"/>
          <w:sz w:val="20"/>
          <w:szCs w:val="20"/>
        </w:rPr>
        <w:t xml:space="preserve">XX 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>% ou plus]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 de se situer dans le quadrant vert de la matrice de Kobe </w:t>
      </w:r>
      <w:r w:rsidR="00894B82" w:rsidRPr="00F935B0">
        <w:rPr>
          <w:rFonts w:asciiTheme="majorHAnsi" w:hAnsiTheme="majorHAnsi"/>
          <w:color w:val="auto"/>
          <w:sz w:val="20"/>
          <w:szCs w:val="20"/>
        </w:rPr>
        <w:t xml:space="preserve">en utilisant des 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>période</w:t>
      </w:r>
      <w:r w:rsidR="00894B82" w:rsidRPr="00F935B0">
        <w:rPr>
          <w:rFonts w:asciiTheme="majorHAnsi" w:hAnsiTheme="majorHAnsi"/>
          <w:color w:val="auto"/>
          <w:sz w:val="20"/>
          <w:szCs w:val="20"/>
        </w:rPr>
        <w:t>s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 xml:space="preserve"> de projection de </w:t>
      </w:r>
      <w:r w:rsidR="00894B82" w:rsidRPr="00F935B0">
        <w:rPr>
          <w:rFonts w:asciiTheme="majorHAnsi" w:hAnsiTheme="majorHAnsi"/>
          <w:color w:val="auto"/>
          <w:sz w:val="20"/>
          <w:szCs w:val="20"/>
        </w:rPr>
        <w:t>[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>X</w:t>
      </w:r>
      <w:r w:rsidR="00894B82" w:rsidRPr="00F935B0">
        <w:rPr>
          <w:rFonts w:asciiTheme="majorHAnsi" w:hAnsiTheme="majorHAnsi"/>
          <w:color w:val="auto"/>
          <w:sz w:val="20"/>
          <w:szCs w:val="20"/>
        </w:rPr>
        <w:t>]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 xml:space="preserve"> ans comme déterminé par le SCRS</w:t>
      </w:r>
      <w:r w:rsidR="00120A7D" w:rsidRPr="00F935B0">
        <w:rPr>
          <w:rFonts w:asciiTheme="majorHAnsi" w:hAnsiTheme="majorHAnsi"/>
          <w:color w:val="auto"/>
          <w:sz w:val="20"/>
          <w:szCs w:val="20"/>
        </w:rPr>
        <w:t> ;</w:t>
      </w:r>
      <w:r w:rsidR="003C448D" w:rsidRPr="00F935B0">
        <w:rPr>
          <w:rFonts w:asciiTheme="majorHAnsi" w:hAnsiTheme="majorHAnsi"/>
          <w:sz w:val="20"/>
          <w:szCs w:val="20"/>
        </w:rPr>
        <w:br w:type="page"/>
      </w:r>
    </w:p>
    <w:p w14:paraId="43D3EED6" w14:textId="5A6AACC0" w:rsidR="007C3C39" w:rsidRPr="00F935B0" w:rsidRDefault="00E07A86" w:rsidP="001E370D">
      <w:pPr>
        <w:pStyle w:val="Default"/>
        <w:numPr>
          <w:ilvl w:val="0"/>
          <w:numId w:val="1"/>
        </w:numPr>
        <w:ind w:left="850" w:hanging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rFonts w:asciiTheme="majorHAnsi" w:hAnsiTheme="majorHAnsi"/>
          <w:color w:val="auto"/>
          <w:sz w:val="20"/>
          <w:szCs w:val="20"/>
        </w:rPr>
        <w:lastRenderedPageBreak/>
        <w:t>Sécurité</w:t>
      </w:r>
    </w:p>
    <w:p w14:paraId="5E69ECD9" w14:textId="77777777" w:rsidR="00D11AB4" w:rsidRPr="00F935B0" w:rsidRDefault="00D11AB4" w:rsidP="00D11AB4">
      <w:pPr>
        <w:pStyle w:val="Default"/>
        <w:widowControl w:val="0"/>
        <w:ind w:left="720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347E5E83" w14:textId="63206D65" w:rsidR="007C3C39" w:rsidRPr="00F935B0" w:rsidRDefault="00E07A86" w:rsidP="00D11AB4">
      <w:pPr>
        <w:pStyle w:val="Default"/>
        <w:widowControl w:val="0"/>
        <w:numPr>
          <w:ilvl w:val="1"/>
          <w:numId w:val="1"/>
        </w:numPr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rFonts w:asciiTheme="majorHAnsi" w:hAnsiTheme="majorHAnsi"/>
          <w:color w:val="auto"/>
          <w:sz w:val="20"/>
          <w:szCs w:val="20"/>
        </w:rPr>
        <w:t xml:space="preserve">Il devrait y avoir une probabilité 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 xml:space="preserve">ne dépassant pas </w:t>
      </w:r>
      <w:r w:rsidRPr="00F935B0">
        <w:rPr>
          <w:rFonts w:asciiTheme="majorHAnsi" w:hAnsiTheme="majorHAnsi"/>
          <w:color w:val="auto"/>
          <w:sz w:val="20"/>
          <w:szCs w:val="20"/>
        </w:rPr>
        <w:t>[</w:t>
      </w:r>
      <w:r w:rsidR="00450A80" w:rsidRPr="00F935B0">
        <w:rPr>
          <w:rFonts w:asciiTheme="majorHAnsi" w:hAnsiTheme="majorHAnsi"/>
          <w:color w:val="auto"/>
          <w:sz w:val="20"/>
          <w:szCs w:val="20"/>
        </w:rPr>
        <w:t>XX</w:t>
      </w:r>
      <w:r w:rsidRPr="00F935B0">
        <w:rPr>
          <w:rFonts w:asciiTheme="majorHAnsi" w:hAnsiTheme="majorHAnsi"/>
          <w:color w:val="auto"/>
          <w:sz w:val="20"/>
          <w:szCs w:val="20"/>
        </w:rPr>
        <w:t>]% que le stock chute en dessous de B</w:t>
      </w:r>
      <w:r w:rsidRPr="00F935B0">
        <w:rPr>
          <w:rFonts w:asciiTheme="majorHAnsi" w:hAnsiTheme="majorHAnsi"/>
          <w:color w:val="auto"/>
          <w:sz w:val="20"/>
          <w:szCs w:val="20"/>
          <w:vertAlign w:val="subscript"/>
        </w:rPr>
        <w:t>LIM</w:t>
      </w:r>
      <w:r w:rsidR="00894B82" w:rsidRPr="00F935B0">
        <w:rPr>
          <w:rStyle w:val="FootnoteReference"/>
          <w:rFonts w:asciiTheme="majorHAnsi" w:hAnsiTheme="majorHAnsi"/>
          <w:color w:val="auto"/>
          <w:sz w:val="20"/>
          <w:szCs w:val="20"/>
        </w:rPr>
        <w:footnoteReference w:id="1"/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 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>à tout moment au cours de</w:t>
      </w:r>
      <w:r w:rsidR="00894B82" w:rsidRPr="00F935B0">
        <w:rPr>
          <w:rFonts w:asciiTheme="majorHAnsi" w:hAnsiTheme="majorHAnsi"/>
          <w:color w:val="auto"/>
          <w:sz w:val="20"/>
          <w:szCs w:val="20"/>
        </w:rPr>
        <w:t>s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 xml:space="preserve"> période</w:t>
      </w:r>
      <w:r w:rsidR="00894B82" w:rsidRPr="00F935B0">
        <w:rPr>
          <w:rFonts w:asciiTheme="majorHAnsi" w:hAnsiTheme="majorHAnsi"/>
          <w:color w:val="auto"/>
          <w:sz w:val="20"/>
          <w:szCs w:val="20"/>
        </w:rPr>
        <w:t>s</w:t>
      </w:r>
      <w:r w:rsidR="003C448D" w:rsidRPr="00F935B0">
        <w:rPr>
          <w:rFonts w:asciiTheme="majorHAnsi" w:hAnsiTheme="majorHAnsi"/>
          <w:color w:val="auto"/>
          <w:sz w:val="20"/>
          <w:szCs w:val="20"/>
        </w:rPr>
        <w:t xml:space="preserve"> de projection de X ans ;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 </w:t>
      </w:r>
    </w:p>
    <w:p w14:paraId="29261FB7" w14:textId="77777777" w:rsidR="002619E9" w:rsidRPr="00F935B0" w:rsidRDefault="002619E9" w:rsidP="002619E9">
      <w:pPr>
        <w:pStyle w:val="Default"/>
        <w:widowControl w:val="0"/>
        <w:ind w:left="720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6EFC881A" w14:textId="34AE98BB" w:rsidR="007C3C39" w:rsidRPr="00F935B0" w:rsidRDefault="007631E3" w:rsidP="001E370D">
      <w:pPr>
        <w:pStyle w:val="Default"/>
        <w:numPr>
          <w:ilvl w:val="0"/>
          <w:numId w:val="1"/>
        </w:numPr>
        <w:ind w:left="850" w:hanging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rFonts w:asciiTheme="majorHAnsi" w:hAnsiTheme="majorHAnsi"/>
          <w:color w:val="auto"/>
          <w:sz w:val="20"/>
          <w:szCs w:val="20"/>
        </w:rPr>
        <w:t>Production</w:t>
      </w:r>
    </w:p>
    <w:p w14:paraId="22E17D48" w14:textId="77777777" w:rsidR="00D11AB4" w:rsidRPr="00F935B0" w:rsidRDefault="00D11AB4" w:rsidP="00D11AB4">
      <w:pPr>
        <w:pStyle w:val="Default"/>
        <w:widowControl w:val="0"/>
        <w:ind w:left="720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68FE3658" w14:textId="48AFD0F5" w:rsidR="007C3C39" w:rsidRPr="00F935B0" w:rsidRDefault="00E07A86" w:rsidP="00D11AB4">
      <w:pPr>
        <w:pStyle w:val="Default"/>
        <w:widowControl w:val="0"/>
        <w:numPr>
          <w:ilvl w:val="1"/>
          <w:numId w:val="1"/>
        </w:numPr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rFonts w:asciiTheme="majorHAnsi" w:hAnsiTheme="majorHAnsi"/>
          <w:color w:val="auto"/>
          <w:sz w:val="20"/>
          <w:szCs w:val="20"/>
        </w:rPr>
        <w:t xml:space="preserve">Maximiser les niveaux de captures globaux à </w:t>
      </w:r>
      <w:r w:rsidR="004070EA" w:rsidRPr="00F935B0">
        <w:rPr>
          <w:rFonts w:asciiTheme="majorHAnsi" w:hAnsiTheme="majorHAnsi"/>
          <w:color w:val="auto"/>
          <w:sz w:val="20"/>
          <w:szCs w:val="20"/>
        </w:rPr>
        <w:t xml:space="preserve">court terme (1-3 ans), 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moyen terme </w:t>
      </w:r>
      <w:r w:rsidRPr="00F935B0">
        <w:rPr>
          <w:rFonts w:asciiTheme="majorHAnsi" w:hAnsiTheme="majorHAnsi"/>
          <w:sz w:val="20"/>
          <w:szCs w:val="20"/>
        </w:rPr>
        <w:t>(4-10 ans) et à long terme (</w:t>
      </w:r>
      <w:r w:rsidR="00242C8C" w:rsidRPr="00F935B0">
        <w:rPr>
          <w:rFonts w:asciiTheme="majorHAnsi" w:hAnsiTheme="majorHAnsi"/>
          <w:sz w:val="20"/>
          <w:szCs w:val="20"/>
        </w:rPr>
        <w:t>11</w:t>
      </w:r>
      <w:r w:rsidRPr="00F935B0">
        <w:rPr>
          <w:rFonts w:asciiTheme="majorHAnsi" w:hAnsiTheme="majorHAnsi"/>
          <w:sz w:val="20"/>
          <w:szCs w:val="20"/>
        </w:rPr>
        <w:t>-30 ans) </w:t>
      </w:r>
      <w:r w:rsidR="00120A7D" w:rsidRPr="00F935B0">
        <w:rPr>
          <w:rFonts w:asciiTheme="majorHAnsi" w:hAnsiTheme="majorHAnsi"/>
          <w:color w:val="auto"/>
          <w:sz w:val="20"/>
          <w:szCs w:val="20"/>
        </w:rPr>
        <w:t>; et</w:t>
      </w:r>
    </w:p>
    <w:p w14:paraId="12A8D753" w14:textId="77777777" w:rsidR="00D11AB4" w:rsidRPr="00F935B0" w:rsidRDefault="00D11AB4" w:rsidP="00D11AB4">
      <w:pPr>
        <w:pStyle w:val="Default"/>
        <w:widowControl w:val="0"/>
        <w:ind w:left="1440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7B77B332" w14:textId="72593629" w:rsidR="007C3C39" w:rsidRPr="00F935B0" w:rsidRDefault="00120A7D" w:rsidP="001E370D">
      <w:pPr>
        <w:pStyle w:val="Default"/>
        <w:numPr>
          <w:ilvl w:val="0"/>
          <w:numId w:val="1"/>
        </w:numPr>
        <w:ind w:left="850" w:hanging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rFonts w:asciiTheme="majorHAnsi" w:hAnsiTheme="majorHAnsi"/>
          <w:color w:val="auto"/>
          <w:sz w:val="20"/>
          <w:szCs w:val="20"/>
        </w:rPr>
        <w:t>Stabilité</w:t>
      </w:r>
    </w:p>
    <w:p w14:paraId="637FA6C6" w14:textId="77777777" w:rsidR="00D11AB4" w:rsidRPr="00F935B0" w:rsidRDefault="00D11AB4" w:rsidP="00D11AB4">
      <w:pPr>
        <w:pStyle w:val="Default"/>
        <w:widowControl w:val="0"/>
        <w:ind w:left="720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3A226E37" w14:textId="5E143E4C" w:rsidR="007C3C39" w:rsidRPr="00F935B0" w:rsidRDefault="00E07A86" w:rsidP="00D11AB4">
      <w:pPr>
        <w:pStyle w:val="Default"/>
        <w:widowControl w:val="0"/>
        <w:numPr>
          <w:ilvl w:val="1"/>
          <w:numId w:val="1"/>
        </w:numPr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rFonts w:asciiTheme="majorHAnsi" w:hAnsiTheme="majorHAnsi"/>
          <w:color w:val="auto"/>
          <w:sz w:val="20"/>
          <w:szCs w:val="20"/>
        </w:rPr>
        <w:t xml:space="preserve">Tout changement du TAC entre les périodes de gestion devrait être </w:t>
      </w:r>
      <w:r w:rsidR="002619E9" w:rsidRPr="00F935B0">
        <w:rPr>
          <w:rFonts w:asciiTheme="majorHAnsi" w:hAnsiTheme="majorHAnsi"/>
          <w:color w:val="auto"/>
          <w:sz w:val="20"/>
          <w:szCs w:val="20"/>
        </w:rPr>
        <w:t>de</w:t>
      </w:r>
      <w:r w:rsidRPr="00F935B0">
        <w:rPr>
          <w:rFonts w:asciiTheme="majorHAnsi" w:hAnsiTheme="majorHAnsi"/>
          <w:color w:val="auto"/>
          <w:sz w:val="20"/>
          <w:szCs w:val="20"/>
        </w:rPr>
        <w:t xml:space="preserve"> [</w:t>
      </w:r>
      <w:r w:rsidR="00450A80" w:rsidRPr="00F935B0">
        <w:rPr>
          <w:rFonts w:asciiTheme="majorHAnsi" w:hAnsiTheme="majorHAnsi"/>
          <w:color w:val="auto"/>
          <w:sz w:val="20"/>
          <w:szCs w:val="20"/>
        </w:rPr>
        <w:t>XX</w:t>
      </w:r>
      <w:r w:rsidRPr="00F935B0">
        <w:rPr>
          <w:rFonts w:asciiTheme="majorHAnsi" w:hAnsiTheme="majorHAnsi"/>
          <w:color w:val="auto"/>
          <w:sz w:val="20"/>
          <w:szCs w:val="20"/>
        </w:rPr>
        <w:t>]</w:t>
      </w:r>
      <w:r w:rsidR="00DE3793" w:rsidRPr="00F935B0">
        <w:rPr>
          <w:rFonts w:asciiTheme="majorHAnsi" w:hAnsiTheme="majorHAnsi"/>
          <w:color w:val="auto"/>
          <w:sz w:val="20"/>
          <w:szCs w:val="20"/>
        </w:rPr>
        <w:t> </w:t>
      </w:r>
      <w:r w:rsidRPr="00F935B0">
        <w:rPr>
          <w:rFonts w:asciiTheme="majorHAnsi" w:hAnsiTheme="majorHAnsi"/>
          <w:color w:val="auto"/>
          <w:sz w:val="20"/>
          <w:szCs w:val="20"/>
        </w:rPr>
        <w:t>%</w:t>
      </w:r>
      <w:bookmarkStart w:id="1" w:name="_Hlk72487911"/>
      <w:bookmarkEnd w:id="1"/>
      <w:r w:rsidR="004070EA" w:rsidRPr="00F935B0">
        <w:rPr>
          <w:rFonts w:asciiTheme="majorHAnsi" w:hAnsiTheme="majorHAnsi"/>
          <w:color w:val="auto"/>
          <w:sz w:val="20"/>
          <w:szCs w:val="20"/>
        </w:rPr>
        <w:t xml:space="preserve"> ou moins.</w:t>
      </w:r>
    </w:p>
    <w:p w14:paraId="2668C04C" w14:textId="77777777" w:rsidR="004070EA" w:rsidRPr="00F935B0" w:rsidRDefault="004070EA" w:rsidP="004070EA">
      <w:pPr>
        <w:pStyle w:val="Default"/>
        <w:widowControl w:val="0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</w:p>
    <w:p w14:paraId="3F45C196" w14:textId="49A6CF23" w:rsidR="002619E9" w:rsidRPr="00F935B0" w:rsidRDefault="00E25F10" w:rsidP="000053CD">
      <w:pPr>
        <w:pStyle w:val="Default"/>
        <w:numPr>
          <w:ilvl w:val="0"/>
          <w:numId w:val="2"/>
        </w:numPr>
        <w:ind w:left="425" w:hanging="425"/>
        <w:contextualSpacing/>
        <w:jc w:val="both"/>
        <w:rPr>
          <w:sz w:val="20"/>
          <w:szCs w:val="20"/>
        </w:rPr>
      </w:pPr>
      <w:r w:rsidRPr="00F935B0">
        <w:rPr>
          <w:sz w:val="20"/>
          <w:szCs w:val="20"/>
        </w:rPr>
        <w:t xml:space="preserve">En développant davantage les objectifs de gestion opérationnels initiaux, les objectifs de gestion potentiels du paragraphe 2 peuvent être rejetés, modifiés ou complétés, le cas échéant, par la Sous-commission 1 et ces objectifs de gestion initiaux seront transmis au Groupe d'espèces sur les thonidés tropicaux du SCRS aux fins d'examen et d'évaluation par le biais du processus MSE. </w:t>
      </w:r>
    </w:p>
    <w:p w14:paraId="5F63F5AC" w14:textId="77777777" w:rsidR="002619E9" w:rsidRPr="00F935B0" w:rsidRDefault="002619E9" w:rsidP="007C6FBC">
      <w:pPr>
        <w:pStyle w:val="Default"/>
        <w:ind w:left="360" w:hanging="425"/>
        <w:contextualSpacing/>
        <w:jc w:val="both"/>
        <w:rPr>
          <w:sz w:val="20"/>
          <w:szCs w:val="20"/>
        </w:rPr>
      </w:pPr>
    </w:p>
    <w:p w14:paraId="2B60ADD4" w14:textId="750FFA95" w:rsidR="00AF054B" w:rsidRPr="00F935B0" w:rsidRDefault="00E25F10" w:rsidP="007C6FBC">
      <w:pPr>
        <w:pStyle w:val="Default"/>
        <w:widowControl w:val="0"/>
        <w:numPr>
          <w:ilvl w:val="0"/>
          <w:numId w:val="2"/>
        </w:numPr>
        <w:ind w:left="426" w:hanging="425"/>
        <w:contextualSpacing/>
        <w:jc w:val="both"/>
        <w:rPr>
          <w:rFonts w:asciiTheme="majorHAnsi" w:hAnsiTheme="majorHAnsi"/>
          <w:color w:val="auto"/>
          <w:sz w:val="20"/>
          <w:szCs w:val="20"/>
        </w:rPr>
      </w:pPr>
      <w:r w:rsidRPr="00F935B0">
        <w:rPr>
          <w:sz w:val="20"/>
          <w:szCs w:val="20"/>
        </w:rPr>
        <w:t xml:space="preserve">La Sous-commission 1 soumettra ses recommandations relatives aux objectifs de gestion finaux pour le listao de l'Atlantique Ouest, en tenant compte de la contribution du SCRS, à la Commission </w:t>
      </w:r>
      <w:r w:rsidR="006E5D0B" w:rsidRPr="00F935B0">
        <w:rPr>
          <w:sz w:val="20"/>
          <w:szCs w:val="20"/>
        </w:rPr>
        <w:t xml:space="preserve">à des </w:t>
      </w:r>
      <w:r w:rsidRPr="00F935B0">
        <w:rPr>
          <w:sz w:val="20"/>
          <w:szCs w:val="20"/>
        </w:rPr>
        <w:t>fins d'examen dans le cadre de la sélection d'une procédure de gestion</w:t>
      </w:r>
      <w:r w:rsidR="008A2ACC" w:rsidRPr="00F935B0">
        <w:rPr>
          <w:sz w:val="20"/>
          <w:szCs w:val="20"/>
        </w:rPr>
        <w:t>, à sa réunion annuelle de 2023,</w:t>
      </w:r>
      <w:r w:rsidR="008A2ACC" w:rsidRPr="00F935B0">
        <w:rPr>
          <w:rFonts w:asciiTheme="majorHAnsi" w:hAnsiTheme="majorHAnsi"/>
          <w:color w:val="auto"/>
          <w:sz w:val="20"/>
          <w:szCs w:val="20"/>
        </w:rPr>
        <w:t xml:space="preserve"> ou dès que possible par la suite.</w:t>
      </w:r>
    </w:p>
    <w:sectPr w:rsidR="00AF054B" w:rsidRPr="00F935B0" w:rsidSect="00D11AB4">
      <w:headerReference w:type="default" r:id="rId8"/>
      <w:footerReference w:type="default" r:id="rId9"/>
      <w:pgSz w:w="11906" w:h="16838" w:code="9"/>
      <w:pgMar w:top="1418" w:right="1418" w:bottom="1418" w:left="1418" w:header="85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D616" w14:textId="77777777" w:rsidR="00E5399D" w:rsidRDefault="00E5399D">
      <w:pPr>
        <w:spacing w:after="0" w:line="240" w:lineRule="auto"/>
      </w:pPr>
      <w:r>
        <w:separator/>
      </w:r>
    </w:p>
  </w:endnote>
  <w:endnote w:type="continuationSeparator" w:id="0">
    <w:p w14:paraId="72B647E0" w14:textId="77777777" w:rsidR="00E5399D" w:rsidRDefault="00E5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50494532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6BFC388F" w14:textId="53CC513F" w:rsidR="00D11AB4" w:rsidRPr="00D11AB4" w:rsidRDefault="00D11AB4" w:rsidP="00D11AB4">
        <w:pPr>
          <w:pStyle w:val="Footer"/>
          <w:jc w:val="center"/>
          <w:rPr>
            <w:rFonts w:asciiTheme="majorHAnsi" w:hAnsiTheme="majorHAnsi"/>
            <w:sz w:val="20"/>
            <w:szCs w:val="20"/>
          </w:rPr>
        </w:pPr>
        <w:r w:rsidRPr="00D11AB4">
          <w:rPr>
            <w:rFonts w:asciiTheme="majorHAnsi" w:hAnsiTheme="majorHAnsi"/>
            <w:sz w:val="20"/>
            <w:szCs w:val="20"/>
          </w:rPr>
          <w:fldChar w:fldCharType="begin"/>
        </w:r>
        <w:r w:rsidRPr="00D11AB4">
          <w:rPr>
            <w:rFonts w:asciiTheme="majorHAnsi" w:hAnsiTheme="majorHAnsi"/>
            <w:sz w:val="20"/>
            <w:szCs w:val="20"/>
          </w:rPr>
          <w:instrText xml:space="preserve"> PAGE </w:instrText>
        </w:r>
        <w:r w:rsidRPr="00D11AB4">
          <w:rPr>
            <w:rFonts w:asciiTheme="majorHAnsi" w:hAnsiTheme="majorHAnsi"/>
            <w:sz w:val="20"/>
            <w:szCs w:val="20"/>
          </w:rPr>
          <w:fldChar w:fldCharType="separate"/>
        </w:r>
        <w:r w:rsidR="00D01621">
          <w:rPr>
            <w:rFonts w:asciiTheme="majorHAnsi" w:hAnsiTheme="majorHAnsi"/>
            <w:noProof/>
            <w:sz w:val="20"/>
            <w:szCs w:val="20"/>
          </w:rPr>
          <w:t>2</w:t>
        </w:r>
        <w:r w:rsidRPr="00D11AB4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40AF" w14:textId="77777777" w:rsidR="00E5399D" w:rsidRDefault="00E5399D">
      <w:pPr>
        <w:spacing w:after="0" w:line="240" w:lineRule="auto"/>
      </w:pPr>
      <w:r>
        <w:separator/>
      </w:r>
    </w:p>
  </w:footnote>
  <w:footnote w:type="continuationSeparator" w:id="0">
    <w:p w14:paraId="52368225" w14:textId="77777777" w:rsidR="00E5399D" w:rsidRDefault="00E5399D">
      <w:pPr>
        <w:spacing w:after="0" w:line="240" w:lineRule="auto"/>
      </w:pPr>
      <w:r>
        <w:continuationSeparator/>
      </w:r>
    </w:p>
  </w:footnote>
  <w:footnote w:id="1">
    <w:p w14:paraId="0BDDF3F8" w14:textId="301EA354" w:rsidR="00894B82" w:rsidRPr="00C9552E" w:rsidRDefault="00894B82">
      <w:pPr>
        <w:pStyle w:val="FootnoteText"/>
        <w:rPr>
          <w:rFonts w:asciiTheme="majorHAnsi" w:hAnsiTheme="majorHAnsi"/>
          <w:sz w:val="16"/>
          <w:szCs w:val="16"/>
        </w:rPr>
      </w:pPr>
      <w:r w:rsidRPr="00C9552E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C9552E">
        <w:rPr>
          <w:rFonts w:asciiTheme="majorHAnsi" w:hAnsiTheme="majorHAnsi"/>
          <w:sz w:val="16"/>
          <w:szCs w:val="16"/>
        </w:rPr>
        <w:t xml:space="preserve"> Le SCRS donnera son avis sur l</w:t>
      </w:r>
      <w:r w:rsidR="008A2ACC" w:rsidRPr="00C9552E">
        <w:rPr>
          <w:rFonts w:asciiTheme="majorHAnsi" w:hAnsiTheme="majorHAnsi"/>
          <w:sz w:val="16"/>
          <w:szCs w:val="16"/>
        </w:rPr>
        <w:t xml:space="preserve">a </w:t>
      </w:r>
      <w:r w:rsidRPr="00C9552E">
        <w:rPr>
          <w:rFonts w:asciiTheme="majorHAnsi" w:hAnsiTheme="majorHAnsi"/>
          <w:sz w:val="16"/>
          <w:szCs w:val="16"/>
        </w:rPr>
        <w:t>B</w:t>
      </w:r>
      <w:r w:rsidRPr="00C9552E">
        <w:rPr>
          <w:rFonts w:asciiTheme="majorHAnsi" w:hAnsiTheme="majorHAnsi"/>
          <w:sz w:val="16"/>
          <w:szCs w:val="16"/>
          <w:vertAlign w:val="subscript"/>
        </w:rPr>
        <w:t>LIM</w:t>
      </w:r>
      <w:r w:rsidRPr="00C9552E">
        <w:rPr>
          <w:rFonts w:asciiTheme="majorHAnsi" w:hAnsiTheme="majorHAnsi"/>
          <w:sz w:val="16"/>
          <w:szCs w:val="16"/>
        </w:rPr>
        <w:t xml:space="preserve"> approprié</w:t>
      </w:r>
      <w:r w:rsidR="008A2ACC" w:rsidRPr="00C9552E">
        <w:rPr>
          <w:rFonts w:asciiTheme="majorHAnsi" w:hAnsiTheme="majorHAnsi"/>
          <w:sz w:val="16"/>
          <w:szCs w:val="16"/>
        </w:rPr>
        <w:t>e</w:t>
      </w:r>
      <w:r w:rsidRPr="00C9552E">
        <w:rPr>
          <w:rFonts w:asciiTheme="majorHAnsi" w:hAnsiTheme="majorHAnsi"/>
          <w:sz w:val="16"/>
          <w:szCs w:val="16"/>
        </w:rPr>
        <w:t xml:space="preserve"> pour le listao de l'Atlantique Ouest.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EA7A6" w14:textId="5117DC1C" w:rsidR="007C3C39" w:rsidRPr="00D11AB4" w:rsidRDefault="007C3C39" w:rsidP="00D11AB4">
    <w:pPr>
      <w:tabs>
        <w:tab w:val="left" w:pos="7320"/>
      </w:tabs>
      <w:spacing w:after="0"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D43"/>
    <w:multiLevelType w:val="multilevel"/>
    <w:tmpl w:val="DA6023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C673FF"/>
    <w:multiLevelType w:val="multilevel"/>
    <w:tmpl w:val="C6227F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701B75"/>
    <w:multiLevelType w:val="hybridMultilevel"/>
    <w:tmpl w:val="1C868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04244"/>
    <w:multiLevelType w:val="multilevel"/>
    <w:tmpl w:val="FE5471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54358AD"/>
    <w:multiLevelType w:val="hybridMultilevel"/>
    <w:tmpl w:val="4D9CF3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88207">
    <w:abstractNumId w:val="1"/>
  </w:num>
  <w:num w:numId="2" w16cid:durableId="2139562375">
    <w:abstractNumId w:val="0"/>
  </w:num>
  <w:num w:numId="3" w16cid:durableId="886138358">
    <w:abstractNumId w:val="3"/>
  </w:num>
  <w:num w:numId="4" w16cid:durableId="703675123">
    <w:abstractNumId w:val="4"/>
  </w:num>
  <w:num w:numId="5" w16cid:durableId="13745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C39"/>
    <w:rsid w:val="000053CD"/>
    <w:rsid w:val="00083F62"/>
    <w:rsid w:val="00097489"/>
    <w:rsid w:val="000C03CE"/>
    <w:rsid w:val="000D7632"/>
    <w:rsid w:val="000F0067"/>
    <w:rsid w:val="001073B8"/>
    <w:rsid w:val="00120A7D"/>
    <w:rsid w:val="001257FD"/>
    <w:rsid w:val="001308A8"/>
    <w:rsid w:val="00191252"/>
    <w:rsid w:val="001A4071"/>
    <w:rsid w:val="001E370D"/>
    <w:rsid w:val="00236135"/>
    <w:rsid w:val="00242C8C"/>
    <w:rsid w:val="002619E9"/>
    <w:rsid w:val="00294B6A"/>
    <w:rsid w:val="002C47F6"/>
    <w:rsid w:val="002C4BAE"/>
    <w:rsid w:val="00332BC7"/>
    <w:rsid w:val="003540A6"/>
    <w:rsid w:val="00393886"/>
    <w:rsid w:val="003B37B2"/>
    <w:rsid w:val="003C448D"/>
    <w:rsid w:val="003C74D6"/>
    <w:rsid w:val="003F371B"/>
    <w:rsid w:val="004070EA"/>
    <w:rsid w:val="00450A80"/>
    <w:rsid w:val="00474AC0"/>
    <w:rsid w:val="004A210C"/>
    <w:rsid w:val="004F1167"/>
    <w:rsid w:val="005128BD"/>
    <w:rsid w:val="00536420"/>
    <w:rsid w:val="00553209"/>
    <w:rsid w:val="00557F95"/>
    <w:rsid w:val="00565C54"/>
    <w:rsid w:val="005C091E"/>
    <w:rsid w:val="005C25D9"/>
    <w:rsid w:val="005D0E9A"/>
    <w:rsid w:val="005D12E7"/>
    <w:rsid w:val="005D584F"/>
    <w:rsid w:val="005F71BB"/>
    <w:rsid w:val="006541C5"/>
    <w:rsid w:val="006873A9"/>
    <w:rsid w:val="006D0B5C"/>
    <w:rsid w:val="006D4360"/>
    <w:rsid w:val="006E5D0B"/>
    <w:rsid w:val="006F1225"/>
    <w:rsid w:val="007631E3"/>
    <w:rsid w:val="007C3C39"/>
    <w:rsid w:val="007C6FBC"/>
    <w:rsid w:val="007F53FA"/>
    <w:rsid w:val="00832DB6"/>
    <w:rsid w:val="0087129E"/>
    <w:rsid w:val="00894B82"/>
    <w:rsid w:val="008A2ACC"/>
    <w:rsid w:val="00923665"/>
    <w:rsid w:val="00936BB2"/>
    <w:rsid w:val="009642F1"/>
    <w:rsid w:val="00981E38"/>
    <w:rsid w:val="00992580"/>
    <w:rsid w:val="009D5D02"/>
    <w:rsid w:val="00A51900"/>
    <w:rsid w:val="00AC075E"/>
    <w:rsid w:val="00AE1E17"/>
    <w:rsid w:val="00AF054B"/>
    <w:rsid w:val="00B22577"/>
    <w:rsid w:val="00B74384"/>
    <w:rsid w:val="00B80660"/>
    <w:rsid w:val="00BB605F"/>
    <w:rsid w:val="00C33CFB"/>
    <w:rsid w:val="00C44AB2"/>
    <w:rsid w:val="00C9552E"/>
    <w:rsid w:val="00C96679"/>
    <w:rsid w:val="00CC5743"/>
    <w:rsid w:val="00CC7F29"/>
    <w:rsid w:val="00CD2590"/>
    <w:rsid w:val="00CE7117"/>
    <w:rsid w:val="00D01621"/>
    <w:rsid w:val="00D11AB4"/>
    <w:rsid w:val="00D309B8"/>
    <w:rsid w:val="00D73592"/>
    <w:rsid w:val="00DB024A"/>
    <w:rsid w:val="00DB6529"/>
    <w:rsid w:val="00DE0862"/>
    <w:rsid w:val="00DE3793"/>
    <w:rsid w:val="00E07A86"/>
    <w:rsid w:val="00E164D5"/>
    <w:rsid w:val="00E25F10"/>
    <w:rsid w:val="00E5399D"/>
    <w:rsid w:val="00EA7A8F"/>
    <w:rsid w:val="00EE1C5F"/>
    <w:rsid w:val="00F0582C"/>
    <w:rsid w:val="00F552A0"/>
    <w:rsid w:val="00F935B0"/>
    <w:rsid w:val="00FC5440"/>
    <w:rsid w:val="00FD0553"/>
    <w:rsid w:val="00FD16AE"/>
    <w:rsid w:val="00FD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820D"/>
  <w15:docId w15:val="{057D56B2-ED4D-4753-85C0-A716BB00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5558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38643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90AB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90AB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90AB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56E1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A656E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21024"/>
  </w:style>
  <w:style w:type="character" w:customStyle="1" w:styleId="FooterChar">
    <w:name w:val="Footer Char"/>
    <w:basedOn w:val="DefaultParagraphFont"/>
    <w:link w:val="Footer"/>
    <w:uiPriority w:val="99"/>
    <w:qFormat/>
    <w:rsid w:val="00221024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459AB"/>
    <w:rPr>
      <w:rFonts w:ascii="Calibri" w:eastAsia="SimSun" w:hAnsi="Calibri" w:cs="Calibri"/>
      <w:lang w:eastAsia="zh-CN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2459AB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fontstyle11">
    <w:name w:val="fontstyle11"/>
    <w:basedOn w:val="DefaultParagraphFont"/>
    <w:qFormat/>
    <w:rsid w:val="001209D9"/>
    <w:rPr>
      <w:rFonts w:ascii="Cambria" w:hAnsi="Cambria"/>
      <w:b w:val="0"/>
      <w:bCs w:val="0"/>
      <w:i w:val="0"/>
      <w:iCs w:val="0"/>
      <w:color w:val="000000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55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55587"/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5D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190AB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90ABE"/>
    <w:rPr>
      <w:b/>
      <w:bCs/>
    </w:rPr>
  </w:style>
  <w:style w:type="paragraph" w:styleId="Revision">
    <w:name w:val="Revision"/>
    <w:uiPriority w:val="99"/>
    <w:semiHidden/>
    <w:qFormat/>
    <w:rsid w:val="001C6653"/>
  </w:style>
  <w:style w:type="paragraph" w:styleId="NormalWeb">
    <w:name w:val="Normal (Web)"/>
    <w:basedOn w:val="Normal"/>
    <w:uiPriority w:val="99"/>
    <w:semiHidden/>
    <w:unhideWhenUsed/>
    <w:qFormat/>
    <w:rsid w:val="005A31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2102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21024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59AB"/>
    <w:pPr>
      <w:snapToGrid w:val="0"/>
      <w:spacing w:after="0" w:line="240" w:lineRule="auto"/>
    </w:pPr>
    <w:rPr>
      <w:rFonts w:ascii="Calibri" w:eastAsia="SimSun" w:hAnsi="Calibri" w:cs="Calibri"/>
      <w:lang w:eastAsia="zh-CN"/>
    </w:rPr>
  </w:style>
  <w:style w:type="table" w:styleId="TableGrid">
    <w:name w:val="Table Grid"/>
    <w:basedOn w:val="TableNormal"/>
    <w:uiPriority w:val="39"/>
    <w:rsid w:val="00A8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894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7057-FFFA-4532-9A87-55C98668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Dorothee Pinet</cp:lastModifiedBy>
  <cp:revision>46</cp:revision>
  <dcterms:created xsi:type="dcterms:W3CDTF">2022-10-11T18:38:00Z</dcterms:created>
  <dcterms:modified xsi:type="dcterms:W3CDTF">2022-12-19T13:04:00Z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