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C75F0" w14:textId="034D5EB4" w:rsidR="003D7C51" w:rsidRPr="00302531" w:rsidRDefault="003D7C51" w:rsidP="00BF42B3">
      <w:pPr>
        <w:pStyle w:val="TITULORECOMENDACION"/>
        <w:pBdr>
          <w:top w:val="double" w:sz="4" w:space="1" w:color="auto"/>
          <w:left w:val="double" w:sz="4" w:space="4" w:color="auto"/>
          <w:bottom w:val="double" w:sz="4" w:space="1" w:color="auto"/>
          <w:right w:val="double" w:sz="4" w:space="4" w:color="auto"/>
        </w:pBdr>
        <w:rPr>
          <w:rFonts w:asciiTheme="majorHAnsi" w:hAnsiTheme="majorHAnsi"/>
          <w:szCs w:val="20"/>
        </w:rPr>
      </w:pPr>
      <w:r w:rsidRPr="00302531">
        <w:rPr>
          <w:rFonts w:asciiTheme="majorHAnsi" w:hAnsiTheme="majorHAnsi"/>
          <w:szCs w:val="20"/>
        </w:rPr>
        <w:t>21-</w:t>
      </w:r>
      <w:r w:rsidR="00AD68FD" w:rsidRPr="00302531">
        <w:rPr>
          <w:rFonts w:asciiTheme="majorHAnsi" w:hAnsiTheme="majorHAnsi"/>
          <w:szCs w:val="20"/>
        </w:rPr>
        <w:t>24</w:t>
      </w:r>
      <w:r w:rsidRPr="00302531">
        <w:rPr>
          <w:rFonts w:asciiTheme="majorHAnsi" w:hAnsiTheme="majorHAnsi"/>
          <w:szCs w:val="20"/>
        </w:rPr>
        <w:tab/>
      </w:r>
      <w:r w:rsidR="00AD68FD" w:rsidRPr="00302531">
        <w:rPr>
          <w:rFonts w:asciiTheme="majorHAnsi" w:hAnsiTheme="majorHAnsi"/>
          <w:szCs w:val="20"/>
        </w:rPr>
        <w:t>MISC</w:t>
      </w:r>
    </w:p>
    <w:p w14:paraId="15A8C953" w14:textId="77777777" w:rsidR="003D7C51" w:rsidRPr="00302531" w:rsidRDefault="003D7C51" w:rsidP="00BF42B3">
      <w:pPr>
        <w:pStyle w:val="TITULORECOMENDACION"/>
        <w:pBdr>
          <w:top w:val="double" w:sz="4" w:space="1" w:color="auto"/>
          <w:left w:val="double" w:sz="4" w:space="4" w:color="auto"/>
          <w:bottom w:val="double" w:sz="4" w:space="1" w:color="auto"/>
          <w:right w:val="double" w:sz="4" w:space="4" w:color="auto"/>
        </w:pBdr>
        <w:rPr>
          <w:rFonts w:asciiTheme="majorHAnsi" w:hAnsiTheme="majorHAnsi"/>
          <w:szCs w:val="20"/>
        </w:rPr>
      </w:pPr>
    </w:p>
    <w:p w14:paraId="6A9ED008" w14:textId="348ABB77" w:rsidR="000041DF" w:rsidRPr="00302531" w:rsidRDefault="00DB0D9F" w:rsidP="00BF42B3">
      <w:pPr>
        <w:pStyle w:val="TITULORECOMENDACION"/>
        <w:pBdr>
          <w:top w:val="double" w:sz="4" w:space="1" w:color="auto"/>
          <w:left w:val="double" w:sz="4" w:space="4" w:color="auto"/>
          <w:bottom w:val="double" w:sz="4" w:space="1" w:color="auto"/>
          <w:right w:val="double" w:sz="4" w:space="4" w:color="auto"/>
        </w:pBdr>
        <w:rPr>
          <w:rFonts w:asciiTheme="majorHAnsi" w:hAnsiTheme="majorHAnsi"/>
          <w:szCs w:val="20"/>
        </w:rPr>
      </w:pPr>
      <w:r w:rsidRPr="00302531">
        <w:rPr>
          <w:rFonts w:ascii="Cambria" w:hAnsi="Cambria"/>
        </w:rPr>
        <w:t>RECOMMANDATION DE L’ICCAT REMPLAÇANT LA RECOMMANDATION 03-20 SUR LES CRITÈRES VISANT À L’OCTROI DU STATUT DE PARTIE, ENTITÉ OU ENTITÉ DE P</w:t>
      </w:r>
      <w:r w:rsidR="00AD68FD" w:rsidRPr="00302531">
        <w:rPr>
          <w:rFonts w:ascii="Cambria" w:hAnsi="Cambria"/>
        </w:rPr>
        <w:t>Ê</w:t>
      </w:r>
      <w:r w:rsidRPr="00302531">
        <w:rPr>
          <w:rFonts w:ascii="Cambria" w:hAnsi="Cambria"/>
        </w:rPr>
        <w:t xml:space="preserve">CHE NON CONTRACTANTE COOPÉRANTE </w:t>
      </w:r>
      <w:r w:rsidR="00AD68FD" w:rsidRPr="00302531">
        <w:rPr>
          <w:rFonts w:ascii="Cambria" w:hAnsi="Cambria"/>
        </w:rPr>
        <w:t>À</w:t>
      </w:r>
      <w:r w:rsidRPr="00302531">
        <w:rPr>
          <w:rFonts w:ascii="Cambria" w:hAnsi="Cambria"/>
        </w:rPr>
        <w:t xml:space="preserve"> L’ICCAT</w:t>
      </w:r>
    </w:p>
    <w:p w14:paraId="00E78509" w14:textId="77777777" w:rsidR="00B66259" w:rsidRPr="00302531" w:rsidRDefault="00B66259" w:rsidP="00BF42B3">
      <w:pPr>
        <w:pStyle w:val="TITULORECOMENDACION"/>
        <w:pBdr>
          <w:top w:val="double" w:sz="4" w:space="1" w:color="auto"/>
          <w:left w:val="double" w:sz="4" w:space="4" w:color="auto"/>
          <w:bottom w:val="double" w:sz="4" w:space="1" w:color="auto"/>
          <w:right w:val="double" w:sz="4" w:space="4" w:color="auto"/>
        </w:pBdr>
        <w:rPr>
          <w:rFonts w:asciiTheme="majorHAnsi" w:hAnsiTheme="majorHAnsi"/>
          <w:szCs w:val="20"/>
        </w:rPr>
      </w:pPr>
    </w:p>
    <w:p w14:paraId="790A011E" w14:textId="3E62721F" w:rsidR="00354D10" w:rsidRPr="00302531" w:rsidRDefault="00354D10" w:rsidP="00354D10">
      <w:pPr>
        <w:rPr>
          <w:rFonts w:asciiTheme="majorHAnsi" w:hAnsiTheme="majorHAnsi"/>
          <w:sz w:val="20"/>
          <w:szCs w:val="20"/>
          <w:lang w:val="fr-FR"/>
        </w:rPr>
      </w:pPr>
    </w:p>
    <w:p w14:paraId="0404DA05" w14:textId="77777777" w:rsidR="00354D10" w:rsidRPr="00302531" w:rsidRDefault="00354D10" w:rsidP="000041DF">
      <w:pPr>
        <w:tabs>
          <w:tab w:val="left" w:pos="282"/>
          <w:tab w:val="left" w:pos="590"/>
          <w:tab w:val="left" w:pos="1166"/>
          <w:tab w:val="left" w:pos="1742"/>
          <w:tab w:val="left" w:pos="2289"/>
          <w:tab w:val="left" w:pos="7103"/>
        </w:tabs>
        <w:ind w:left="-1" w:right="-1"/>
        <w:jc w:val="both"/>
        <w:rPr>
          <w:rFonts w:asciiTheme="majorHAnsi" w:hAnsiTheme="majorHAnsi"/>
          <w:i/>
          <w:iCs/>
          <w:sz w:val="20"/>
          <w:szCs w:val="20"/>
          <w:lang w:val="fr-FR"/>
        </w:rPr>
      </w:pPr>
    </w:p>
    <w:p w14:paraId="4F463A08" w14:textId="22B6EE2C" w:rsidR="000041DF" w:rsidRPr="00302531" w:rsidRDefault="000041DF" w:rsidP="00C06572">
      <w:pPr>
        <w:tabs>
          <w:tab w:val="left" w:pos="7103"/>
        </w:tabs>
        <w:ind w:right="-1" w:firstLine="426"/>
        <w:jc w:val="both"/>
        <w:rPr>
          <w:rFonts w:asciiTheme="majorHAnsi" w:hAnsiTheme="majorHAnsi"/>
          <w:sz w:val="20"/>
          <w:szCs w:val="20"/>
          <w:lang w:val="fr-FR"/>
        </w:rPr>
      </w:pPr>
      <w:r w:rsidRPr="00302531">
        <w:rPr>
          <w:rFonts w:asciiTheme="majorHAnsi" w:hAnsiTheme="majorHAnsi"/>
          <w:i/>
          <w:iCs/>
          <w:sz w:val="20"/>
          <w:szCs w:val="20"/>
          <w:lang w:val="fr-FR"/>
        </w:rPr>
        <w:t>RAPPELANT</w:t>
      </w:r>
      <w:r w:rsidRPr="00302531">
        <w:rPr>
          <w:rFonts w:asciiTheme="majorHAnsi" w:hAnsiTheme="majorHAnsi"/>
          <w:sz w:val="20"/>
          <w:szCs w:val="20"/>
          <w:lang w:val="fr-FR"/>
        </w:rPr>
        <w:t xml:space="preserve"> la </w:t>
      </w:r>
      <w:r w:rsidRPr="00302531">
        <w:rPr>
          <w:rFonts w:asciiTheme="majorHAnsi" w:hAnsiTheme="majorHAnsi"/>
          <w:i/>
          <w:iCs/>
          <w:sz w:val="20"/>
          <w:szCs w:val="20"/>
          <w:lang w:val="fr-FR"/>
        </w:rPr>
        <w:t>Résolution de l’ICCAT concernant la coordination avec les Parties non contractantes</w:t>
      </w:r>
      <w:r w:rsidR="005425E2" w:rsidRPr="00302531">
        <w:rPr>
          <w:rFonts w:asciiTheme="majorHAnsi" w:hAnsiTheme="majorHAnsi"/>
          <w:i/>
          <w:iCs/>
          <w:sz w:val="20"/>
          <w:szCs w:val="20"/>
          <w:lang w:val="fr-FR"/>
        </w:rPr>
        <w:t xml:space="preserve"> </w:t>
      </w:r>
      <w:r w:rsidR="00D0042E" w:rsidRPr="00302531">
        <w:rPr>
          <w:rFonts w:asciiTheme="majorHAnsi" w:hAnsiTheme="majorHAnsi"/>
          <w:sz w:val="20"/>
          <w:szCs w:val="20"/>
          <w:lang w:val="fr-FR"/>
        </w:rPr>
        <w:t>(</w:t>
      </w:r>
      <w:r w:rsidRPr="00302531">
        <w:rPr>
          <w:rFonts w:asciiTheme="majorHAnsi" w:hAnsiTheme="majorHAnsi"/>
          <w:sz w:val="20"/>
          <w:szCs w:val="20"/>
          <w:lang w:val="fr-FR"/>
        </w:rPr>
        <w:t>Réf. 94-</w:t>
      </w:r>
      <w:r w:rsidR="002C6D7E" w:rsidRPr="00302531">
        <w:rPr>
          <w:rFonts w:asciiTheme="majorHAnsi" w:hAnsiTheme="majorHAnsi"/>
          <w:sz w:val="20"/>
          <w:szCs w:val="20"/>
          <w:lang w:val="fr-FR"/>
        </w:rPr>
        <w:t>0</w:t>
      </w:r>
      <w:r w:rsidRPr="00302531">
        <w:rPr>
          <w:rFonts w:asciiTheme="majorHAnsi" w:hAnsiTheme="majorHAnsi"/>
          <w:sz w:val="20"/>
          <w:szCs w:val="20"/>
          <w:lang w:val="fr-FR"/>
        </w:rPr>
        <w:t>6</w:t>
      </w:r>
      <w:r w:rsidR="00D0042E" w:rsidRPr="00302531">
        <w:rPr>
          <w:rFonts w:asciiTheme="majorHAnsi" w:hAnsiTheme="majorHAnsi"/>
          <w:sz w:val="20"/>
          <w:szCs w:val="20"/>
          <w:lang w:val="fr-FR"/>
        </w:rPr>
        <w:t>)</w:t>
      </w:r>
      <w:r w:rsidRPr="00302531">
        <w:rPr>
          <w:rFonts w:asciiTheme="majorHAnsi" w:hAnsiTheme="majorHAnsi"/>
          <w:sz w:val="20"/>
          <w:szCs w:val="20"/>
          <w:lang w:val="fr-FR"/>
        </w:rPr>
        <w:t>,</w:t>
      </w:r>
      <w:r w:rsidRPr="00302531">
        <w:rPr>
          <w:rFonts w:asciiTheme="majorHAnsi" w:hAnsiTheme="majorHAnsi"/>
          <w:i/>
          <w:iCs/>
          <w:sz w:val="20"/>
          <w:szCs w:val="20"/>
          <w:lang w:val="fr-FR"/>
        </w:rPr>
        <w:t xml:space="preserve"> </w:t>
      </w:r>
      <w:r w:rsidRPr="00302531">
        <w:rPr>
          <w:rFonts w:asciiTheme="majorHAnsi" w:hAnsiTheme="majorHAnsi"/>
          <w:sz w:val="20"/>
          <w:szCs w:val="20"/>
          <w:lang w:val="fr-FR"/>
        </w:rPr>
        <w:t>adoptée à la 9</w:t>
      </w:r>
      <w:r w:rsidR="00166CF2" w:rsidRPr="00302531">
        <w:rPr>
          <w:rFonts w:asciiTheme="majorHAnsi" w:hAnsiTheme="majorHAnsi"/>
          <w:sz w:val="20"/>
          <w:szCs w:val="20"/>
          <w:vertAlign w:val="superscript"/>
          <w:lang w:val="fr-FR"/>
        </w:rPr>
        <w:t>e</w:t>
      </w:r>
      <w:r w:rsidR="00166CF2" w:rsidRPr="00302531">
        <w:rPr>
          <w:rFonts w:asciiTheme="majorHAnsi" w:hAnsiTheme="majorHAnsi"/>
          <w:sz w:val="20"/>
          <w:szCs w:val="20"/>
          <w:lang w:val="fr-FR"/>
        </w:rPr>
        <w:t xml:space="preserve"> </w:t>
      </w:r>
      <w:r w:rsidRPr="00302531">
        <w:rPr>
          <w:rFonts w:asciiTheme="majorHAnsi" w:hAnsiTheme="majorHAnsi"/>
          <w:sz w:val="20"/>
          <w:szCs w:val="20"/>
          <w:lang w:val="fr-FR"/>
        </w:rPr>
        <w:t xml:space="preserve">réunion extraordinaire de la Commission en 1994 et la </w:t>
      </w:r>
      <w:r w:rsidRPr="00302531">
        <w:rPr>
          <w:rFonts w:asciiTheme="majorHAnsi" w:hAnsiTheme="majorHAnsi"/>
          <w:i/>
          <w:iCs/>
          <w:sz w:val="20"/>
          <w:szCs w:val="20"/>
          <w:lang w:val="fr-FR"/>
        </w:rPr>
        <w:t xml:space="preserve">Résolution de l’ICCAT sur l’accès au statut de Partie, Entité ou Entité de pêche coopérante </w:t>
      </w:r>
      <w:r w:rsidR="00D0042E" w:rsidRPr="00302531">
        <w:rPr>
          <w:rFonts w:asciiTheme="majorHAnsi" w:hAnsiTheme="majorHAnsi"/>
          <w:sz w:val="20"/>
          <w:szCs w:val="20"/>
          <w:lang w:val="fr-FR"/>
        </w:rPr>
        <w:t>(</w:t>
      </w:r>
      <w:r w:rsidRPr="00302531">
        <w:rPr>
          <w:rFonts w:asciiTheme="majorHAnsi" w:hAnsiTheme="majorHAnsi"/>
          <w:sz w:val="20"/>
          <w:szCs w:val="20"/>
          <w:lang w:val="fr-FR"/>
        </w:rPr>
        <w:t>Réf. 01-17</w:t>
      </w:r>
      <w:r w:rsidR="00D0042E" w:rsidRPr="00302531">
        <w:rPr>
          <w:rFonts w:asciiTheme="majorHAnsi" w:hAnsiTheme="majorHAnsi"/>
          <w:sz w:val="20"/>
          <w:szCs w:val="20"/>
          <w:lang w:val="fr-FR"/>
        </w:rPr>
        <w:t>)</w:t>
      </w:r>
      <w:r w:rsidRPr="00302531">
        <w:rPr>
          <w:rFonts w:asciiTheme="majorHAnsi" w:hAnsiTheme="majorHAnsi"/>
          <w:sz w:val="20"/>
          <w:szCs w:val="20"/>
          <w:lang w:val="fr-FR"/>
        </w:rPr>
        <w:t>, adoptée à la 17</w:t>
      </w:r>
      <w:r w:rsidR="00166CF2" w:rsidRPr="00302531">
        <w:rPr>
          <w:rFonts w:asciiTheme="majorHAnsi" w:hAnsiTheme="majorHAnsi"/>
          <w:sz w:val="20"/>
          <w:szCs w:val="20"/>
          <w:vertAlign w:val="superscript"/>
          <w:lang w:val="fr-FR"/>
        </w:rPr>
        <w:t>e</w:t>
      </w:r>
      <w:r w:rsidR="00166CF2" w:rsidRPr="00302531">
        <w:rPr>
          <w:rFonts w:asciiTheme="majorHAnsi" w:hAnsiTheme="majorHAnsi"/>
          <w:sz w:val="20"/>
          <w:szCs w:val="20"/>
          <w:lang w:val="fr-FR"/>
        </w:rPr>
        <w:t xml:space="preserve"> </w:t>
      </w:r>
      <w:r w:rsidRPr="00302531">
        <w:rPr>
          <w:rFonts w:asciiTheme="majorHAnsi" w:hAnsiTheme="majorHAnsi"/>
          <w:sz w:val="20"/>
          <w:szCs w:val="20"/>
          <w:lang w:val="fr-FR"/>
        </w:rPr>
        <w:t>réunion ordinaire en 2001</w:t>
      </w:r>
      <w:r w:rsidR="00831F33" w:rsidRPr="00302531">
        <w:rPr>
          <w:rFonts w:asciiTheme="majorHAnsi" w:hAnsiTheme="majorHAnsi"/>
          <w:sz w:val="20"/>
          <w:szCs w:val="20"/>
          <w:lang w:val="fr-FR"/>
        </w:rPr>
        <w:t> ;</w:t>
      </w:r>
    </w:p>
    <w:p w14:paraId="542D318D" w14:textId="77777777" w:rsidR="000041DF" w:rsidRPr="00302531" w:rsidRDefault="000041DF" w:rsidP="00C06572">
      <w:pPr>
        <w:tabs>
          <w:tab w:val="left" w:pos="7103"/>
        </w:tabs>
        <w:ind w:right="-1" w:firstLine="426"/>
        <w:jc w:val="both"/>
        <w:rPr>
          <w:rFonts w:asciiTheme="majorHAnsi" w:hAnsiTheme="majorHAnsi"/>
          <w:sz w:val="20"/>
          <w:szCs w:val="20"/>
          <w:lang w:val="fr-FR"/>
        </w:rPr>
      </w:pPr>
    </w:p>
    <w:p w14:paraId="64D2D699" w14:textId="6137D640" w:rsidR="000041DF" w:rsidRPr="00302531" w:rsidRDefault="000041DF" w:rsidP="00C06572">
      <w:pPr>
        <w:tabs>
          <w:tab w:val="left" w:pos="7103"/>
        </w:tabs>
        <w:ind w:right="-1" w:firstLine="426"/>
        <w:jc w:val="both"/>
        <w:rPr>
          <w:rFonts w:asciiTheme="majorHAnsi" w:hAnsiTheme="majorHAnsi"/>
          <w:sz w:val="20"/>
          <w:szCs w:val="20"/>
          <w:lang w:val="fr-FR"/>
        </w:rPr>
      </w:pPr>
      <w:r w:rsidRPr="00302531">
        <w:rPr>
          <w:rFonts w:asciiTheme="majorHAnsi" w:hAnsiTheme="majorHAnsi"/>
          <w:i/>
          <w:iCs/>
          <w:sz w:val="20"/>
          <w:szCs w:val="20"/>
          <w:lang w:val="fr-FR"/>
        </w:rPr>
        <w:t>RECONNAISSANT</w:t>
      </w:r>
      <w:r w:rsidRPr="00302531">
        <w:rPr>
          <w:rFonts w:asciiTheme="majorHAnsi" w:hAnsiTheme="majorHAnsi"/>
          <w:sz w:val="20"/>
          <w:szCs w:val="20"/>
          <w:lang w:val="fr-FR"/>
        </w:rPr>
        <w:t xml:space="preserve"> qu’il </w:t>
      </w:r>
      <w:proofErr w:type="gramStart"/>
      <w:r w:rsidRPr="00302531">
        <w:rPr>
          <w:rFonts w:asciiTheme="majorHAnsi" w:hAnsiTheme="majorHAnsi"/>
          <w:sz w:val="20"/>
          <w:szCs w:val="20"/>
          <w:lang w:val="fr-FR"/>
        </w:rPr>
        <w:t>est</w:t>
      </w:r>
      <w:proofErr w:type="gramEnd"/>
      <w:r w:rsidRPr="00302531">
        <w:rPr>
          <w:rFonts w:asciiTheme="majorHAnsi" w:hAnsiTheme="majorHAnsi"/>
          <w:sz w:val="20"/>
          <w:szCs w:val="20"/>
          <w:lang w:val="fr-FR"/>
        </w:rPr>
        <w:t xml:space="preserve"> toujours nécessaire d’encourager les Parties, Entités ou Entités de pêche non</w:t>
      </w:r>
      <w:r w:rsidR="00093D89" w:rsidRPr="00302531">
        <w:rPr>
          <w:rFonts w:asciiTheme="majorHAnsi" w:hAnsiTheme="majorHAnsi"/>
          <w:sz w:val="20"/>
          <w:szCs w:val="20"/>
          <w:lang w:val="fr-FR"/>
        </w:rPr>
        <w:t xml:space="preserve"> </w:t>
      </w:r>
      <w:r w:rsidRPr="00302531">
        <w:rPr>
          <w:rFonts w:asciiTheme="majorHAnsi" w:hAnsiTheme="majorHAnsi"/>
          <w:sz w:val="20"/>
          <w:szCs w:val="20"/>
          <w:lang w:val="fr-FR"/>
        </w:rPr>
        <w:t>contractantes, dont les bateaux pêchent des espèces relevant de la compétence de l’ICCAT dans la zone de la Convention ICCAT, de mettre en œuvre les mesures de conservation de l’ICCAT</w:t>
      </w:r>
      <w:r w:rsidR="00D56B31" w:rsidRPr="00302531">
        <w:rPr>
          <w:rFonts w:asciiTheme="majorHAnsi" w:hAnsiTheme="majorHAnsi"/>
          <w:sz w:val="20"/>
          <w:szCs w:val="20"/>
          <w:lang w:val="fr-FR"/>
        </w:rPr>
        <w:t xml:space="preserve"> </w:t>
      </w:r>
      <w:r w:rsidRPr="00302531">
        <w:rPr>
          <w:rFonts w:asciiTheme="majorHAnsi" w:hAnsiTheme="majorHAnsi"/>
          <w:sz w:val="20"/>
          <w:szCs w:val="20"/>
          <w:lang w:val="fr-FR"/>
        </w:rPr>
        <w:t>;</w:t>
      </w:r>
    </w:p>
    <w:p w14:paraId="077F8666" w14:textId="77777777" w:rsidR="000041DF" w:rsidRPr="00302531" w:rsidRDefault="000041DF" w:rsidP="00C06572">
      <w:pPr>
        <w:tabs>
          <w:tab w:val="left" w:pos="7103"/>
        </w:tabs>
        <w:ind w:right="-1" w:firstLine="426"/>
        <w:jc w:val="both"/>
        <w:rPr>
          <w:rFonts w:asciiTheme="majorHAnsi" w:hAnsiTheme="majorHAnsi"/>
          <w:i/>
          <w:iCs/>
          <w:sz w:val="20"/>
          <w:szCs w:val="20"/>
          <w:lang w:val="fr-FR"/>
        </w:rPr>
      </w:pPr>
    </w:p>
    <w:p w14:paraId="4253B03A" w14:textId="36232D24" w:rsidR="000041DF" w:rsidRPr="00302531" w:rsidRDefault="000041DF" w:rsidP="00C06572">
      <w:pPr>
        <w:tabs>
          <w:tab w:val="left" w:pos="7103"/>
        </w:tabs>
        <w:ind w:right="-1" w:firstLine="426"/>
        <w:jc w:val="both"/>
        <w:rPr>
          <w:rFonts w:asciiTheme="majorHAnsi" w:hAnsiTheme="majorHAnsi"/>
          <w:sz w:val="20"/>
          <w:szCs w:val="20"/>
          <w:lang w:val="fr-FR"/>
        </w:rPr>
      </w:pPr>
      <w:r w:rsidRPr="00302531">
        <w:rPr>
          <w:rFonts w:asciiTheme="majorHAnsi" w:hAnsiTheme="majorHAnsi"/>
          <w:i/>
          <w:iCs/>
          <w:sz w:val="20"/>
          <w:szCs w:val="20"/>
          <w:lang w:val="fr-FR"/>
        </w:rPr>
        <w:t>RECONNAISSANT</w:t>
      </w:r>
      <w:r w:rsidRPr="00302531">
        <w:rPr>
          <w:rFonts w:asciiTheme="majorHAnsi" w:hAnsiTheme="majorHAnsi"/>
          <w:sz w:val="20"/>
          <w:szCs w:val="20"/>
          <w:lang w:val="fr-FR"/>
        </w:rPr>
        <w:t xml:space="preserve"> le besoin d’établir des critères précis visant à permettre aux Parties, Entités ou Entités de pêche non</w:t>
      </w:r>
      <w:r w:rsidR="00093D89" w:rsidRPr="00302531">
        <w:rPr>
          <w:rFonts w:asciiTheme="majorHAnsi" w:hAnsiTheme="majorHAnsi"/>
          <w:sz w:val="20"/>
          <w:szCs w:val="20"/>
          <w:lang w:val="fr-FR"/>
        </w:rPr>
        <w:t xml:space="preserve"> </w:t>
      </w:r>
      <w:r w:rsidRPr="00302531">
        <w:rPr>
          <w:rFonts w:asciiTheme="majorHAnsi" w:hAnsiTheme="majorHAnsi"/>
          <w:sz w:val="20"/>
          <w:szCs w:val="20"/>
          <w:lang w:val="fr-FR"/>
        </w:rPr>
        <w:t>contractantes, dont les bateaux pêchent des espèces relevant de la compétence de l’ICCAT dans la zone de la Convention, d’accéder au statut de Partie, Entité ou Entité de pêche non</w:t>
      </w:r>
      <w:r w:rsidR="00093D89" w:rsidRPr="00302531">
        <w:rPr>
          <w:rFonts w:asciiTheme="majorHAnsi" w:hAnsiTheme="majorHAnsi"/>
          <w:sz w:val="20"/>
          <w:szCs w:val="20"/>
          <w:lang w:val="fr-FR"/>
        </w:rPr>
        <w:t xml:space="preserve"> </w:t>
      </w:r>
      <w:r w:rsidRPr="00302531">
        <w:rPr>
          <w:rFonts w:asciiTheme="majorHAnsi" w:hAnsiTheme="majorHAnsi"/>
          <w:sz w:val="20"/>
          <w:szCs w:val="20"/>
          <w:lang w:val="fr-FR"/>
        </w:rPr>
        <w:t>contractante coopérante ;</w:t>
      </w:r>
    </w:p>
    <w:p w14:paraId="1F9C6B40" w14:textId="143AE17F" w:rsidR="000041DF" w:rsidRPr="00302531" w:rsidRDefault="000041DF" w:rsidP="000041DF">
      <w:pPr>
        <w:tabs>
          <w:tab w:val="left" w:pos="282"/>
          <w:tab w:val="left" w:pos="590"/>
          <w:tab w:val="left" w:pos="1166"/>
          <w:tab w:val="left" w:pos="1742"/>
          <w:tab w:val="left" w:pos="2289"/>
          <w:tab w:val="left" w:pos="7103"/>
        </w:tabs>
        <w:ind w:left="-1" w:right="-1"/>
        <w:jc w:val="both"/>
        <w:rPr>
          <w:rFonts w:asciiTheme="majorHAnsi" w:hAnsiTheme="majorHAnsi"/>
          <w:sz w:val="20"/>
          <w:szCs w:val="20"/>
          <w:lang w:val="fr-FR"/>
        </w:rPr>
      </w:pPr>
    </w:p>
    <w:p w14:paraId="4ECB4958" w14:textId="77777777" w:rsidR="000041DF" w:rsidRPr="00302531" w:rsidRDefault="000041DF" w:rsidP="000041DF">
      <w:pPr>
        <w:tabs>
          <w:tab w:val="left" w:pos="282"/>
          <w:tab w:val="left" w:pos="590"/>
          <w:tab w:val="left" w:pos="1166"/>
          <w:tab w:val="left" w:pos="1742"/>
          <w:tab w:val="left" w:pos="2289"/>
          <w:tab w:val="left" w:pos="7103"/>
        </w:tabs>
        <w:ind w:left="-1" w:right="-1"/>
        <w:jc w:val="center"/>
        <w:rPr>
          <w:rFonts w:asciiTheme="majorHAnsi" w:hAnsiTheme="majorHAnsi"/>
          <w:sz w:val="20"/>
          <w:szCs w:val="20"/>
          <w:lang w:val="fr-FR"/>
        </w:rPr>
      </w:pPr>
      <w:r w:rsidRPr="00302531">
        <w:rPr>
          <w:rFonts w:asciiTheme="majorHAnsi" w:hAnsiTheme="majorHAnsi"/>
          <w:sz w:val="20"/>
          <w:szCs w:val="20"/>
          <w:lang w:val="fr-FR"/>
        </w:rPr>
        <w:t>LA COMMISSION INTERNATIONALE POUR LA CONSERVATION</w:t>
      </w:r>
    </w:p>
    <w:p w14:paraId="67C99FAA" w14:textId="77777777" w:rsidR="000041DF" w:rsidRPr="00302531" w:rsidRDefault="000041DF" w:rsidP="000041DF">
      <w:pPr>
        <w:tabs>
          <w:tab w:val="left" w:pos="282"/>
          <w:tab w:val="left" w:pos="590"/>
          <w:tab w:val="left" w:pos="1166"/>
          <w:tab w:val="left" w:pos="1742"/>
          <w:tab w:val="left" w:pos="2289"/>
          <w:tab w:val="left" w:pos="7103"/>
        </w:tabs>
        <w:ind w:left="-1" w:right="-1"/>
        <w:jc w:val="center"/>
        <w:rPr>
          <w:rFonts w:asciiTheme="majorHAnsi" w:hAnsiTheme="majorHAnsi"/>
          <w:sz w:val="20"/>
          <w:szCs w:val="20"/>
          <w:lang w:val="fr-FR"/>
        </w:rPr>
      </w:pPr>
      <w:r w:rsidRPr="00302531">
        <w:rPr>
          <w:rFonts w:asciiTheme="majorHAnsi" w:hAnsiTheme="majorHAnsi"/>
          <w:sz w:val="20"/>
          <w:szCs w:val="20"/>
          <w:lang w:val="fr-FR"/>
        </w:rPr>
        <w:t>DES THONIDÉS DE L’ATLANTIQUE (ICCAT) RECOMMANDE CE QUI SUIT :</w:t>
      </w:r>
    </w:p>
    <w:p w14:paraId="607A75ED" w14:textId="77777777" w:rsidR="00E03D83" w:rsidRPr="00302531" w:rsidRDefault="00E03D83" w:rsidP="000041DF">
      <w:pPr>
        <w:pStyle w:val="Header"/>
        <w:jc w:val="both"/>
        <w:rPr>
          <w:rFonts w:asciiTheme="majorHAnsi" w:hAnsiTheme="majorHAnsi"/>
          <w:sz w:val="20"/>
          <w:szCs w:val="20"/>
          <w:lang w:val="fr-FR"/>
        </w:rPr>
      </w:pPr>
    </w:p>
    <w:p w14:paraId="24D891CD" w14:textId="4537A635" w:rsidR="000041DF" w:rsidRPr="00302531" w:rsidRDefault="000041DF" w:rsidP="000041DF">
      <w:pPr>
        <w:pStyle w:val="Header"/>
        <w:ind w:left="400" w:hanging="400"/>
        <w:jc w:val="both"/>
        <w:rPr>
          <w:rFonts w:asciiTheme="majorHAnsi" w:hAnsiTheme="majorHAnsi"/>
          <w:sz w:val="20"/>
          <w:szCs w:val="20"/>
          <w:lang w:val="fr-FR"/>
        </w:rPr>
      </w:pPr>
      <w:r w:rsidRPr="00302531">
        <w:rPr>
          <w:rFonts w:asciiTheme="majorHAnsi" w:hAnsiTheme="majorHAnsi"/>
          <w:sz w:val="20"/>
          <w:szCs w:val="20"/>
          <w:lang w:val="fr-FR"/>
        </w:rPr>
        <w:t>1.</w:t>
      </w:r>
      <w:r w:rsidRPr="00302531">
        <w:rPr>
          <w:rFonts w:asciiTheme="majorHAnsi" w:hAnsiTheme="majorHAnsi"/>
          <w:sz w:val="20"/>
          <w:szCs w:val="20"/>
          <w:lang w:val="fr-FR"/>
        </w:rPr>
        <w:tab/>
        <w:t xml:space="preserve">Chaque année, le Secrétaire exécutif de l’ICCAT devra </w:t>
      </w:r>
      <w:r w:rsidR="00166CF2" w:rsidRPr="00302531">
        <w:rPr>
          <w:rFonts w:asciiTheme="majorHAnsi" w:hAnsiTheme="majorHAnsi"/>
          <w:sz w:val="20"/>
          <w:szCs w:val="20"/>
          <w:lang w:val="fr-FR"/>
        </w:rPr>
        <w:t>prendre contact avec</w:t>
      </w:r>
      <w:r w:rsidRPr="00302531">
        <w:rPr>
          <w:rFonts w:asciiTheme="majorHAnsi" w:hAnsiTheme="majorHAnsi"/>
          <w:sz w:val="20"/>
          <w:szCs w:val="20"/>
          <w:lang w:val="fr-FR"/>
        </w:rPr>
        <w:t xml:space="preserve"> toutes les Parties, Entités ou Entités de pêche non</w:t>
      </w:r>
      <w:r w:rsidR="00093D89" w:rsidRPr="00302531">
        <w:rPr>
          <w:rFonts w:asciiTheme="majorHAnsi" w:hAnsiTheme="majorHAnsi"/>
          <w:sz w:val="20"/>
          <w:szCs w:val="20"/>
          <w:lang w:val="fr-FR"/>
        </w:rPr>
        <w:t xml:space="preserve"> </w:t>
      </w:r>
      <w:r w:rsidRPr="00302531">
        <w:rPr>
          <w:rFonts w:asciiTheme="majorHAnsi" w:hAnsiTheme="majorHAnsi"/>
          <w:sz w:val="20"/>
          <w:szCs w:val="20"/>
          <w:lang w:val="fr-FR"/>
        </w:rPr>
        <w:t>contractantes dont on sait qu’elles pêchent dans la zone de la Convention des espèces relevant de la compétence de l’ICCAT, en les priant instamment de devenir une Partie contractante à l’ICCAT ou à accéder au statut de Partie, Entité ou Entité de pêche non</w:t>
      </w:r>
      <w:r w:rsidR="00093D89" w:rsidRPr="00302531">
        <w:rPr>
          <w:rFonts w:asciiTheme="majorHAnsi" w:hAnsiTheme="majorHAnsi"/>
          <w:sz w:val="20"/>
          <w:szCs w:val="20"/>
          <w:lang w:val="fr-FR"/>
        </w:rPr>
        <w:t xml:space="preserve"> </w:t>
      </w:r>
      <w:r w:rsidRPr="00302531">
        <w:rPr>
          <w:rFonts w:asciiTheme="majorHAnsi" w:hAnsiTheme="majorHAnsi"/>
          <w:sz w:val="20"/>
          <w:szCs w:val="20"/>
          <w:lang w:val="fr-FR"/>
        </w:rPr>
        <w:t>contractante coopérante. Ce faisant, le Secrétaire exécutif devra leur fournir un exemplaire de toutes les Recommandations et Résolutions pertinentes adoptées par la Commission.</w:t>
      </w:r>
    </w:p>
    <w:p w14:paraId="235E3B45" w14:textId="77777777" w:rsidR="000041DF" w:rsidRPr="00302531" w:rsidRDefault="000041DF" w:rsidP="000041DF">
      <w:pPr>
        <w:pStyle w:val="Header"/>
        <w:tabs>
          <w:tab w:val="num" w:pos="400"/>
        </w:tabs>
        <w:ind w:left="400" w:hanging="400"/>
        <w:jc w:val="both"/>
        <w:rPr>
          <w:rFonts w:asciiTheme="majorHAnsi" w:hAnsiTheme="majorHAnsi"/>
          <w:sz w:val="20"/>
          <w:szCs w:val="20"/>
          <w:lang w:val="fr-FR"/>
        </w:rPr>
      </w:pPr>
    </w:p>
    <w:p w14:paraId="711478B7" w14:textId="7AE23636" w:rsidR="000041DF" w:rsidRPr="00302531" w:rsidRDefault="000041DF" w:rsidP="000041DF">
      <w:pPr>
        <w:pStyle w:val="Header"/>
        <w:ind w:left="400" w:hanging="400"/>
        <w:jc w:val="both"/>
        <w:rPr>
          <w:rFonts w:asciiTheme="majorHAnsi" w:hAnsiTheme="majorHAnsi"/>
          <w:sz w:val="20"/>
          <w:szCs w:val="20"/>
          <w:lang w:val="fr-FR"/>
        </w:rPr>
      </w:pPr>
      <w:r w:rsidRPr="00302531">
        <w:rPr>
          <w:rFonts w:asciiTheme="majorHAnsi" w:hAnsiTheme="majorHAnsi"/>
          <w:sz w:val="20"/>
          <w:szCs w:val="20"/>
          <w:lang w:val="fr-FR"/>
        </w:rPr>
        <w:t>2.</w:t>
      </w:r>
      <w:r w:rsidRPr="00302531">
        <w:rPr>
          <w:rFonts w:asciiTheme="majorHAnsi" w:hAnsiTheme="majorHAnsi"/>
          <w:sz w:val="20"/>
          <w:szCs w:val="20"/>
          <w:lang w:val="fr-FR"/>
        </w:rPr>
        <w:tab/>
        <w:t>Toute Partie, Entité ou Entité de pêche non</w:t>
      </w:r>
      <w:r w:rsidR="00093D89" w:rsidRPr="00302531">
        <w:rPr>
          <w:rFonts w:asciiTheme="majorHAnsi" w:hAnsiTheme="majorHAnsi"/>
          <w:sz w:val="20"/>
          <w:szCs w:val="20"/>
          <w:lang w:val="fr-FR"/>
        </w:rPr>
        <w:t xml:space="preserve"> </w:t>
      </w:r>
      <w:r w:rsidRPr="00302531">
        <w:rPr>
          <w:rFonts w:asciiTheme="majorHAnsi" w:hAnsiTheme="majorHAnsi"/>
          <w:sz w:val="20"/>
          <w:szCs w:val="20"/>
          <w:lang w:val="fr-FR"/>
        </w:rPr>
        <w:t>contractante qui aspire au statut de Partie, Entité ou Entité de pêche non</w:t>
      </w:r>
      <w:r w:rsidR="00093D89" w:rsidRPr="00302531">
        <w:rPr>
          <w:rFonts w:asciiTheme="majorHAnsi" w:hAnsiTheme="majorHAnsi"/>
          <w:sz w:val="20"/>
          <w:szCs w:val="20"/>
          <w:lang w:val="fr-FR"/>
        </w:rPr>
        <w:t xml:space="preserve"> </w:t>
      </w:r>
      <w:r w:rsidRPr="00302531">
        <w:rPr>
          <w:rFonts w:asciiTheme="majorHAnsi" w:hAnsiTheme="majorHAnsi"/>
          <w:sz w:val="20"/>
          <w:szCs w:val="20"/>
          <w:lang w:val="fr-FR"/>
        </w:rPr>
        <w:t xml:space="preserve">contractante coopérante </w:t>
      </w:r>
      <w:r w:rsidR="00166CF2" w:rsidRPr="00302531">
        <w:rPr>
          <w:rFonts w:asciiTheme="majorHAnsi" w:hAnsiTheme="majorHAnsi"/>
          <w:sz w:val="20"/>
          <w:szCs w:val="20"/>
          <w:lang w:val="fr-FR"/>
        </w:rPr>
        <w:t xml:space="preserve">devra </w:t>
      </w:r>
      <w:r w:rsidRPr="00302531">
        <w:rPr>
          <w:rFonts w:asciiTheme="majorHAnsi" w:hAnsiTheme="majorHAnsi"/>
          <w:sz w:val="20"/>
          <w:szCs w:val="20"/>
          <w:lang w:val="fr-FR"/>
        </w:rPr>
        <w:t>le solliciter auprès du Secrétaire exécutif. Les demandes devront parvenir au Secrétaire exécutif au plus tard quatre-vingt-dix (90) jours avant une réunion annuelle de l’ICCAT, pour pouvoir y être étudiées.</w:t>
      </w:r>
    </w:p>
    <w:p w14:paraId="3967FC97" w14:textId="77777777" w:rsidR="000041DF" w:rsidRPr="00302531" w:rsidRDefault="000041DF" w:rsidP="000041DF">
      <w:pPr>
        <w:pStyle w:val="Header"/>
        <w:tabs>
          <w:tab w:val="num" w:pos="400"/>
        </w:tabs>
        <w:ind w:left="400" w:hanging="400"/>
        <w:jc w:val="both"/>
        <w:rPr>
          <w:rFonts w:asciiTheme="majorHAnsi" w:hAnsiTheme="majorHAnsi"/>
          <w:sz w:val="20"/>
          <w:szCs w:val="20"/>
          <w:lang w:val="fr-FR"/>
        </w:rPr>
      </w:pPr>
    </w:p>
    <w:p w14:paraId="65520D49" w14:textId="219C5918" w:rsidR="000041DF" w:rsidRPr="00302531" w:rsidRDefault="000041DF" w:rsidP="000041DF">
      <w:pPr>
        <w:pStyle w:val="Header"/>
        <w:ind w:left="400" w:hanging="400"/>
        <w:jc w:val="both"/>
        <w:rPr>
          <w:rFonts w:asciiTheme="majorHAnsi" w:hAnsiTheme="majorHAnsi"/>
          <w:sz w:val="20"/>
          <w:szCs w:val="20"/>
          <w:lang w:val="fr-FR"/>
        </w:rPr>
      </w:pPr>
      <w:r w:rsidRPr="00302531">
        <w:rPr>
          <w:rFonts w:asciiTheme="majorHAnsi" w:hAnsiTheme="majorHAnsi"/>
          <w:sz w:val="20"/>
          <w:szCs w:val="20"/>
          <w:lang w:val="fr-FR"/>
        </w:rPr>
        <w:t>3.</w:t>
      </w:r>
      <w:r w:rsidRPr="00302531">
        <w:rPr>
          <w:rFonts w:asciiTheme="majorHAnsi" w:hAnsiTheme="majorHAnsi"/>
          <w:sz w:val="20"/>
          <w:szCs w:val="20"/>
          <w:lang w:val="fr-FR"/>
        </w:rPr>
        <w:tab/>
      </w:r>
      <w:r w:rsidR="00166CF2" w:rsidRPr="00302531">
        <w:rPr>
          <w:rFonts w:asciiTheme="majorHAnsi" w:hAnsiTheme="majorHAnsi"/>
          <w:sz w:val="20"/>
          <w:szCs w:val="20"/>
          <w:lang w:val="fr-FR"/>
        </w:rPr>
        <w:t>Les</w:t>
      </w:r>
      <w:r w:rsidRPr="00302531">
        <w:rPr>
          <w:rFonts w:asciiTheme="majorHAnsi" w:hAnsiTheme="majorHAnsi"/>
          <w:sz w:val="20"/>
          <w:szCs w:val="20"/>
          <w:lang w:val="fr-FR"/>
        </w:rPr>
        <w:t xml:space="preserve"> Partie</w:t>
      </w:r>
      <w:r w:rsidR="00166CF2" w:rsidRPr="00302531">
        <w:rPr>
          <w:rFonts w:asciiTheme="majorHAnsi" w:hAnsiTheme="majorHAnsi"/>
          <w:sz w:val="20"/>
          <w:szCs w:val="20"/>
          <w:lang w:val="fr-FR"/>
        </w:rPr>
        <w:t>s</w:t>
      </w:r>
      <w:r w:rsidRPr="00302531">
        <w:rPr>
          <w:rFonts w:asciiTheme="majorHAnsi" w:hAnsiTheme="majorHAnsi"/>
          <w:sz w:val="20"/>
          <w:szCs w:val="20"/>
          <w:lang w:val="fr-FR"/>
        </w:rPr>
        <w:t>, Entité</w:t>
      </w:r>
      <w:r w:rsidR="00166CF2" w:rsidRPr="00302531">
        <w:rPr>
          <w:rFonts w:asciiTheme="majorHAnsi" w:hAnsiTheme="majorHAnsi"/>
          <w:sz w:val="20"/>
          <w:szCs w:val="20"/>
          <w:lang w:val="fr-FR"/>
        </w:rPr>
        <w:t>s</w:t>
      </w:r>
      <w:r w:rsidRPr="00302531">
        <w:rPr>
          <w:rFonts w:asciiTheme="majorHAnsi" w:hAnsiTheme="majorHAnsi"/>
          <w:sz w:val="20"/>
          <w:szCs w:val="20"/>
          <w:lang w:val="fr-FR"/>
        </w:rPr>
        <w:t xml:space="preserve"> ou Entité</w:t>
      </w:r>
      <w:r w:rsidR="00166CF2" w:rsidRPr="00302531">
        <w:rPr>
          <w:rFonts w:asciiTheme="majorHAnsi" w:hAnsiTheme="majorHAnsi"/>
          <w:sz w:val="20"/>
          <w:szCs w:val="20"/>
          <w:lang w:val="fr-FR"/>
        </w:rPr>
        <w:t>s</w:t>
      </w:r>
      <w:r w:rsidRPr="00302531">
        <w:rPr>
          <w:rFonts w:asciiTheme="majorHAnsi" w:hAnsiTheme="majorHAnsi"/>
          <w:sz w:val="20"/>
          <w:szCs w:val="20"/>
          <w:lang w:val="fr-FR"/>
        </w:rPr>
        <w:t xml:space="preserve"> de pêche non</w:t>
      </w:r>
      <w:r w:rsidR="00093D89" w:rsidRPr="00302531">
        <w:rPr>
          <w:rFonts w:asciiTheme="majorHAnsi" w:hAnsiTheme="majorHAnsi"/>
          <w:sz w:val="20"/>
          <w:szCs w:val="20"/>
          <w:lang w:val="fr-FR"/>
        </w:rPr>
        <w:t xml:space="preserve"> </w:t>
      </w:r>
      <w:r w:rsidRPr="00302531">
        <w:rPr>
          <w:rFonts w:asciiTheme="majorHAnsi" w:hAnsiTheme="majorHAnsi"/>
          <w:sz w:val="20"/>
          <w:szCs w:val="20"/>
          <w:lang w:val="fr-FR"/>
        </w:rPr>
        <w:t>contractante</w:t>
      </w:r>
      <w:r w:rsidR="00166CF2" w:rsidRPr="00302531">
        <w:rPr>
          <w:rFonts w:asciiTheme="majorHAnsi" w:hAnsiTheme="majorHAnsi"/>
          <w:sz w:val="20"/>
          <w:szCs w:val="20"/>
          <w:lang w:val="fr-FR"/>
        </w:rPr>
        <w:t>s</w:t>
      </w:r>
      <w:r w:rsidRPr="00302531">
        <w:rPr>
          <w:rFonts w:asciiTheme="majorHAnsi" w:hAnsiTheme="majorHAnsi"/>
          <w:sz w:val="20"/>
          <w:szCs w:val="20"/>
          <w:lang w:val="fr-FR"/>
        </w:rPr>
        <w:t xml:space="preserve"> qui aspire</w:t>
      </w:r>
      <w:r w:rsidR="00166CF2" w:rsidRPr="00302531">
        <w:rPr>
          <w:rFonts w:asciiTheme="majorHAnsi" w:hAnsiTheme="majorHAnsi"/>
          <w:sz w:val="20"/>
          <w:szCs w:val="20"/>
          <w:lang w:val="fr-FR"/>
        </w:rPr>
        <w:t>nt</w:t>
      </w:r>
      <w:r w:rsidRPr="00302531">
        <w:rPr>
          <w:rFonts w:asciiTheme="majorHAnsi" w:hAnsiTheme="majorHAnsi"/>
          <w:sz w:val="20"/>
          <w:szCs w:val="20"/>
          <w:lang w:val="fr-FR"/>
        </w:rPr>
        <w:t xml:space="preserve"> au statut de Partie, Entité ou Entité de pêche non</w:t>
      </w:r>
      <w:r w:rsidR="00093D89" w:rsidRPr="00302531">
        <w:rPr>
          <w:rFonts w:asciiTheme="majorHAnsi" w:hAnsiTheme="majorHAnsi"/>
          <w:sz w:val="20"/>
          <w:szCs w:val="20"/>
          <w:lang w:val="fr-FR"/>
        </w:rPr>
        <w:t xml:space="preserve"> </w:t>
      </w:r>
      <w:r w:rsidRPr="00302531">
        <w:rPr>
          <w:rFonts w:asciiTheme="majorHAnsi" w:hAnsiTheme="majorHAnsi"/>
          <w:sz w:val="20"/>
          <w:szCs w:val="20"/>
          <w:lang w:val="fr-FR"/>
        </w:rPr>
        <w:t>contractante coopérante devr</w:t>
      </w:r>
      <w:r w:rsidR="00166CF2" w:rsidRPr="00302531">
        <w:rPr>
          <w:rFonts w:asciiTheme="majorHAnsi" w:hAnsiTheme="majorHAnsi"/>
          <w:sz w:val="20"/>
          <w:szCs w:val="20"/>
          <w:lang w:val="fr-FR"/>
        </w:rPr>
        <w:t>ont</w:t>
      </w:r>
      <w:r w:rsidRPr="00302531">
        <w:rPr>
          <w:rFonts w:asciiTheme="majorHAnsi" w:hAnsiTheme="majorHAnsi"/>
          <w:sz w:val="20"/>
          <w:szCs w:val="20"/>
          <w:lang w:val="fr-FR"/>
        </w:rPr>
        <w:t xml:space="preserve"> fournir l’information suivante, pour que ce statut soit examiné par la Commission :</w:t>
      </w:r>
    </w:p>
    <w:p w14:paraId="17D4A0F5" w14:textId="77777777" w:rsidR="000041DF" w:rsidRPr="00302531" w:rsidRDefault="000041DF" w:rsidP="000041DF">
      <w:pPr>
        <w:pStyle w:val="Header"/>
        <w:tabs>
          <w:tab w:val="num" w:pos="400"/>
        </w:tabs>
        <w:ind w:left="400" w:hanging="400"/>
        <w:jc w:val="both"/>
        <w:rPr>
          <w:rFonts w:asciiTheme="majorHAnsi" w:hAnsiTheme="majorHAnsi"/>
          <w:sz w:val="20"/>
          <w:szCs w:val="20"/>
          <w:lang w:val="fr-FR"/>
        </w:rPr>
      </w:pPr>
    </w:p>
    <w:p w14:paraId="532F9F02" w14:textId="77777777" w:rsidR="000041DF" w:rsidRPr="00302531" w:rsidRDefault="000041DF" w:rsidP="000041DF">
      <w:pPr>
        <w:pStyle w:val="Header"/>
        <w:ind w:left="715" w:hanging="375"/>
        <w:jc w:val="both"/>
        <w:rPr>
          <w:rFonts w:asciiTheme="majorHAnsi" w:hAnsiTheme="majorHAnsi"/>
          <w:sz w:val="20"/>
          <w:szCs w:val="20"/>
          <w:lang w:val="fr-FR"/>
        </w:rPr>
      </w:pPr>
      <w:r w:rsidRPr="00302531">
        <w:rPr>
          <w:rFonts w:asciiTheme="majorHAnsi" w:hAnsiTheme="majorHAnsi"/>
          <w:sz w:val="20"/>
          <w:szCs w:val="20"/>
          <w:lang w:val="fr-FR"/>
        </w:rPr>
        <w:t>a)</w:t>
      </w:r>
      <w:r w:rsidRPr="00302531">
        <w:rPr>
          <w:rFonts w:asciiTheme="majorHAnsi" w:hAnsiTheme="majorHAnsi"/>
          <w:sz w:val="20"/>
          <w:szCs w:val="20"/>
          <w:lang w:val="fr-FR"/>
        </w:rPr>
        <w:tab/>
        <w:t>Si disponibles, les données de ses pêcheries historiques dans la zone de la Convention ICCAT, y compris les prises nominales, le numéro/type de bateaux, le nom des bateaux de pêche, l’effort de pêche et les zones de pêche ;</w:t>
      </w:r>
    </w:p>
    <w:p w14:paraId="64F3FEEB" w14:textId="77777777" w:rsidR="000041DF" w:rsidRPr="00302531" w:rsidRDefault="000041DF" w:rsidP="000041DF">
      <w:pPr>
        <w:pStyle w:val="Header"/>
        <w:tabs>
          <w:tab w:val="num" w:pos="900"/>
        </w:tabs>
        <w:ind w:left="680" w:hanging="340"/>
        <w:jc w:val="both"/>
        <w:rPr>
          <w:rFonts w:asciiTheme="majorHAnsi" w:hAnsiTheme="majorHAnsi"/>
          <w:sz w:val="20"/>
          <w:szCs w:val="20"/>
          <w:lang w:val="fr-FR"/>
        </w:rPr>
      </w:pPr>
    </w:p>
    <w:p w14:paraId="7F876C7C" w14:textId="77777777" w:rsidR="000041DF" w:rsidRPr="00302531" w:rsidRDefault="000041DF" w:rsidP="000041DF">
      <w:pPr>
        <w:pStyle w:val="Header"/>
        <w:ind w:left="715" w:hanging="375"/>
        <w:jc w:val="both"/>
        <w:rPr>
          <w:rFonts w:asciiTheme="majorHAnsi" w:hAnsiTheme="majorHAnsi"/>
          <w:sz w:val="20"/>
          <w:szCs w:val="20"/>
          <w:lang w:val="fr-FR"/>
        </w:rPr>
      </w:pPr>
      <w:r w:rsidRPr="00302531">
        <w:rPr>
          <w:rFonts w:asciiTheme="majorHAnsi" w:hAnsiTheme="majorHAnsi"/>
          <w:sz w:val="20"/>
          <w:szCs w:val="20"/>
          <w:lang w:val="fr-FR"/>
        </w:rPr>
        <w:t>b)</w:t>
      </w:r>
      <w:r w:rsidRPr="00302531">
        <w:rPr>
          <w:rFonts w:asciiTheme="majorHAnsi" w:hAnsiTheme="majorHAnsi"/>
          <w:sz w:val="20"/>
          <w:szCs w:val="20"/>
          <w:lang w:val="fr-FR"/>
        </w:rPr>
        <w:tab/>
        <w:t>L’ensemble des données que les Parties contractantes sont tenues de soumettre à l’ICCAT aux termes des recommandations adoptées par l’ICCAT ;</w:t>
      </w:r>
    </w:p>
    <w:p w14:paraId="0959DF90" w14:textId="77777777" w:rsidR="000041DF" w:rsidRPr="00302531" w:rsidRDefault="000041DF" w:rsidP="000041DF">
      <w:pPr>
        <w:pStyle w:val="Header"/>
        <w:tabs>
          <w:tab w:val="num" w:pos="900"/>
        </w:tabs>
        <w:ind w:left="680" w:hanging="340"/>
        <w:jc w:val="both"/>
        <w:rPr>
          <w:rFonts w:asciiTheme="majorHAnsi" w:hAnsiTheme="majorHAnsi"/>
          <w:sz w:val="20"/>
          <w:szCs w:val="20"/>
          <w:lang w:val="fr-FR"/>
        </w:rPr>
      </w:pPr>
    </w:p>
    <w:p w14:paraId="57E25D5F" w14:textId="77777777" w:rsidR="000041DF" w:rsidRPr="00302531" w:rsidRDefault="000041DF" w:rsidP="000041DF">
      <w:pPr>
        <w:pStyle w:val="Header"/>
        <w:ind w:left="715" w:hanging="375"/>
        <w:jc w:val="both"/>
        <w:rPr>
          <w:rFonts w:asciiTheme="majorHAnsi" w:hAnsiTheme="majorHAnsi"/>
          <w:sz w:val="20"/>
          <w:szCs w:val="20"/>
          <w:lang w:val="fr-FR"/>
        </w:rPr>
      </w:pPr>
      <w:r w:rsidRPr="00302531">
        <w:rPr>
          <w:rFonts w:asciiTheme="majorHAnsi" w:hAnsiTheme="majorHAnsi"/>
          <w:sz w:val="20"/>
          <w:szCs w:val="20"/>
          <w:lang w:val="fr-FR"/>
        </w:rPr>
        <w:t>c)</w:t>
      </w:r>
      <w:r w:rsidRPr="00302531">
        <w:rPr>
          <w:rFonts w:asciiTheme="majorHAnsi" w:hAnsiTheme="majorHAnsi"/>
          <w:sz w:val="20"/>
          <w:szCs w:val="20"/>
          <w:lang w:val="fr-FR"/>
        </w:rPr>
        <w:tab/>
        <w:t>Des informations détaillées sur les activités de pêche actuellement menées dans la zone de la Convention, sur le nombre de bateaux et les caractéristiques des bateaux ; et</w:t>
      </w:r>
    </w:p>
    <w:p w14:paraId="2224D8FC" w14:textId="77777777" w:rsidR="000041DF" w:rsidRPr="00302531" w:rsidRDefault="000041DF" w:rsidP="000041DF">
      <w:pPr>
        <w:pStyle w:val="Header"/>
        <w:tabs>
          <w:tab w:val="num" w:pos="900"/>
        </w:tabs>
        <w:ind w:left="680" w:hanging="340"/>
        <w:jc w:val="both"/>
        <w:rPr>
          <w:rFonts w:asciiTheme="majorHAnsi" w:hAnsiTheme="majorHAnsi"/>
          <w:sz w:val="20"/>
          <w:szCs w:val="20"/>
          <w:lang w:val="fr-FR"/>
        </w:rPr>
      </w:pPr>
    </w:p>
    <w:p w14:paraId="477C76F4" w14:textId="0CEC52F9" w:rsidR="00E16BA7" w:rsidRPr="00302531" w:rsidRDefault="000041DF" w:rsidP="00E16BA7">
      <w:pPr>
        <w:pStyle w:val="Header"/>
        <w:ind w:left="715" w:hanging="375"/>
        <w:jc w:val="both"/>
        <w:rPr>
          <w:rFonts w:asciiTheme="majorHAnsi" w:hAnsiTheme="majorHAnsi"/>
          <w:sz w:val="20"/>
          <w:szCs w:val="20"/>
          <w:lang w:val="fr-FR"/>
        </w:rPr>
      </w:pPr>
      <w:r w:rsidRPr="00302531">
        <w:rPr>
          <w:rFonts w:asciiTheme="majorHAnsi" w:hAnsiTheme="majorHAnsi"/>
          <w:sz w:val="20"/>
          <w:szCs w:val="20"/>
          <w:lang w:val="fr-FR"/>
        </w:rPr>
        <w:t>d)</w:t>
      </w:r>
      <w:r w:rsidRPr="00302531">
        <w:rPr>
          <w:rFonts w:asciiTheme="majorHAnsi" w:hAnsiTheme="majorHAnsi"/>
          <w:sz w:val="20"/>
          <w:szCs w:val="20"/>
          <w:lang w:val="fr-FR"/>
        </w:rPr>
        <w:tab/>
        <w:t>L’information sur des programmes de recherche susceptibles d’avoir été menés dans la zone de la Convention et les résultats de cette recherche.</w:t>
      </w:r>
      <w:r w:rsidR="00E16BA7" w:rsidRPr="00302531">
        <w:rPr>
          <w:rFonts w:asciiTheme="majorHAnsi" w:hAnsiTheme="majorHAnsi"/>
          <w:sz w:val="20"/>
          <w:szCs w:val="20"/>
          <w:lang w:val="fr-FR"/>
        </w:rPr>
        <w:br w:type="page"/>
      </w:r>
    </w:p>
    <w:p w14:paraId="063B4720" w14:textId="6F91CD43" w:rsidR="000041DF" w:rsidRPr="00302531" w:rsidRDefault="000041DF" w:rsidP="000041DF">
      <w:pPr>
        <w:pStyle w:val="Header"/>
        <w:ind w:left="400" w:hanging="400"/>
        <w:jc w:val="both"/>
        <w:rPr>
          <w:rFonts w:asciiTheme="majorHAnsi" w:hAnsiTheme="majorHAnsi"/>
          <w:sz w:val="20"/>
          <w:szCs w:val="20"/>
          <w:lang w:val="fr-FR"/>
        </w:rPr>
      </w:pPr>
      <w:r w:rsidRPr="00302531">
        <w:rPr>
          <w:rFonts w:asciiTheme="majorHAnsi" w:hAnsiTheme="majorHAnsi"/>
          <w:sz w:val="20"/>
          <w:szCs w:val="20"/>
          <w:lang w:val="fr-FR"/>
        </w:rPr>
        <w:lastRenderedPageBreak/>
        <w:t>4.</w:t>
      </w:r>
      <w:r w:rsidRPr="00302531">
        <w:rPr>
          <w:rFonts w:asciiTheme="majorHAnsi" w:hAnsiTheme="majorHAnsi"/>
          <w:sz w:val="20"/>
          <w:szCs w:val="20"/>
          <w:lang w:val="fr-FR"/>
        </w:rPr>
        <w:tab/>
        <w:t>Tout aspirant au statut de Partie, Entité ou Entité de pêche non</w:t>
      </w:r>
      <w:r w:rsidR="00093D89" w:rsidRPr="00302531">
        <w:rPr>
          <w:rFonts w:asciiTheme="majorHAnsi" w:hAnsiTheme="majorHAnsi"/>
          <w:sz w:val="20"/>
          <w:szCs w:val="20"/>
          <w:lang w:val="fr-FR"/>
        </w:rPr>
        <w:t xml:space="preserve"> </w:t>
      </w:r>
      <w:r w:rsidRPr="00302531">
        <w:rPr>
          <w:rFonts w:asciiTheme="majorHAnsi" w:hAnsiTheme="majorHAnsi"/>
          <w:sz w:val="20"/>
          <w:szCs w:val="20"/>
          <w:lang w:val="fr-FR"/>
        </w:rPr>
        <w:t>contractante coopérante devra également :</w:t>
      </w:r>
    </w:p>
    <w:p w14:paraId="2B245AD0" w14:textId="77777777" w:rsidR="000041DF" w:rsidRPr="00302531" w:rsidRDefault="000041DF" w:rsidP="000041DF">
      <w:pPr>
        <w:ind w:left="360"/>
        <w:jc w:val="both"/>
        <w:rPr>
          <w:rFonts w:asciiTheme="majorHAnsi" w:hAnsiTheme="majorHAnsi"/>
          <w:sz w:val="20"/>
          <w:szCs w:val="20"/>
          <w:lang w:val="fr-FR"/>
        </w:rPr>
      </w:pPr>
    </w:p>
    <w:p w14:paraId="2CBC9C47" w14:textId="21C8D2F2" w:rsidR="000041DF" w:rsidRPr="00302531" w:rsidRDefault="000041DF" w:rsidP="00AD3D7A">
      <w:pPr>
        <w:pStyle w:val="Header"/>
        <w:ind w:left="851" w:hanging="451"/>
        <w:jc w:val="both"/>
        <w:rPr>
          <w:rFonts w:asciiTheme="majorHAnsi" w:hAnsiTheme="majorHAnsi"/>
          <w:sz w:val="20"/>
          <w:szCs w:val="20"/>
          <w:lang w:val="fr-FR"/>
        </w:rPr>
      </w:pPr>
      <w:r w:rsidRPr="00302531">
        <w:rPr>
          <w:rFonts w:asciiTheme="majorHAnsi" w:hAnsiTheme="majorHAnsi"/>
          <w:sz w:val="20"/>
          <w:szCs w:val="20"/>
          <w:lang w:val="fr-FR"/>
        </w:rPr>
        <w:t>a)</w:t>
      </w:r>
      <w:r w:rsidRPr="00302531">
        <w:rPr>
          <w:rFonts w:asciiTheme="majorHAnsi" w:hAnsiTheme="majorHAnsi"/>
          <w:sz w:val="20"/>
          <w:szCs w:val="20"/>
          <w:lang w:val="fr-FR"/>
        </w:rPr>
        <w:tab/>
        <w:t>Confirmer son engagement à respecter les mesures de conservation et de gestion de la Commission</w:t>
      </w:r>
      <w:r w:rsidR="006F7AB6" w:rsidRPr="00302531">
        <w:rPr>
          <w:rFonts w:asciiTheme="majorHAnsi" w:hAnsiTheme="majorHAnsi"/>
          <w:sz w:val="20"/>
          <w:szCs w:val="20"/>
          <w:lang w:val="fr-FR"/>
        </w:rPr>
        <w:t> ;</w:t>
      </w:r>
    </w:p>
    <w:p w14:paraId="5AC42AE8" w14:textId="77777777" w:rsidR="000041DF" w:rsidRPr="00302531" w:rsidRDefault="000041DF" w:rsidP="000041DF">
      <w:pPr>
        <w:pStyle w:val="Header"/>
        <w:ind w:left="400"/>
        <w:jc w:val="both"/>
        <w:rPr>
          <w:rFonts w:asciiTheme="majorHAnsi" w:hAnsiTheme="majorHAnsi"/>
          <w:sz w:val="20"/>
          <w:szCs w:val="20"/>
          <w:lang w:val="fr-FR"/>
        </w:rPr>
      </w:pPr>
    </w:p>
    <w:p w14:paraId="32AEDB53" w14:textId="7DE225AE" w:rsidR="000041DF" w:rsidRPr="00302531" w:rsidRDefault="000041DF" w:rsidP="00AD3D7A">
      <w:pPr>
        <w:pStyle w:val="Header"/>
        <w:ind w:left="851" w:hanging="451"/>
        <w:jc w:val="both"/>
        <w:rPr>
          <w:rFonts w:asciiTheme="majorHAnsi" w:hAnsiTheme="majorHAnsi"/>
          <w:sz w:val="20"/>
          <w:szCs w:val="20"/>
          <w:lang w:val="fr-FR"/>
        </w:rPr>
      </w:pPr>
      <w:r w:rsidRPr="00302531">
        <w:rPr>
          <w:rFonts w:asciiTheme="majorHAnsi" w:hAnsiTheme="majorHAnsi"/>
          <w:sz w:val="20"/>
          <w:szCs w:val="20"/>
          <w:lang w:val="fr-FR"/>
        </w:rPr>
        <w:t>b)</w:t>
      </w:r>
      <w:r w:rsidRPr="00302531">
        <w:rPr>
          <w:rFonts w:asciiTheme="majorHAnsi" w:hAnsiTheme="majorHAnsi"/>
          <w:sz w:val="20"/>
          <w:szCs w:val="20"/>
          <w:lang w:val="fr-FR"/>
        </w:rPr>
        <w:tab/>
        <w:t>Informer l’ICCAT des mesures qu’il a prises pour garantir le respect par ses navires des mesures de conservation et de gestion de l’ICCAT</w:t>
      </w:r>
      <w:r w:rsidR="006F7AB6" w:rsidRPr="00302531">
        <w:rPr>
          <w:rFonts w:asciiTheme="majorHAnsi" w:hAnsiTheme="majorHAnsi"/>
          <w:sz w:val="20"/>
          <w:szCs w:val="20"/>
          <w:lang w:val="fr-FR"/>
        </w:rPr>
        <w:t> ;</w:t>
      </w:r>
    </w:p>
    <w:p w14:paraId="1725AD75" w14:textId="1B7C326E" w:rsidR="005425E2" w:rsidRPr="00302531" w:rsidRDefault="005425E2" w:rsidP="00AD3D7A">
      <w:pPr>
        <w:pStyle w:val="Header"/>
        <w:ind w:left="851" w:hanging="451"/>
        <w:jc w:val="both"/>
        <w:rPr>
          <w:rFonts w:asciiTheme="majorHAnsi" w:hAnsiTheme="majorHAnsi"/>
          <w:sz w:val="20"/>
          <w:szCs w:val="20"/>
          <w:lang w:val="fr-FR"/>
        </w:rPr>
      </w:pPr>
    </w:p>
    <w:p w14:paraId="23DEC05C" w14:textId="4DFD2534" w:rsidR="009A3E7C" w:rsidRPr="00302531" w:rsidRDefault="009A3E7C" w:rsidP="00AD3D7A">
      <w:pPr>
        <w:ind w:left="851" w:hanging="451"/>
        <w:jc w:val="both"/>
        <w:rPr>
          <w:rFonts w:asciiTheme="majorHAnsi" w:hAnsiTheme="majorHAnsi"/>
          <w:sz w:val="20"/>
          <w:szCs w:val="20"/>
          <w:lang w:val="fr-FR"/>
        </w:rPr>
      </w:pPr>
      <w:r w:rsidRPr="00302531">
        <w:rPr>
          <w:rFonts w:asciiTheme="majorHAnsi" w:hAnsiTheme="majorHAnsi"/>
          <w:sz w:val="20"/>
          <w:szCs w:val="20"/>
          <w:lang w:val="fr-FR"/>
        </w:rPr>
        <w:t>c)</w:t>
      </w:r>
      <w:r w:rsidR="00AD3D7A" w:rsidRPr="00302531">
        <w:rPr>
          <w:rFonts w:asciiTheme="majorHAnsi" w:hAnsiTheme="majorHAnsi"/>
          <w:sz w:val="20"/>
          <w:szCs w:val="20"/>
          <w:lang w:val="fr-FR"/>
        </w:rPr>
        <w:tab/>
      </w:r>
      <w:r w:rsidRPr="00302531">
        <w:rPr>
          <w:rFonts w:asciiTheme="majorHAnsi" w:hAnsiTheme="majorHAnsi"/>
          <w:sz w:val="20"/>
          <w:szCs w:val="20"/>
          <w:lang w:val="fr-FR"/>
        </w:rPr>
        <w:t xml:space="preserve">Confirmer son intention de verser une contribution financière </w:t>
      </w:r>
      <w:r w:rsidR="009A40E1" w:rsidRPr="00302531">
        <w:rPr>
          <w:rFonts w:asciiTheme="majorHAnsi" w:hAnsiTheme="majorHAnsi"/>
          <w:sz w:val="20"/>
          <w:szCs w:val="20"/>
          <w:lang w:val="fr-FR"/>
        </w:rPr>
        <w:t xml:space="preserve">annuelle </w:t>
      </w:r>
      <w:r w:rsidRPr="00302531">
        <w:rPr>
          <w:rFonts w:asciiTheme="majorHAnsi" w:hAnsiTheme="majorHAnsi"/>
          <w:sz w:val="20"/>
          <w:szCs w:val="20"/>
          <w:lang w:val="fr-FR"/>
        </w:rPr>
        <w:t xml:space="preserve">volontaire correspondant à au moins 50% du montant qu’elle devrait verser si elle devenait </w:t>
      </w:r>
      <w:r w:rsidR="001748D6" w:rsidRPr="00302531">
        <w:rPr>
          <w:rFonts w:asciiTheme="majorHAnsi" w:hAnsiTheme="majorHAnsi"/>
          <w:sz w:val="20"/>
          <w:szCs w:val="20"/>
          <w:lang w:val="fr-FR"/>
        </w:rPr>
        <w:t>membre</w:t>
      </w:r>
      <w:r w:rsidRPr="00302531">
        <w:rPr>
          <w:rFonts w:asciiTheme="majorHAnsi" w:hAnsiTheme="majorHAnsi"/>
          <w:sz w:val="20"/>
          <w:szCs w:val="20"/>
          <w:lang w:val="fr-FR"/>
        </w:rPr>
        <w:t>, conformément au schéma des contributions prévu à l'article X-2 de la Convention et à l’article 4-1 du Règlement financier.</w:t>
      </w:r>
    </w:p>
    <w:p w14:paraId="33864CA2" w14:textId="77777777" w:rsidR="009A3E7C" w:rsidRPr="00302531" w:rsidRDefault="009A3E7C" w:rsidP="009A3E7C">
      <w:pPr>
        <w:pStyle w:val="BodyText"/>
        <w:ind w:left="426" w:hanging="426"/>
        <w:rPr>
          <w:rFonts w:asciiTheme="majorHAnsi" w:hAnsiTheme="majorHAnsi"/>
          <w:sz w:val="20"/>
          <w:szCs w:val="20"/>
          <w:lang w:val="fr-FR"/>
        </w:rPr>
      </w:pPr>
    </w:p>
    <w:p w14:paraId="4236BA11" w14:textId="080F0EA6" w:rsidR="009A3E7C" w:rsidRPr="00302531" w:rsidRDefault="009A3E7C" w:rsidP="00302531">
      <w:pPr>
        <w:ind w:left="426" w:hanging="426"/>
        <w:jc w:val="both"/>
        <w:rPr>
          <w:rFonts w:asciiTheme="majorHAnsi" w:hAnsiTheme="majorHAnsi"/>
          <w:sz w:val="20"/>
          <w:szCs w:val="20"/>
          <w:lang w:val="fr-FR"/>
        </w:rPr>
      </w:pPr>
      <w:r w:rsidRPr="00302531">
        <w:rPr>
          <w:rFonts w:asciiTheme="majorHAnsi" w:hAnsiTheme="majorHAnsi"/>
          <w:sz w:val="20"/>
          <w:szCs w:val="20"/>
          <w:lang w:val="fr-FR"/>
        </w:rPr>
        <w:t xml:space="preserve">5. </w:t>
      </w:r>
      <w:r w:rsidRPr="00302531">
        <w:rPr>
          <w:rFonts w:asciiTheme="majorHAnsi" w:hAnsiTheme="majorHAnsi"/>
          <w:sz w:val="20"/>
          <w:szCs w:val="20"/>
          <w:lang w:val="fr-FR"/>
        </w:rPr>
        <w:tab/>
        <w:t>Les Parties, Entités ou Entités de pêche non</w:t>
      </w:r>
      <w:r w:rsidR="00093D89" w:rsidRPr="00302531">
        <w:rPr>
          <w:rFonts w:asciiTheme="majorHAnsi" w:hAnsiTheme="majorHAnsi"/>
          <w:sz w:val="20"/>
          <w:szCs w:val="20"/>
          <w:lang w:val="fr-FR"/>
        </w:rPr>
        <w:t xml:space="preserve"> </w:t>
      </w:r>
      <w:r w:rsidRPr="00302531">
        <w:rPr>
          <w:rFonts w:asciiTheme="majorHAnsi" w:hAnsiTheme="majorHAnsi"/>
          <w:sz w:val="20"/>
          <w:szCs w:val="20"/>
          <w:lang w:val="fr-FR"/>
        </w:rPr>
        <w:t xml:space="preserve">contractantes coopérantes devront s'efforcer de fournir des contributions financières annuelles </w:t>
      </w:r>
      <w:r w:rsidR="001748D6" w:rsidRPr="00302531">
        <w:rPr>
          <w:rFonts w:asciiTheme="majorHAnsi" w:hAnsiTheme="majorHAnsi"/>
          <w:sz w:val="20"/>
          <w:szCs w:val="20"/>
          <w:lang w:val="fr-FR"/>
        </w:rPr>
        <w:t xml:space="preserve">volontaires </w:t>
      </w:r>
      <w:r w:rsidRPr="00302531">
        <w:rPr>
          <w:rFonts w:asciiTheme="majorHAnsi" w:hAnsiTheme="majorHAnsi"/>
          <w:sz w:val="20"/>
          <w:szCs w:val="20"/>
          <w:lang w:val="fr-FR"/>
        </w:rPr>
        <w:t>au budget de la Commission à partir de 2024. Le montant des contributions annuelles conformément aux termes du paragraphe 4(c</w:t>
      </w:r>
      <w:r w:rsidR="0077056C" w:rsidRPr="00302531">
        <w:rPr>
          <w:rFonts w:asciiTheme="majorHAnsi" w:hAnsiTheme="majorHAnsi"/>
          <w:sz w:val="20"/>
          <w:szCs w:val="20"/>
          <w:lang w:val="fr-FR"/>
        </w:rPr>
        <w:t>)</w:t>
      </w:r>
      <w:r w:rsidRPr="00302531">
        <w:rPr>
          <w:rFonts w:asciiTheme="majorHAnsi" w:hAnsiTheme="majorHAnsi"/>
          <w:sz w:val="20"/>
          <w:szCs w:val="20"/>
          <w:lang w:val="fr-FR"/>
        </w:rPr>
        <w:t xml:space="preserve"> ci-dessus devra être calculé par le Secrétariat et communiqué aux Parties, Entités ou Entités de pêche non</w:t>
      </w:r>
      <w:r w:rsidR="00093D89" w:rsidRPr="00302531">
        <w:rPr>
          <w:rFonts w:asciiTheme="majorHAnsi" w:hAnsiTheme="majorHAnsi"/>
          <w:sz w:val="20"/>
          <w:szCs w:val="20"/>
          <w:lang w:val="fr-FR"/>
        </w:rPr>
        <w:t xml:space="preserve"> </w:t>
      </w:r>
      <w:r w:rsidRPr="00302531">
        <w:rPr>
          <w:rFonts w:asciiTheme="majorHAnsi" w:hAnsiTheme="majorHAnsi"/>
          <w:sz w:val="20"/>
          <w:szCs w:val="20"/>
          <w:lang w:val="fr-FR"/>
        </w:rPr>
        <w:t>contractantes au moins soixante (60) jours avant la réunion ordinaire de la Commission. Les Parties, Entités ou Entités de pêche non</w:t>
      </w:r>
      <w:r w:rsidR="00093D89" w:rsidRPr="00302531">
        <w:rPr>
          <w:rFonts w:asciiTheme="majorHAnsi" w:hAnsiTheme="majorHAnsi"/>
          <w:sz w:val="20"/>
          <w:szCs w:val="20"/>
          <w:lang w:val="fr-FR"/>
        </w:rPr>
        <w:t xml:space="preserve"> </w:t>
      </w:r>
      <w:r w:rsidRPr="00302531">
        <w:rPr>
          <w:rFonts w:asciiTheme="majorHAnsi" w:hAnsiTheme="majorHAnsi"/>
          <w:sz w:val="20"/>
          <w:szCs w:val="20"/>
          <w:lang w:val="fr-FR"/>
        </w:rPr>
        <w:t xml:space="preserve">contractantes coopérantes pourraient décider de distribuer tout ou partie de leurs contributions à des projets scientifiques et de </w:t>
      </w:r>
      <w:proofErr w:type="gramStart"/>
      <w:r w:rsidRPr="00302531">
        <w:rPr>
          <w:rFonts w:asciiTheme="majorHAnsi" w:hAnsiTheme="majorHAnsi"/>
          <w:sz w:val="20"/>
          <w:szCs w:val="20"/>
          <w:lang w:val="fr-FR"/>
        </w:rPr>
        <w:t>recherche existants</w:t>
      </w:r>
      <w:proofErr w:type="gramEnd"/>
      <w:r w:rsidRPr="00302531">
        <w:rPr>
          <w:rFonts w:asciiTheme="majorHAnsi" w:hAnsiTheme="majorHAnsi"/>
          <w:sz w:val="20"/>
          <w:szCs w:val="20"/>
          <w:lang w:val="fr-FR"/>
        </w:rPr>
        <w:t xml:space="preserve"> de l'ICCAT (par exemple, GBYP ou AOTTP) ou à des fonds spéciaux (par exemple, le Fonds de participation aux réunions ou le Fonds </w:t>
      </w:r>
      <w:r w:rsidR="00D06D07" w:rsidRPr="00302531">
        <w:rPr>
          <w:rFonts w:asciiTheme="majorHAnsi" w:hAnsiTheme="majorHAnsi"/>
          <w:sz w:val="20"/>
          <w:szCs w:val="20"/>
          <w:lang w:val="fr-FR"/>
        </w:rPr>
        <w:t>spécial dédié au suivi, au contrôle et à la surveillance</w:t>
      </w:r>
      <w:r w:rsidRPr="00302531">
        <w:rPr>
          <w:rFonts w:asciiTheme="majorHAnsi" w:hAnsiTheme="majorHAnsi"/>
          <w:sz w:val="20"/>
          <w:szCs w:val="20"/>
          <w:lang w:val="fr-FR"/>
        </w:rPr>
        <w:t>). Si une Partie, Entité ou Entité de pêche non</w:t>
      </w:r>
      <w:r w:rsidR="00093D89" w:rsidRPr="00302531">
        <w:rPr>
          <w:rFonts w:asciiTheme="majorHAnsi" w:hAnsiTheme="majorHAnsi"/>
          <w:sz w:val="20"/>
          <w:szCs w:val="20"/>
          <w:lang w:val="fr-FR"/>
        </w:rPr>
        <w:t xml:space="preserve"> </w:t>
      </w:r>
      <w:r w:rsidRPr="00302531">
        <w:rPr>
          <w:rFonts w:asciiTheme="majorHAnsi" w:hAnsiTheme="majorHAnsi"/>
          <w:sz w:val="20"/>
          <w:szCs w:val="20"/>
          <w:lang w:val="fr-FR"/>
        </w:rPr>
        <w:t>contractante coopérante ne verse pas de contribution annuelle</w:t>
      </w:r>
      <w:r w:rsidR="002A6F0D" w:rsidRPr="00302531">
        <w:rPr>
          <w:rFonts w:asciiTheme="majorHAnsi" w:hAnsiTheme="majorHAnsi"/>
          <w:sz w:val="20"/>
          <w:szCs w:val="20"/>
          <w:lang w:val="fr-FR"/>
        </w:rPr>
        <w:t xml:space="preserve"> volontaire</w:t>
      </w:r>
      <w:r w:rsidRPr="00302531">
        <w:rPr>
          <w:rFonts w:asciiTheme="majorHAnsi" w:hAnsiTheme="majorHAnsi"/>
          <w:sz w:val="20"/>
          <w:szCs w:val="20"/>
          <w:lang w:val="fr-FR"/>
        </w:rPr>
        <w:t>, elle devra en soumettre la raison à la Commission. La Commission pourrait prendre en compte les informations concernant le paiement</w:t>
      </w:r>
      <w:r w:rsidR="004D7946" w:rsidRPr="00302531">
        <w:rPr>
          <w:rFonts w:asciiTheme="majorHAnsi" w:hAnsiTheme="majorHAnsi"/>
          <w:color w:val="4BACC6" w:themeColor="accent5"/>
          <w:sz w:val="20"/>
          <w:szCs w:val="20"/>
          <w:lang w:val="fr-FR"/>
        </w:rPr>
        <w:t xml:space="preserve"> </w:t>
      </w:r>
      <w:r w:rsidRPr="00302531">
        <w:rPr>
          <w:rFonts w:asciiTheme="majorHAnsi" w:hAnsiTheme="majorHAnsi"/>
          <w:sz w:val="20"/>
          <w:szCs w:val="20"/>
          <w:lang w:val="fr-FR"/>
        </w:rPr>
        <w:t>des contributions volontaires</w:t>
      </w:r>
      <w:r w:rsidR="002A6F0D" w:rsidRPr="00302531">
        <w:rPr>
          <w:rFonts w:asciiTheme="majorHAnsi" w:hAnsiTheme="majorHAnsi"/>
          <w:sz w:val="20"/>
          <w:szCs w:val="20"/>
          <w:lang w:val="fr-FR"/>
        </w:rPr>
        <w:t xml:space="preserve">, y compris les contributions réalisées dans le passé, </w:t>
      </w:r>
      <w:r w:rsidRPr="00302531">
        <w:rPr>
          <w:rFonts w:asciiTheme="majorHAnsi" w:hAnsiTheme="majorHAnsi"/>
          <w:sz w:val="20"/>
          <w:szCs w:val="20"/>
          <w:lang w:val="fr-FR"/>
        </w:rPr>
        <w:t>d'une Partie, Entité ou Entité de pêche non</w:t>
      </w:r>
      <w:r w:rsidR="00093D89" w:rsidRPr="00302531">
        <w:rPr>
          <w:rFonts w:asciiTheme="majorHAnsi" w:hAnsiTheme="majorHAnsi"/>
          <w:sz w:val="20"/>
          <w:szCs w:val="20"/>
          <w:lang w:val="fr-FR"/>
        </w:rPr>
        <w:t xml:space="preserve"> </w:t>
      </w:r>
      <w:r w:rsidRPr="00302531">
        <w:rPr>
          <w:rFonts w:asciiTheme="majorHAnsi" w:hAnsiTheme="majorHAnsi"/>
          <w:sz w:val="20"/>
          <w:szCs w:val="20"/>
          <w:lang w:val="fr-FR"/>
        </w:rPr>
        <w:t>contractante coopérante lorsqu'elle examine</w:t>
      </w:r>
      <w:r w:rsidR="00F30428" w:rsidRPr="00302531">
        <w:rPr>
          <w:rFonts w:asciiTheme="majorHAnsi" w:hAnsiTheme="majorHAnsi"/>
          <w:sz w:val="20"/>
          <w:szCs w:val="20"/>
          <w:lang w:val="fr-FR"/>
        </w:rPr>
        <w:t>ra</w:t>
      </w:r>
      <w:r w:rsidRPr="00302531">
        <w:rPr>
          <w:rFonts w:asciiTheme="majorHAnsi" w:hAnsiTheme="majorHAnsi"/>
          <w:sz w:val="20"/>
          <w:szCs w:val="20"/>
          <w:lang w:val="fr-FR"/>
        </w:rPr>
        <w:t xml:space="preserve"> les mesures de conservation et de gestion</w:t>
      </w:r>
      <w:r w:rsidR="002A6F0D" w:rsidRPr="00302531">
        <w:rPr>
          <w:rFonts w:asciiTheme="majorHAnsi" w:hAnsiTheme="majorHAnsi"/>
          <w:sz w:val="20"/>
          <w:szCs w:val="20"/>
          <w:lang w:val="fr-FR"/>
        </w:rPr>
        <w:t>.</w:t>
      </w:r>
    </w:p>
    <w:p w14:paraId="488D0880" w14:textId="77777777" w:rsidR="009A3E7C" w:rsidRPr="00302531" w:rsidRDefault="009A3E7C" w:rsidP="009A3E7C">
      <w:pPr>
        <w:rPr>
          <w:rFonts w:asciiTheme="majorHAnsi" w:hAnsiTheme="majorHAnsi"/>
          <w:sz w:val="20"/>
          <w:szCs w:val="20"/>
          <w:lang w:val="fr-FR"/>
        </w:rPr>
      </w:pPr>
    </w:p>
    <w:p w14:paraId="375158E7" w14:textId="558982AF" w:rsidR="00BE361E" w:rsidRPr="00302531" w:rsidRDefault="009A3E7C" w:rsidP="00DB27B2">
      <w:pPr>
        <w:pStyle w:val="Header"/>
        <w:ind w:left="400" w:hanging="400"/>
        <w:jc w:val="both"/>
        <w:rPr>
          <w:rFonts w:asciiTheme="majorHAnsi" w:hAnsiTheme="majorHAnsi"/>
          <w:sz w:val="20"/>
          <w:szCs w:val="20"/>
          <w:lang w:val="fr-FR"/>
        </w:rPr>
      </w:pPr>
      <w:r w:rsidRPr="00302531">
        <w:rPr>
          <w:rFonts w:asciiTheme="majorHAnsi" w:hAnsiTheme="majorHAnsi"/>
          <w:sz w:val="20"/>
          <w:szCs w:val="20"/>
          <w:lang w:val="fr-FR"/>
        </w:rPr>
        <w:t>6</w:t>
      </w:r>
      <w:r w:rsidR="000041DF" w:rsidRPr="00302531">
        <w:rPr>
          <w:rFonts w:asciiTheme="majorHAnsi" w:hAnsiTheme="majorHAnsi"/>
          <w:sz w:val="20"/>
          <w:szCs w:val="20"/>
          <w:lang w:val="fr-FR"/>
        </w:rPr>
        <w:t>.</w:t>
      </w:r>
      <w:r w:rsidR="000041DF" w:rsidRPr="00302531">
        <w:rPr>
          <w:rFonts w:asciiTheme="majorHAnsi" w:hAnsiTheme="majorHAnsi"/>
          <w:sz w:val="20"/>
          <w:szCs w:val="20"/>
          <w:lang w:val="fr-FR"/>
        </w:rPr>
        <w:tab/>
      </w:r>
      <w:r w:rsidR="00093D89" w:rsidRPr="00302531">
        <w:rPr>
          <w:rFonts w:asciiTheme="majorHAnsi" w:hAnsiTheme="majorHAnsi"/>
          <w:sz w:val="20"/>
          <w:szCs w:val="20"/>
          <w:lang w:val="fr-FR"/>
        </w:rPr>
        <w:t xml:space="preserve">Nonobstant le paragraphe 5 ci-dessus, les Parties, Entités ou Entités de pêche non contractantes coopérantes sont fortement encouragées à fournir une contribution financière </w:t>
      </w:r>
      <w:r w:rsidR="009A40E1" w:rsidRPr="00302531">
        <w:rPr>
          <w:rFonts w:asciiTheme="majorHAnsi" w:hAnsiTheme="majorHAnsi"/>
          <w:sz w:val="20"/>
          <w:szCs w:val="20"/>
          <w:lang w:val="fr-FR"/>
        </w:rPr>
        <w:t xml:space="preserve">annuelle </w:t>
      </w:r>
      <w:r w:rsidR="00093D89" w:rsidRPr="00302531">
        <w:rPr>
          <w:rFonts w:asciiTheme="majorHAnsi" w:hAnsiTheme="majorHAnsi"/>
          <w:sz w:val="20"/>
          <w:szCs w:val="20"/>
          <w:lang w:val="fr-FR"/>
        </w:rPr>
        <w:t>volontaire dès que possible avant le budget de la Commission débutant en 2024.</w:t>
      </w:r>
    </w:p>
    <w:p w14:paraId="0DBB302A" w14:textId="3C12A804" w:rsidR="00DB27B2" w:rsidRPr="00302531" w:rsidRDefault="00DB27B2" w:rsidP="00DB27B2">
      <w:pPr>
        <w:pStyle w:val="Header"/>
        <w:ind w:left="400" w:hanging="400"/>
        <w:jc w:val="both"/>
        <w:rPr>
          <w:rFonts w:asciiTheme="majorHAnsi" w:hAnsiTheme="majorHAnsi"/>
          <w:sz w:val="20"/>
          <w:szCs w:val="20"/>
          <w:lang w:val="fr-FR"/>
        </w:rPr>
      </w:pPr>
    </w:p>
    <w:p w14:paraId="7D41E535" w14:textId="6B0B5DAB" w:rsidR="00EB37CA" w:rsidRPr="00302531" w:rsidRDefault="00EB37CA" w:rsidP="00EB37CA">
      <w:pPr>
        <w:pStyle w:val="Header"/>
        <w:ind w:left="400" w:hanging="400"/>
        <w:jc w:val="both"/>
        <w:rPr>
          <w:rFonts w:asciiTheme="majorHAnsi" w:hAnsiTheme="majorHAnsi"/>
          <w:sz w:val="20"/>
          <w:szCs w:val="20"/>
          <w:lang w:val="fr-FR"/>
        </w:rPr>
      </w:pPr>
      <w:r w:rsidRPr="00302531">
        <w:rPr>
          <w:rFonts w:asciiTheme="majorHAnsi" w:hAnsiTheme="majorHAnsi"/>
          <w:sz w:val="20"/>
          <w:szCs w:val="20"/>
          <w:lang w:val="fr-FR"/>
        </w:rPr>
        <w:t>7.</w:t>
      </w:r>
      <w:r w:rsidRPr="00302531">
        <w:rPr>
          <w:rFonts w:asciiTheme="majorHAnsi" w:hAnsiTheme="majorHAnsi"/>
          <w:sz w:val="20"/>
          <w:szCs w:val="20"/>
          <w:lang w:val="fr-FR"/>
        </w:rPr>
        <w:tab/>
        <w:t xml:space="preserve">Le Comité d’application des mesures de conservation et de gestion de la Commission (dénommé ci-après </w:t>
      </w:r>
      <w:r w:rsidR="00B8576B" w:rsidRPr="00302531">
        <w:rPr>
          <w:rFonts w:asciiTheme="majorHAnsi" w:hAnsiTheme="majorHAnsi"/>
          <w:sz w:val="20"/>
          <w:szCs w:val="20"/>
          <w:lang w:val="fr-FR"/>
        </w:rPr>
        <w:t>« </w:t>
      </w:r>
      <w:r w:rsidRPr="00302531">
        <w:rPr>
          <w:rFonts w:asciiTheme="majorHAnsi" w:hAnsiTheme="majorHAnsi"/>
          <w:sz w:val="20"/>
          <w:szCs w:val="20"/>
          <w:lang w:val="fr-FR"/>
        </w:rPr>
        <w:t>COC ») devra être chargé d’examiner les demandes d’accès au statut de Partie, Entité ou Entité de pêche non</w:t>
      </w:r>
      <w:r w:rsidR="00B8576B" w:rsidRPr="00302531">
        <w:rPr>
          <w:rFonts w:asciiTheme="majorHAnsi" w:hAnsiTheme="majorHAnsi"/>
          <w:sz w:val="20"/>
          <w:szCs w:val="20"/>
          <w:lang w:val="fr-FR"/>
        </w:rPr>
        <w:t xml:space="preserve"> </w:t>
      </w:r>
      <w:r w:rsidRPr="00302531">
        <w:rPr>
          <w:rFonts w:asciiTheme="majorHAnsi" w:hAnsiTheme="majorHAnsi"/>
          <w:sz w:val="20"/>
          <w:szCs w:val="20"/>
          <w:lang w:val="fr-FR"/>
        </w:rPr>
        <w:t>contractante coopérante et de recommander à la Commission s’il convient ou non de concéder à un aspirant le statut de Partie, Entité ou Entité de pêche non</w:t>
      </w:r>
      <w:r w:rsidR="003631CB" w:rsidRPr="00302531">
        <w:rPr>
          <w:rFonts w:asciiTheme="majorHAnsi" w:hAnsiTheme="majorHAnsi"/>
          <w:sz w:val="20"/>
          <w:szCs w:val="20"/>
          <w:lang w:val="fr-FR"/>
        </w:rPr>
        <w:t xml:space="preserve"> </w:t>
      </w:r>
      <w:r w:rsidRPr="00302531">
        <w:rPr>
          <w:rFonts w:asciiTheme="majorHAnsi" w:hAnsiTheme="majorHAnsi"/>
          <w:sz w:val="20"/>
          <w:szCs w:val="20"/>
          <w:lang w:val="fr-FR"/>
        </w:rPr>
        <w:t>contractante coopérante. Dans cet examen, le COC examinera également l’information relative à l’aspirant disponible auprès d’autres organismes régionaux de gestion des pêcheries (</w:t>
      </w:r>
      <w:r w:rsidR="00B8576B" w:rsidRPr="00302531">
        <w:rPr>
          <w:rFonts w:asciiTheme="majorHAnsi" w:hAnsiTheme="majorHAnsi"/>
          <w:sz w:val="20"/>
          <w:szCs w:val="20"/>
          <w:lang w:val="fr-FR"/>
        </w:rPr>
        <w:t>ORGP</w:t>
      </w:r>
      <w:r w:rsidRPr="00302531">
        <w:rPr>
          <w:rFonts w:asciiTheme="majorHAnsi" w:hAnsiTheme="majorHAnsi"/>
          <w:sz w:val="20"/>
          <w:szCs w:val="20"/>
          <w:lang w:val="fr-FR"/>
        </w:rPr>
        <w:t>), ainsi que la soumission des données à la Commission par l’aspirant. Il faudra faire preuve de prudence pour ne pas introduire dans la zone de la Convention la capacité de pêche excédentaire d’autres régions ou des activités de pêche IUU en accordant le statut de coopérant à un aspirant.</w:t>
      </w:r>
    </w:p>
    <w:p w14:paraId="4826E439" w14:textId="77777777" w:rsidR="002A6F0D" w:rsidRPr="00302531" w:rsidRDefault="002A6F0D" w:rsidP="000041DF">
      <w:pPr>
        <w:pStyle w:val="Header"/>
        <w:ind w:left="400" w:hanging="400"/>
        <w:jc w:val="both"/>
        <w:rPr>
          <w:rFonts w:asciiTheme="majorHAnsi" w:hAnsiTheme="majorHAnsi"/>
          <w:sz w:val="20"/>
          <w:szCs w:val="20"/>
          <w:lang w:val="fr-FR"/>
        </w:rPr>
      </w:pPr>
    </w:p>
    <w:p w14:paraId="3072C956" w14:textId="6C28C94A" w:rsidR="000041DF" w:rsidRPr="00302531" w:rsidRDefault="002A6F0D" w:rsidP="000041DF">
      <w:pPr>
        <w:pStyle w:val="Header"/>
        <w:ind w:left="400" w:hanging="400"/>
        <w:jc w:val="both"/>
        <w:rPr>
          <w:rFonts w:asciiTheme="majorHAnsi" w:hAnsiTheme="majorHAnsi"/>
          <w:sz w:val="20"/>
          <w:szCs w:val="20"/>
          <w:lang w:val="fr-FR"/>
        </w:rPr>
      </w:pPr>
      <w:r w:rsidRPr="00302531">
        <w:rPr>
          <w:rFonts w:asciiTheme="majorHAnsi" w:hAnsiTheme="majorHAnsi"/>
          <w:sz w:val="20"/>
          <w:szCs w:val="20"/>
          <w:lang w:val="fr-FR"/>
        </w:rPr>
        <w:t>8.</w:t>
      </w:r>
      <w:r w:rsidRPr="00302531">
        <w:rPr>
          <w:rFonts w:asciiTheme="majorHAnsi" w:hAnsiTheme="majorHAnsi"/>
          <w:sz w:val="20"/>
          <w:szCs w:val="20"/>
          <w:lang w:val="fr-FR"/>
        </w:rPr>
        <w:tab/>
      </w:r>
      <w:r w:rsidR="000041DF" w:rsidRPr="00302531">
        <w:rPr>
          <w:rFonts w:asciiTheme="majorHAnsi" w:hAnsiTheme="majorHAnsi"/>
          <w:sz w:val="20"/>
          <w:szCs w:val="20"/>
          <w:lang w:val="fr-FR"/>
        </w:rPr>
        <w:t>Le statut de Partie, Entité ou Entité de pêche non</w:t>
      </w:r>
      <w:r w:rsidR="00093D89" w:rsidRPr="00302531">
        <w:rPr>
          <w:rFonts w:asciiTheme="majorHAnsi" w:hAnsiTheme="majorHAnsi"/>
          <w:sz w:val="20"/>
          <w:szCs w:val="20"/>
          <w:lang w:val="fr-FR"/>
        </w:rPr>
        <w:t xml:space="preserve"> </w:t>
      </w:r>
      <w:r w:rsidR="000041DF" w:rsidRPr="00302531">
        <w:rPr>
          <w:rFonts w:asciiTheme="majorHAnsi" w:hAnsiTheme="majorHAnsi"/>
          <w:sz w:val="20"/>
          <w:szCs w:val="20"/>
          <w:lang w:val="fr-FR"/>
        </w:rPr>
        <w:t xml:space="preserve">contractante coopérante devra être examiné tous les ans, et renouvelé, à moins qu’il ne soit révoqué par la Commission pour cause de </w:t>
      </w:r>
      <w:r w:rsidR="006964CE" w:rsidRPr="00302531">
        <w:rPr>
          <w:rFonts w:asciiTheme="majorHAnsi" w:hAnsiTheme="majorHAnsi"/>
          <w:sz w:val="20"/>
          <w:szCs w:val="20"/>
          <w:lang w:val="fr-FR"/>
        </w:rPr>
        <w:t>non-respect</w:t>
      </w:r>
      <w:r w:rsidR="000041DF" w:rsidRPr="00302531">
        <w:rPr>
          <w:rFonts w:asciiTheme="majorHAnsi" w:hAnsiTheme="majorHAnsi"/>
          <w:sz w:val="20"/>
          <w:szCs w:val="20"/>
          <w:lang w:val="fr-FR"/>
        </w:rPr>
        <w:t xml:space="preserve"> des mesures de conservation et de gestion de l’ICCAT</w:t>
      </w:r>
      <w:r w:rsidR="000C7FBC" w:rsidRPr="00302531">
        <w:rPr>
          <w:rFonts w:asciiTheme="majorHAnsi" w:hAnsiTheme="majorHAnsi"/>
          <w:sz w:val="20"/>
          <w:szCs w:val="20"/>
          <w:lang w:val="fr-FR"/>
        </w:rPr>
        <w:t>, y compris la présente Recommandation</w:t>
      </w:r>
      <w:r w:rsidR="000041DF" w:rsidRPr="00302531">
        <w:rPr>
          <w:rFonts w:asciiTheme="majorHAnsi" w:hAnsiTheme="majorHAnsi"/>
          <w:sz w:val="20"/>
          <w:szCs w:val="20"/>
          <w:lang w:val="fr-FR"/>
        </w:rPr>
        <w:t>.</w:t>
      </w:r>
    </w:p>
    <w:p w14:paraId="3EA2C574" w14:textId="77777777" w:rsidR="000041DF" w:rsidRPr="00302531" w:rsidRDefault="000041DF" w:rsidP="000041DF">
      <w:pPr>
        <w:pStyle w:val="Header"/>
        <w:jc w:val="both"/>
        <w:rPr>
          <w:rFonts w:asciiTheme="majorHAnsi" w:hAnsiTheme="majorHAnsi"/>
          <w:sz w:val="20"/>
          <w:szCs w:val="20"/>
          <w:lang w:val="fr-FR"/>
        </w:rPr>
      </w:pPr>
    </w:p>
    <w:p w14:paraId="6857D415" w14:textId="7CA73B62" w:rsidR="000041DF" w:rsidRPr="00302531" w:rsidRDefault="002A6F0D" w:rsidP="006964CE">
      <w:pPr>
        <w:pStyle w:val="Header"/>
        <w:ind w:left="400" w:hanging="400"/>
        <w:jc w:val="both"/>
        <w:rPr>
          <w:rFonts w:asciiTheme="majorHAnsi" w:hAnsiTheme="majorHAnsi"/>
          <w:sz w:val="20"/>
          <w:szCs w:val="20"/>
          <w:lang w:val="fr-FR"/>
        </w:rPr>
      </w:pPr>
      <w:r w:rsidRPr="00302531">
        <w:rPr>
          <w:rFonts w:asciiTheme="majorHAnsi" w:hAnsiTheme="majorHAnsi"/>
          <w:sz w:val="20"/>
          <w:szCs w:val="20"/>
          <w:lang w:val="fr-FR"/>
        </w:rPr>
        <w:t>9</w:t>
      </w:r>
      <w:r w:rsidR="000041DF" w:rsidRPr="00302531">
        <w:rPr>
          <w:rFonts w:asciiTheme="majorHAnsi" w:hAnsiTheme="majorHAnsi"/>
          <w:sz w:val="20"/>
          <w:szCs w:val="20"/>
          <w:lang w:val="fr-FR"/>
        </w:rPr>
        <w:t>.</w:t>
      </w:r>
      <w:r w:rsidR="000041DF" w:rsidRPr="00302531">
        <w:rPr>
          <w:rFonts w:asciiTheme="majorHAnsi" w:hAnsiTheme="majorHAnsi"/>
          <w:sz w:val="20"/>
          <w:szCs w:val="20"/>
          <w:lang w:val="fr-FR"/>
        </w:rPr>
        <w:tab/>
        <w:t>La</w:t>
      </w:r>
      <w:r w:rsidR="000C7FBC" w:rsidRPr="00302531">
        <w:rPr>
          <w:rFonts w:asciiTheme="majorHAnsi" w:hAnsiTheme="majorHAnsi"/>
          <w:sz w:val="20"/>
          <w:szCs w:val="20"/>
          <w:lang w:val="fr-FR"/>
        </w:rPr>
        <w:t xml:space="preserve"> </w:t>
      </w:r>
      <w:r w:rsidR="000C7FBC" w:rsidRPr="00302531">
        <w:rPr>
          <w:rFonts w:asciiTheme="majorHAnsi" w:hAnsiTheme="majorHAnsi"/>
          <w:i/>
          <w:iCs/>
          <w:sz w:val="20"/>
          <w:szCs w:val="20"/>
          <w:lang w:val="fr-FR"/>
        </w:rPr>
        <w:t>Recommandation de l’ICCAT sur les critères visant à l’octroi du statut de Partie, Entité ou Entité de pêche non</w:t>
      </w:r>
      <w:r w:rsidR="00093D89" w:rsidRPr="00302531">
        <w:rPr>
          <w:rFonts w:asciiTheme="majorHAnsi" w:hAnsiTheme="majorHAnsi"/>
          <w:i/>
          <w:iCs/>
          <w:sz w:val="20"/>
          <w:szCs w:val="20"/>
          <w:lang w:val="fr-FR"/>
        </w:rPr>
        <w:t xml:space="preserve"> </w:t>
      </w:r>
      <w:r w:rsidR="000C7FBC" w:rsidRPr="00302531">
        <w:rPr>
          <w:rFonts w:asciiTheme="majorHAnsi" w:hAnsiTheme="majorHAnsi"/>
          <w:i/>
          <w:iCs/>
          <w:sz w:val="20"/>
          <w:szCs w:val="20"/>
          <w:lang w:val="fr-FR"/>
        </w:rPr>
        <w:t>contractante coopérante à l’ICCAT</w:t>
      </w:r>
      <w:r w:rsidR="000C7FBC" w:rsidRPr="00302531">
        <w:rPr>
          <w:rFonts w:asciiTheme="majorHAnsi" w:hAnsiTheme="majorHAnsi"/>
          <w:sz w:val="20"/>
          <w:szCs w:val="20"/>
          <w:lang w:val="fr-FR"/>
        </w:rPr>
        <w:t xml:space="preserve"> (</w:t>
      </w:r>
      <w:r w:rsidR="00FA2CFD" w:rsidRPr="00302531">
        <w:rPr>
          <w:rFonts w:asciiTheme="majorHAnsi" w:hAnsiTheme="majorHAnsi"/>
          <w:sz w:val="20"/>
          <w:szCs w:val="20"/>
          <w:lang w:val="fr-FR"/>
        </w:rPr>
        <w:t xml:space="preserve">Rec. </w:t>
      </w:r>
      <w:r w:rsidR="000C7FBC" w:rsidRPr="00302531">
        <w:rPr>
          <w:rFonts w:asciiTheme="majorHAnsi" w:hAnsiTheme="majorHAnsi"/>
          <w:sz w:val="20"/>
          <w:szCs w:val="20"/>
          <w:lang w:val="fr-FR"/>
        </w:rPr>
        <w:t xml:space="preserve">03-20) devra être abrogée et remplacée </w:t>
      </w:r>
      <w:r w:rsidR="000041DF" w:rsidRPr="00302531">
        <w:rPr>
          <w:rFonts w:asciiTheme="majorHAnsi" w:hAnsiTheme="majorHAnsi"/>
          <w:sz w:val="20"/>
          <w:szCs w:val="20"/>
          <w:lang w:val="fr-FR"/>
        </w:rPr>
        <w:t>par la présente Recommandation.</w:t>
      </w:r>
    </w:p>
    <w:sectPr w:rsidR="000041DF" w:rsidRPr="00302531" w:rsidSect="005347A0">
      <w:footerReference w:type="default" r:id="rId8"/>
      <w:type w:val="continuous"/>
      <w:pgSz w:w="11907"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293C4" w14:textId="77777777" w:rsidR="00020172" w:rsidRDefault="00020172" w:rsidP="00B66E06">
      <w:r>
        <w:separator/>
      </w:r>
    </w:p>
  </w:endnote>
  <w:endnote w:type="continuationSeparator" w:id="0">
    <w:p w14:paraId="7E47AC8B" w14:textId="77777777" w:rsidR="00020172" w:rsidRDefault="00020172" w:rsidP="00B66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219025"/>
      <w:docPartObj>
        <w:docPartGallery w:val="Page Numbers (Bottom of Page)"/>
        <w:docPartUnique/>
      </w:docPartObj>
    </w:sdtPr>
    <w:sdtEndPr>
      <w:rPr>
        <w:rFonts w:asciiTheme="majorHAnsi" w:hAnsiTheme="majorHAnsi"/>
        <w:noProof/>
        <w:sz w:val="20"/>
        <w:szCs w:val="20"/>
      </w:rPr>
    </w:sdtEndPr>
    <w:sdtContent>
      <w:p w14:paraId="02598E91" w14:textId="39768258" w:rsidR="00543753" w:rsidRPr="00B66259" w:rsidRDefault="00B66259" w:rsidP="00B66259">
        <w:pPr>
          <w:pStyle w:val="Footer"/>
          <w:jc w:val="center"/>
          <w:rPr>
            <w:rFonts w:asciiTheme="majorHAnsi" w:hAnsiTheme="majorHAnsi"/>
            <w:sz w:val="20"/>
            <w:szCs w:val="20"/>
          </w:rPr>
        </w:pPr>
        <w:r w:rsidRPr="00B66259">
          <w:rPr>
            <w:rFonts w:asciiTheme="majorHAnsi" w:hAnsiTheme="majorHAnsi"/>
            <w:sz w:val="20"/>
            <w:szCs w:val="20"/>
          </w:rPr>
          <w:fldChar w:fldCharType="begin"/>
        </w:r>
        <w:r w:rsidRPr="00B66259">
          <w:rPr>
            <w:rFonts w:asciiTheme="majorHAnsi" w:hAnsiTheme="majorHAnsi"/>
            <w:sz w:val="20"/>
            <w:szCs w:val="20"/>
          </w:rPr>
          <w:instrText xml:space="preserve"> PAGE   \* MERGEFORMAT </w:instrText>
        </w:r>
        <w:r w:rsidRPr="00B66259">
          <w:rPr>
            <w:rFonts w:asciiTheme="majorHAnsi" w:hAnsiTheme="majorHAnsi"/>
            <w:sz w:val="20"/>
            <w:szCs w:val="20"/>
          </w:rPr>
          <w:fldChar w:fldCharType="separate"/>
        </w:r>
        <w:r w:rsidRPr="00B66259">
          <w:rPr>
            <w:rFonts w:asciiTheme="majorHAnsi" w:hAnsiTheme="majorHAnsi"/>
            <w:noProof/>
            <w:sz w:val="20"/>
            <w:szCs w:val="20"/>
          </w:rPr>
          <w:t>2</w:t>
        </w:r>
        <w:r w:rsidRPr="00B66259">
          <w:rPr>
            <w:rFonts w:asciiTheme="majorHAnsi" w:hAnsiTheme="maj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8BC47" w14:textId="77777777" w:rsidR="00020172" w:rsidRDefault="00020172" w:rsidP="00B66E06">
      <w:r>
        <w:separator/>
      </w:r>
    </w:p>
  </w:footnote>
  <w:footnote w:type="continuationSeparator" w:id="0">
    <w:p w14:paraId="1BF7546D" w14:textId="77777777" w:rsidR="00020172" w:rsidRDefault="00020172" w:rsidP="00B66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71695"/>
    <w:multiLevelType w:val="hybridMultilevel"/>
    <w:tmpl w:val="E7FA0A5A"/>
    <w:lvl w:ilvl="0" w:tplc="D0C24830">
      <w:numFmt w:val="bullet"/>
      <w:lvlText w:val="-"/>
      <w:lvlJc w:val="left"/>
      <w:pPr>
        <w:ind w:left="780" w:hanging="360"/>
      </w:pPr>
      <w:rPr>
        <w:rFonts w:ascii="Cambria" w:eastAsiaTheme="minorEastAsia" w:hAnsi="Cambria"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53A1FB5"/>
    <w:multiLevelType w:val="hybridMultilevel"/>
    <w:tmpl w:val="010C7262"/>
    <w:lvl w:ilvl="0" w:tplc="316EC71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A31618"/>
    <w:multiLevelType w:val="hybridMultilevel"/>
    <w:tmpl w:val="67800766"/>
    <w:lvl w:ilvl="0" w:tplc="54800850">
      <w:start w:val="1"/>
      <w:numFmt w:val="decimal"/>
      <w:lvlText w:val="%1."/>
      <w:lvlJc w:val="left"/>
      <w:pPr>
        <w:ind w:left="400" w:hanging="300"/>
      </w:pPr>
      <w:rPr>
        <w:rFonts w:asciiTheme="majorHAnsi" w:eastAsia="Times New Roman" w:hAnsiTheme="majorHAnsi" w:cs="Times New Roman" w:hint="default"/>
        <w:spacing w:val="-6"/>
        <w:w w:val="102"/>
        <w:sz w:val="19"/>
        <w:szCs w:val="19"/>
      </w:rPr>
    </w:lvl>
    <w:lvl w:ilvl="1" w:tplc="0C72B150">
      <w:start w:val="1"/>
      <w:numFmt w:val="lowerLetter"/>
      <w:lvlText w:val="%2)"/>
      <w:lvlJc w:val="left"/>
      <w:pPr>
        <w:ind w:left="700" w:hanging="300"/>
      </w:pPr>
      <w:rPr>
        <w:rFonts w:asciiTheme="majorHAnsi" w:eastAsia="Times New Roman" w:hAnsiTheme="majorHAnsi" w:cs="Times New Roman" w:hint="default"/>
        <w:spacing w:val="0"/>
        <w:w w:val="102"/>
        <w:sz w:val="20"/>
        <w:szCs w:val="20"/>
      </w:rPr>
    </w:lvl>
    <w:lvl w:ilvl="2" w:tplc="195C2A78">
      <w:numFmt w:val="bullet"/>
      <w:lvlText w:val="•"/>
      <w:lvlJc w:val="left"/>
      <w:pPr>
        <w:ind w:left="1688" w:hanging="300"/>
      </w:pPr>
      <w:rPr>
        <w:rFonts w:hint="default"/>
      </w:rPr>
    </w:lvl>
    <w:lvl w:ilvl="3" w:tplc="AF8ADC8C">
      <w:numFmt w:val="bullet"/>
      <w:lvlText w:val="•"/>
      <w:lvlJc w:val="left"/>
      <w:pPr>
        <w:ind w:left="2677" w:hanging="300"/>
      </w:pPr>
      <w:rPr>
        <w:rFonts w:hint="default"/>
      </w:rPr>
    </w:lvl>
    <w:lvl w:ilvl="4" w:tplc="A01CDB24">
      <w:numFmt w:val="bullet"/>
      <w:lvlText w:val="•"/>
      <w:lvlJc w:val="left"/>
      <w:pPr>
        <w:ind w:left="3666" w:hanging="300"/>
      </w:pPr>
      <w:rPr>
        <w:rFonts w:hint="default"/>
      </w:rPr>
    </w:lvl>
    <w:lvl w:ilvl="5" w:tplc="ADCA8F8A">
      <w:numFmt w:val="bullet"/>
      <w:lvlText w:val="•"/>
      <w:lvlJc w:val="left"/>
      <w:pPr>
        <w:ind w:left="4655" w:hanging="300"/>
      </w:pPr>
      <w:rPr>
        <w:rFonts w:hint="default"/>
      </w:rPr>
    </w:lvl>
    <w:lvl w:ilvl="6" w:tplc="4D8C5C08">
      <w:numFmt w:val="bullet"/>
      <w:lvlText w:val="•"/>
      <w:lvlJc w:val="left"/>
      <w:pPr>
        <w:ind w:left="5644" w:hanging="300"/>
      </w:pPr>
      <w:rPr>
        <w:rFonts w:hint="default"/>
      </w:rPr>
    </w:lvl>
    <w:lvl w:ilvl="7" w:tplc="2C5661A0">
      <w:numFmt w:val="bullet"/>
      <w:lvlText w:val="•"/>
      <w:lvlJc w:val="left"/>
      <w:pPr>
        <w:ind w:left="6633" w:hanging="300"/>
      </w:pPr>
      <w:rPr>
        <w:rFonts w:hint="default"/>
      </w:rPr>
    </w:lvl>
    <w:lvl w:ilvl="8" w:tplc="9AF64F8E">
      <w:numFmt w:val="bullet"/>
      <w:lvlText w:val="•"/>
      <w:lvlJc w:val="left"/>
      <w:pPr>
        <w:ind w:left="7622" w:hanging="3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Formatting/>
  <w:defaultTabStop w:val="720"/>
  <w:hyphenationZone w:val="425"/>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F4"/>
    <w:rsid w:val="000041DF"/>
    <w:rsid w:val="0001067F"/>
    <w:rsid w:val="0001287A"/>
    <w:rsid w:val="00020172"/>
    <w:rsid w:val="00044509"/>
    <w:rsid w:val="00054740"/>
    <w:rsid w:val="00061E23"/>
    <w:rsid w:val="00077120"/>
    <w:rsid w:val="00093D89"/>
    <w:rsid w:val="00094944"/>
    <w:rsid w:val="000A24BE"/>
    <w:rsid w:val="000C7FBC"/>
    <w:rsid w:val="000D4ED3"/>
    <w:rsid w:val="00114AB2"/>
    <w:rsid w:val="00123642"/>
    <w:rsid w:val="00162542"/>
    <w:rsid w:val="00166CF2"/>
    <w:rsid w:val="0016782C"/>
    <w:rsid w:val="001748D6"/>
    <w:rsid w:val="001868E6"/>
    <w:rsid w:val="00187C6F"/>
    <w:rsid w:val="001A5F24"/>
    <w:rsid w:val="001B43C7"/>
    <w:rsid w:val="001C1C4F"/>
    <w:rsid w:val="001C6374"/>
    <w:rsid w:val="002404B9"/>
    <w:rsid w:val="002455CF"/>
    <w:rsid w:val="002721F4"/>
    <w:rsid w:val="00273E63"/>
    <w:rsid w:val="002746F3"/>
    <w:rsid w:val="00283298"/>
    <w:rsid w:val="00291B91"/>
    <w:rsid w:val="002A6F0D"/>
    <w:rsid w:val="002C6D7E"/>
    <w:rsid w:val="00302531"/>
    <w:rsid w:val="00347D06"/>
    <w:rsid w:val="00354D10"/>
    <w:rsid w:val="003631CB"/>
    <w:rsid w:val="00364FBC"/>
    <w:rsid w:val="003804B4"/>
    <w:rsid w:val="003D7C51"/>
    <w:rsid w:val="00417952"/>
    <w:rsid w:val="0044058C"/>
    <w:rsid w:val="00445AEF"/>
    <w:rsid w:val="00466A13"/>
    <w:rsid w:val="004A3F69"/>
    <w:rsid w:val="004B20AD"/>
    <w:rsid w:val="004D7946"/>
    <w:rsid w:val="0050211F"/>
    <w:rsid w:val="00512A2C"/>
    <w:rsid w:val="00525BF0"/>
    <w:rsid w:val="005347A0"/>
    <w:rsid w:val="00540831"/>
    <w:rsid w:val="005425E2"/>
    <w:rsid w:val="00543753"/>
    <w:rsid w:val="00572964"/>
    <w:rsid w:val="00596F70"/>
    <w:rsid w:val="005A0D5A"/>
    <w:rsid w:val="005B4A4F"/>
    <w:rsid w:val="005E56C9"/>
    <w:rsid w:val="00605CFA"/>
    <w:rsid w:val="006541F5"/>
    <w:rsid w:val="006964CE"/>
    <w:rsid w:val="006B7948"/>
    <w:rsid w:val="006B7B51"/>
    <w:rsid w:val="006D12B3"/>
    <w:rsid w:val="006F7AB6"/>
    <w:rsid w:val="0077056C"/>
    <w:rsid w:val="0077449C"/>
    <w:rsid w:val="00775725"/>
    <w:rsid w:val="00780002"/>
    <w:rsid w:val="00786C57"/>
    <w:rsid w:val="007D2E63"/>
    <w:rsid w:val="007D5A17"/>
    <w:rsid w:val="007F7A86"/>
    <w:rsid w:val="008011D9"/>
    <w:rsid w:val="0082767D"/>
    <w:rsid w:val="00831F33"/>
    <w:rsid w:val="008360AA"/>
    <w:rsid w:val="008A74A4"/>
    <w:rsid w:val="008B1076"/>
    <w:rsid w:val="008D5F9B"/>
    <w:rsid w:val="008E1857"/>
    <w:rsid w:val="00940175"/>
    <w:rsid w:val="00961A51"/>
    <w:rsid w:val="00975E6B"/>
    <w:rsid w:val="009A3E7C"/>
    <w:rsid w:val="009A40E1"/>
    <w:rsid w:val="009E0B1B"/>
    <w:rsid w:val="009F356F"/>
    <w:rsid w:val="00A10E9F"/>
    <w:rsid w:val="00A3627E"/>
    <w:rsid w:val="00A405DA"/>
    <w:rsid w:val="00A4674A"/>
    <w:rsid w:val="00A7442E"/>
    <w:rsid w:val="00A90DD5"/>
    <w:rsid w:val="00AA6724"/>
    <w:rsid w:val="00AD3D7A"/>
    <w:rsid w:val="00AD68FD"/>
    <w:rsid w:val="00AE0D7F"/>
    <w:rsid w:val="00B07E47"/>
    <w:rsid w:val="00B20C3F"/>
    <w:rsid w:val="00B26607"/>
    <w:rsid w:val="00B4043F"/>
    <w:rsid w:val="00B66259"/>
    <w:rsid w:val="00B66E06"/>
    <w:rsid w:val="00B74FE2"/>
    <w:rsid w:val="00B81940"/>
    <w:rsid w:val="00B8576B"/>
    <w:rsid w:val="00B97EFB"/>
    <w:rsid w:val="00BB45D5"/>
    <w:rsid w:val="00BD3A52"/>
    <w:rsid w:val="00BE361E"/>
    <w:rsid w:val="00BF42B3"/>
    <w:rsid w:val="00C03437"/>
    <w:rsid w:val="00C06572"/>
    <w:rsid w:val="00C17EE4"/>
    <w:rsid w:val="00C46730"/>
    <w:rsid w:val="00C47B37"/>
    <w:rsid w:val="00C674A2"/>
    <w:rsid w:val="00C678B5"/>
    <w:rsid w:val="00C72AF6"/>
    <w:rsid w:val="00C77E9E"/>
    <w:rsid w:val="00C80CCD"/>
    <w:rsid w:val="00C90FBE"/>
    <w:rsid w:val="00C938AE"/>
    <w:rsid w:val="00CA1422"/>
    <w:rsid w:val="00CA735C"/>
    <w:rsid w:val="00CE3005"/>
    <w:rsid w:val="00CF325C"/>
    <w:rsid w:val="00D0042E"/>
    <w:rsid w:val="00D0219A"/>
    <w:rsid w:val="00D06D07"/>
    <w:rsid w:val="00D1047D"/>
    <w:rsid w:val="00D16B99"/>
    <w:rsid w:val="00D429AA"/>
    <w:rsid w:val="00D56B31"/>
    <w:rsid w:val="00D62F83"/>
    <w:rsid w:val="00D844F7"/>
    <w:rsid w:val="00DB0D9F"/>
    <w:rsid w:val="00DB27B2"/>
    <w:rsid w:val="00DE4CA9"/>
    <w:rsid w:val="00DF6C1D"/>
    <w:rsid w:val="00E010A0"/>
    <w:rsid w:val="00E03D83"/>
    <w:rsid w:val="00E16BA7"/>
    <w:rsid w:val="00E2776F"/>
    <w:rsid w:val="00E37AFA"/>
    <w:rsid w:val="00E65B04"/>
    <w:rsid w:val="00E74FAC"/>
    <w:rsid w:val="00E770DC"/>
    <w:rsid w:val="00E878F6"/>
    <w:rsid w:val="00EA436C"/>
    <w:rsid w:val="00EB37CA"/>
    <w:rsid w:val="00ED1700"/>
    <w:rsid w:val="00EF4078"/>
    <w:rsid w:val="00F1439E"/>
    <w:rsid w:val="00F248E4"/>
    <w:rsid w:val="00F3010D"/>
    <w:rsid w:val="00F30428"/>
    <w:rsid w:val="00F55BBC"/>
    <w:rsid w:val="00F7274F"/>
    <w:rsid w:val="00F87272"/>
    <w:rsid w:val="00F93C16"/>
    <w:rsid w:val="00F9619E"/>
    <w:rsid w:val="00FA2CFD"/>
    <w:rsid w:val="00FA2FF2"/>
    <w:rsid w:val="00FD48C4"/>
    <w:rsid w:val="00FD56B8"/>
    <w:rsid w:val="00FE55CB"/>
    <w:rsid w:val="00FE7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C0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00"/>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qFormat/>
    <w:rPr>
      <w:sz w:val="19"/>
      <w:szCs w:val="19"/>
    </w:rPr>
  </w:style>
  <w:style w:type="paragraph" w:styleId="ListParagraph">
    <w:name w:val="List Paragraph"/>
    <w:basedOn w:val="Normal"/>
    <w:uiPriority w:val="1"/>
    <w:qFormat/>
    <w:pPr>
      <w:ind w:left="400" w:hanging="30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0343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03437"/>
    <w:rPr>
      <w:rFonts w:asciiTheme="majorHAnsi" w:eastAsiaTheme="majorEastAsia" w:hAnsiTheme="majorHAnsi" w:cstheme="majorBidi"/>
      <w:sz w:val="18"/>
      <w:szCs w:val="18"/>
    </w:rPr>
  </w:style>
  <w:style w:type="paragraph" w:styleId="Header">
    <w:name w:val="header"/>
    <w:basedOn w:val="Normal"/>
    <w:link w:val="HeaderChar"/>
    <w:unhideWhenUsed/>
    <w:rsid w:val="00B66E06"/>
    <w:pPr>
      <w:tabs>
        <w:tab w:val="center" w:pos="4252"/>
        <w:tab w:val="right" w:pos="8504"/>
      </w:tabs>
      <w:snapToGrid w:val="0"/>
    </w:pPr>
  </w:style>
  <w:style w:type="character" w:customStyle="1" w:styleId="HeaderChar">
    <w:name w:val="Header Char"/>
    <w:basedOn w:val="DefaultParagraphFont"/>
    <w:link w:val="Header"/>
    <w:rsid w:val="00B66E06"/>
    <w:rPr>
      <w:rFonts w:ascii="Times New Roman" w:eastAsia="Times New Roman" w:hAnsi="Times New Roman" w:cs="Times New Roman"/>
    </w:rPr>
  </w:style>
  <w:style w:type="paragraph" w:styleId="Footer">
    <w:name w:val="footer"/>
    <w:basedOn w:val="Normal"/>
    <w:link w:val="FooterChar"/>
    <w:uiPriority w:val="99"/>
    <w:unhideWhenUsed/>
    <w:rsid w:val="00B66E06"/>
    <w:pPr>
      <w:tabs>
        <w:tab w:val="center" w:pos="4252"/>
        <w:tab w:val="right" w:pos="8504"/>
      </w:tabs>
      <w:snapToGrid w:val="0"/>
    </w:pPr>
  </w:style>
  <w:style w:type="character" w:customStyle="1" w:styleId="FooterChar">
    <w:name w:val="Footer Char"/>
    <w:basedOn w:val="DefaultParagraphFont"/>
    <w:link w:val="Footer"/>
    <w:uiPriority w:val="99"/>
    <w:rsid w:val="00B66E0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55BBC"/>
    <w:rPr>
      <w:sz w:val="18"/>
      <w:szCs w:val="18"/>
    </w:rPr>
  </w:style>
  <w:style w:type="paragraph" w:styleId="CommentText">
    <w:name w:val="annotation text"/>
    <w:basedOn w:val="Normal"/>
    <w:link w:val="CommentTextChar"/>
    <w:uiPriority w:val="99"/>
    <w:semiHidden/>
    <w:unhideWhenUsed/>
    <w:rsid w:val="00F55BBC"/>
  </w:style>
  <w:style w:type="character" w:customStyle="1" w:styleId="CommentTextChar">
    <w:name w:val="Comment Text Char"/>
    <w:basedOn w:val="DefaultParagraphFont"/>
    <w:link w:val="CommentText"/>
    <w:uiPriority w:val="99"/>
    <w:semiHidden/>
    <w:rsid w:val="00F55BBC"/>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F55BBC"/>
    <w:rPr>
      <w:b/>
      <w:bCs/>
    </w:rPr>
  </w:style>
  <w:style w:type="character" w:customStyle="1" w:styleId="CommentSubjectChar">
    <w:name w:val="Comment Subject Char"/>
    <w:basedOn w:val="CommentTextChar"/>
    <w:link w:val="CommentSubject"/>
    <w:uiPriority w:val="99"/>
    <w:semiHidden/>
    <w:rsid w:val="00F55BBC"/>
    <w:rPr>
      <w:rFonts w:ascii="Times New Roman" w:eastAsia="Times New Roman" w:hAnsi="Times New Roman" w:cs="Times New Roman"/>
      <w:b/>
      <w:bCs/>
    </w:rPr>
  </w:style>
  <w:style w:type="paragraph" w:customStyle="1" w:styleId="TITULORECOMENDACION">
    <w:name w:val="TITULO RECOMENDACION"/>
    <w:basedOn w:val="Normal"/>
    <w:rsid w:val="000041DF"/>
    <w:pPr>
      <w:widowControl/>
      <w:pBdr>
        <w:top w:val="double" w:sz="6" w:space="6" w:color="auto"/>
        <w:left w:val="double" w:sz="6" w:space="0" w:color="auto"/>
        <w:bottom w:val="double" w:sz="6" w:space="6" w:color="auto"/>
        <w:right w:val="double" w:sz="6" w:space="0" w:color="auto"/>
      </w:pBdr>
      <w:tabs>
        <w:tab w:val="right" w:pos="8900"/>
      </w:tabs>
      <w:autoSpaceDE/>
      <w:autoSpaceDN/>
      <w:jc w:val="center"/>
    </w:pPr>
    <w:rPr>
      <w:b/>
      <w:bCs/>
      <w:sz w:val="20"/>
      <w:szCs w:val="24"/>
      <w:lang w:val="fr-FR"/>
    </w:rPr>
  </w:style>
  <w:style w:type="character" w:customStyle="1" w:styleId="BodyTextChar">
    <w:name w:val="Body Text Char"/>
    <w:basedOn w:val="DefaultParagraphFont"/>
    <w:link w:val="BodyText"/>
    <w:rsid w:val="009A3E7C"/>
    <w:rPr>
      <w:rFonts w:ascii="Times New Roman" w:eastAsia="Times New Roman" w:hAnsi="Times New Roman" w:cs="Times New Roman"/>
      <w:sz w:val="19"/>
      <w:szCs w:val="19"/>
    </w:rPr>
  </w:style>
  <w:style w:type="character" w:customStyle="1" w:styleId="highlight">
    <w:name w:val="highlight"/>
    <w:basedOn w:val="DefaultParagraphFont"/>
    <w:rsid w:val="00D06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0ADA7-67EB-F849-8A35-F826D2398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1006</Words>
  <Characters>5738</Characters>
  <Application>Microsoft Office Word</Application>
  <DocSecurity>0</DocSecurity>
  <Lines>47</Lines>
  <Paragraphs>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2021-10-15T07:03:00Z</dcterms:created>
  <dcterms:modified xsi:type="dcterms:W3CDTF">2021-12-16T11:00:00Z</dcterms:modified>
</cp:coreProperties>
</file>