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45DD" w14:textId="089DDCD5" w:rsidR="0009375B" w:rsidRPr="00A90411" w:rsidRDefault="0009375B" w:rsidP="0009375B">
      <w:pPr>
        <w:pBdr>
          <w:top w:val="double" w:sz="4" w:space="1" w:color="auto"/>
          <w:left w:val="double" w:sz="4" w:space="4" w:color="auto"/>
          <w:bottom w:val="double" w:sz="4" w:space="1" w:color="auto"/>
          <w:right w:val="double" w:sz="4" w:space="4" w:color="auto"/>
        </w:pBdr>
        <w:jc w:val="center"/>
        <w:rPr>
          <w:rFonts w:asciiTheme="majorHAnsi" w:hAnsiTheme="majorHAnsi"/>
          <w:b/>
          <w:sz w:val="20"/>
        </w:rPr>
      </w:pPr>
      <w:r w:rsidRPr="00A90411">
        <w:rPr>
          <w:rFonts w:asciiTheme="majorHAnsi" w:hAnsiTheme="majorHAnsi"/>
          <w:b/>
          <w:sz w:val="20"/>
        </w:rPr>
        <w:t>21-</w:t>
      </w:r>
      <w:r w:rsidR="00E66299" w:rsidRPr="00A90411">
        <w:rPr>
          <w:rFonts w:asciiTheme="majorHAnsi" w:hAnsiTheme="majorHAnsi"/>
          <w:b/>
          <w:sz w:val="20"/>
        </w:rPr>
        <w:t>24</w:t>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Pr="00A90411">
        <w:rPr>
          <w:rFonts w:asciiTheme="majorHAnsi" w:hAnsiTheme="majorHAnsi"/>
          <w:b/>
          <w:sz w:val="20"/>
        </w:rPr>
        <w:tab/>
      </w:r>
      <w:r w:rsidR="00E66299" w:rsidRPr="00A90411">
        <w:rPr>
          <w:rFonts w:asciiTheme="majorHAnsi" w:hAnsiTheme="majorHAnsi"/>
          <w:b/>
          <w:sz w:val="20"/>
        </w:rPr>
        <w:t>GEN</w:t>
      </w:r>
    </w:p>
    <w:p w14:paraId="2ED3A44D" w14:textId="65140B5F" w:rsidR="00E2776F" w:rsidRPr="00A90411" w:rsidRDefault="00E2776F" w:rsidP="0009375B">
      <w:pPr>
        <w:pBdr>
          <w:top w:val="double" w:sz="4" w:space="1" w:color="auto"/>
          <w:left w:val="double" w:sz="4" w:space="4" w:color="auto"/>
          <w:bottom w:val="double" w:sz="4" w:space="1" w:color="auto"/>
          <w:right w:val="double" w:sz="4" w:space="4" w:color="auto"/>
        </w:pBdr>
        <w:jc w:val="center"/>
        <w:rPr>
          <w:rFonts w:asciiTheme="majorHAnsi" w:hAnsiTheme="majorHAnsi"/>
          <w:b/>
          <w:sz w:val="20"/>
        </w:rPr>
      </w:pPr>
      <w:r w:rsidRPr="00A90411">
        <w:rPr>
          <w:rFonts w:asciiTheme="majorHAnsi" w:hAnsiTheme="majorHAnsi"/>
          <w:b/>
          <w:sz w:val="20"/>
        </w:rPr>
        <w:t xml:space="preserve">RECOMMENDATION BY ICCAT TO REPLACE RECOMMENDATION 03-20 </w:t>
      </w:r>
    </w:p>
    <w:p w14:paraId="46E3B479" w14:textId="77777777" w:rsidR="0009375B" w:rsidRPr="00A90411" w:rsidRDefault="00E2776F" w:rsidP="0009375B">
      <w:pPr>
        <w:pBdr>
          <w:top w:val="double" w:sz="4" w:space="1" w:color="auto"/>
          <w:left w:val="double" w:sz="4" w:space="4" w:color="auto"/>
          <w:bottom w:val="double" w:sz="4" w:space="1" w:color="auto"/>
          <w:right w:val="double" w:sz="4" w:space="4" w:color="auto"/>
        </w:pBdr>
        <w:jc w:val="center"/>
        <w:rPr>
          <w:rFonts w:asciiTheme="majorHAnsi" w:hAnsiTheme="majorHAnsi"/>
          <w:b/>
          <w:sz w:val="20"/>
        </w:rPr>
      </w:pPr>
      <w:r w:rsidRPr="00A90411">
        <w:rPr>
          <w:rFonts w:asciiTheme="majorHAnsi" w:hAnsiTheme="majorHAnsi"/>
          <w:b/>
          <w:sz w:val="20"/>
        </w:rPr>
        <w:t xml:space="preserve">ON CRITERIA FOR ATTAINING THE STATUS OF COOPERATING </w:t>
      </w:r>
    </w:p>
    <w:p w14:paraId="7238F563" w14:textId="1F48CCC0" w:rsidR="00E2776F" w:rsidRPr="00A90411" w:rsidRDefault="00E2776F" w:rsidP="0009375B">
      <w:pPr>
        <w:pBdr>
          <w:top w:val="double" w:sz="4" w:space="1" w:color="auto"/>
          <w:left w:val="double" w:sz="4" w:space="4" w:color="auto"/>
          <w:bottom w:val="double" w:sz="4" w:space="1" w:color="auto"/>
          <w:right w:val="double" w:sz="4" w:space="4" w:color="auto"/>
        </w:pBdr>
        <w:jc w:val="center"/>
        <w:rPr>
          <w:rFonts w:asciiTheme="majorHAnsi" w:hAnsiTheme="majorHAnsi"/>
          <w:b/>
          <w:sz w:val="20"/>
          <w:szCs w:val="20"/>
        </w:rPr>
      </w:pPr>
      <w:r w:rsidRPr="00A90411">
        <w:rPr>
          <w:rFonts w:asciiTheme="majorHAnsi" w:hAnsiTheme="majorHAnsi"/>
          <w:b/>
          <w:sz w:val="20"/>
        </w:rPr>
        <w:t>NON-</w:t>
      </w:r>
      <w:r w:rsidRPr="00A90411">
        <w:rPr>
          <w:rFonts w:asciiTheme="majorHAnsi" w:hAnsiTheme="majorHAnsi"/>
          <w:b/>
          <w:sz w:val="20"/>
          <w:szCs w:val="20"/>
        </w:rPr>
        <w:t>CON</w:t>
      </w:r>
      <w:r w:rsidR="002F5A18" w:rsidRPr="00A90411">
        <w:rPr>
          <w:rFonts w:asciiTheme="majorHAnsi" w:hAnsiTheme="majorHAnsi"/>
          <w:b/>
          <w:sz w:val="20"/>
          <w:szCs w:val="20"/>
        </w:rPr>
        <w:t>T</w:t>
      </w:r>
      <w:r w:rsidR="00B4531B" w:rsidRPr="00A90411">
        <w:rPr>
          <w:rFonts w:asciiTheme="majorHAnsi" w:hAnsiTheme="majorHAnsi"/>
          <w:b/>
          <w:sz w:val="20"/>
          <w:szCs w:val="20"/>
        </w:rPr>
        <w:t>R</w:t>
      </w:r>
      <w:r w:rsidRPr="00A90411">
        <w:rPr>
          <w:rFonts w:asciiTheme="majorHAnsi" w:hAnsiTheme="majorHAnsi"/>
          <w:b/>
          <w:sz w:val="20"/>
          <w:szCs w:val="20"/>
        </w:rPr>
        <w:t>ACTING</w:t>
      </w:r>
      <w:r w:rsidRPr="00A90411">
        <w:rPr>
          <w:rFonts w:asciiTheme="majorHAnsi" w:hAnsiTheme="majorHAnsi"/>
          <w:b/>
          <w:sz w:val="20"/>
        </w:rPr>
        <w:t xml:space="preserve"> PARTY, ENTITY OR FISHING ENTITY IN ICCAT</w:t>
      </w:r>
    </w:p>
    <w:p w14:paraId="0E2AC8C9" w14:textId="2748B17A" w:rsidR="00E2776F" w:rsidRPr="00A90411" w:rsidRDefault="00E2776F" w:rsidP="00E2776F">
      <w:pPr>
        <w:pStyle w:val="BodyText"/>
        <w:rPr>
          <w:rFonts w:asciiTheme="majorHAnsi" w:hAnsiTheme="majorHAnsi"/>
          <w:b/>
          <w:sz w:val="20"/>
          <w:szCs w:val="20"/>
        </w:rPr>
      </w:pPr>
    </w:p>
    <w:p w14:paraId="1AF65891" w14:textId="77777777" w:rsidR="0009375B" w:rsidRPr="00A90411" w:rsidRDefault="0009375B" w:rsidP="00432C84">
      <w:pPr>
        <w:rPr>
          <w:rFonts w:asciiTheme="majorHAnsi" w:hAnsiTheme="majorHAnsi"/>
          <w:bCs/>
          <w:sz w:val="20"/>
          <w:szCs w:val="20"/>
        </w:rPr>
      </w:pPr>
    </w:p>
    <w:p w14:paraId="6DF9980C" w14:textId="55105118" w:rsidR="002721F4" w:rsidRPr="00A90411" w:rsidRDefault="005347A0" w:rsidP="00EF4D39">
      <w:pPr>
        <w:tabs>
          <w:tab w:val="left" w:pos="284"/>
        </w:tabs>
        <w:jc w:val="both"/>
        <w:rPr>
          <w:rFonts w:asciiTheme="majorHAnsi" w:hAnsiTheme="majorHAnsi"/>
          <w:sz w:val="20"/>
          <w:szCs w:val="20"/>
        </w:rPr>
      </w:pPr>
      <w:r w:rsidRPr="00A90411">
        <w:rPr>
          <w:rFonts w:asciiTheme="majorHAnsi" w:hAnsiTheme="majorHAnsi"/>
          <w:i/>
          <w:sz w:val="20"/>
          <w:szCs w:val="20"/>
        </w:rPr>
        <w:tab/>
      </w:r>
      <w:r w:rsidR="00B74FE2" w:rsidRPr="00A90411">
        <w:rPr>
          <w:rFonts w:asciiTheme="majorHAnsi" w:hAnsiTheme="majorHAnsi"/>
          <w:i/>
          <w:sz w:val="20"/>
          <w:szCs w:val="20"/>
        </w:rPr>
        <w:t xml:space="preserve">RECALLING </w:t>
      </w:r>
      <w:r w:rsidR="00B74FE2" w:rsidRPr="00A90411">
        <w:rPr>
          <w:rFonts w:asciiTheme="majorHAnsi" w:hAnsiTheme="majorHAnsi"/>
          <w:sz w:val="20"/>
          <w:szCs w:val="20"/>
        </w:rPr>
        <w:t xml:space="preserve">the </w:t>
      </w:r>
      <w:r w:rsidR="00B74FE2" w:rsidRPr="00A90411">
        <w:rPr>
          <w:rFonts w:asciiTheme="majorHAnsi" w:hAnsiTheme="majorHAnsi"/>
          <w:i/>
          <w:sz w:val="20"/>
          <w:szCs w:val="20"/>
        </w:rPr>
        <w:t xml:space="preserve">Resolution by ICCAT on Coordination with Non-Contracting Parties </w:t>
      </w:r>
      <w:r w:rsidR="009E2449" w:rsidRPr="00A90411">
        <w:rPr>
          <w:rFonts w:asciiTheme="majorHAnsi" w:hAnsiTheme="majorHAnsi"/>
          <w:sz w:val="20"/>
          <w:szCs w:val="20"/>
        </w:rPr>
        <w:t>(</w:t>
      </w:r>
      <w:r w:rsidR="00B74FE2" w:rsidRPr="00A90411">
        <w:rPr>
          <w:rFonts w:asciiTheme="majorHAnsi" w:hAnsiTheme="majorHAnsi"/>
          <w:sz w:val="20"/>
          <w:szCs w:val="20"/>
        </w:rPr>
        <w:t>94-</w:t>
      </w:r>
      <w:r w:rsidR="0081394A" w:rsidRPr="00A90411">
        <w:rPr>
          <w:rFonts w:asciiTheme="majorHAnsi" w:hAnsiTheme="majorHAnsi"/>
          <w:sz w:val="20"/>
          <w:szCs w:val="20"/>
        </w:rPr>
        <w:t>0</w:t>
      </w:r>
      <w:r w:rsidR="00B74FE2" w:rsidRPr="00A90411">
        <w:rPr>
          <w:rFonts w:asciiTheme="majorHAnsi" w:hAnsiTheme="majorHAnsi"/>
          <w:sz w:val="20"/>
          <w:szCs w:val="20"/>
        </w:rPr>
        <w:t>6</w:t>
      </w:r>
      <w:r w:rsidR="009E2449" w:rsidRPr="00A90411">
        <w:rPr>
          <w:rFonts w:asciiTheme="majorHAnsi" w:hAnsiTheme="majorHAnsi"/>
          <w:sz w:val="20"/>
          <w:szCs w:val="20"/>
        </w:rPr>
        <w:t>)</w:t>
      </w:r>
      <w:r w:rsidR="00B74FE2" w:rsidRPr="00A90411">
        <w:rPr>
          <w:rFonts w:asciiTheme="majorHAnsi" w:hAnsiTheme="majorHAnsi"/>
          <w:sz w:val="20"/>
          <w:szCs w:val="20"/>
        </w:rPr>
        <w:t xml:space="preserve"> adopted at the Commission’s 9</w:t>
      </w:r>
      <w:r w:rsidR="00B74FE2" w:rsidRPr="00A90411">
        <w:rPr>
          <w:rFonts w:asciiTheme="majorHAnsi" w:hAnsiTheme="majorHAnsi"/>
          <w:sz w:val="20"/>
        </w:rPr>
        <w:t>th</w:t>
      </w:r>
      <w:r w:rsidR="00B74FE2" w:rsidRPr="00A90411">
        <w:rPr>
          <w:rFonts w:asciiTheme="majorHAnsi" w:hAnsiTheme="majorHAnsi"/>
          <w:sz w:val="20"/>
          <w:szCs w:val="20"/>
        </w:rPr>
        <w:t xml:space="preserve"> Special Meeting in 1994 and the </w:t>
      </w:r>
      <w:r w:rsidR="00B74FE2" w:rsidRPr="00A90411">
        <w:rPr>
          <w:rFonts w:asciiTheme="majorHAnsi" w:hAnsiTheme="majorHAnsi"/>
          <w:i/>
          <w:sz w:val="20"/>
          <w:szCs w:val="20"/>
        </w:rPr>
        <w:t xml:space="preserve">Resolution by ICCAT on Becoming a Cooperating Party, Entity or Fishing Entity </w:t>
      </w:r>
      <w:r w:rsidR="005A78F9" w:rsidRPr="00A90411">
        <w:rPr>
          <w:rFonts w:asciiTheme="majorHAnsi" w:hAnsiTheme="majorHAnsi"/>
          <w:sz w:val="20"/>
          <w:szCs w:val="20"/>
        </w:rPr>
        <w:t>(</w:t>
      </w:r>
      <w:r w:rsidR="00B74FE2" w:rsidRPr="00A90411">
        <w:rPr>
          <w:rFonts w:asciiTheme="majorHAnsi" w:hAnsiTheme="majorHAnsi"/>
          <w:sz w:val="20"/>
          <w:szCs w:val="20"/>
        </w:rPr>
        <w:t>01-17</w:t>
      </w:r>
      <w:r w:rsidR="005A78F9" w:rsidRPr="00A90411">
        <w:rPr>
          <w:rFonts w:asciiTheme="majorHAnsi" w:hAnsiTheme="majorHAnsi"/>
          <w:sz w:val="20"/>
          <w:szCs w:val="20"/>
        </w:rPr>
        <w:t>)</w:t>
      </w:r>
      <w:r w:rsidR="00B74FE2" w:rsidRPr="00A90411">
        <w:rPr>
          <w:rFonts w:asciiTheme="majorHAnsi" w:hAnsiTheme="majorHAnsi"/>
          <w:sz w:val="20"/>
          <w:szCs w:val="20"/>
        </w:rPr>
        <w:t xml:space="preserve"> adopted at the 17</w:t>
      </w:r>
      <w:r w:rsidR="00B74FE2" w:rsidRPr="00A90411">
        <w:rPr>
          <w:rFonts w:asciiTheme="majorHAnsi" w:hAnsiTheme="majorHAnsi"/>
          <w:sz w:val="20"/>
        </w:rPr>
        <w:t>th</w:t>
      </w:r>
      <w:r w:rsidR="00B74FE2" w:rsidRPr="00A90411">
        <w:rPr>
          <w:rFonts w:asciiTheme="majorHAnsi" w:hAnsiTheme="majorHAnsi"/>
          <w:sz w:val="20"/>
          <w:szCs w:val="20"/>
        </w:rPr>
        <w:t xml:space="preserve"> Regular Meeting in </w:t>
      </w:r>
      <w:proofErr w:type="gramStart"/>
      <w:r w:rsidR="00B74FE2" w:rsidRPr="00A90411">
        <w:rPr>
          <w:rFonts w:asciiTheme="majorHAnsi" w:hAnsiTheme="majorHAnsi"/>
          <w:sz w:val="20"/>
          <w:szCs w:val="20"/>
        </w:rPr>
        <w:t>2001;</w:t>
      </w:r>
      <w:proofErr w:type="gramEnd"/>
    </w:p>
    <w:p w14:paraId="14EDAAFC" w14:textId="77777777" w:rsidR="005347A0" w:rsidRPr="00A90411" w:rsidRDefault="005347A0" w:rsidP="005347A0">
      <w:pPr>
        <w:pStyle w:val="BodyText"/>
        <w:jc w:val="both"/>
        <w:rPr>
          <w:rFonts w:asciiTheme="majorHAnsi" w:hAnsiTheme="majorHAnsi"/>
          <w:i/>
          <w:sz w:val="20"/>
        </w:rPr>
      </w:pPr>
      <w:r w:rsidRPr="00A90411">
        <w:rPr>
          <w:rFonts w:asciiTheme="majorHAnsi" w:hAnsiTheme="majorHAnsi"/>
          <w:i/>
          <w:sz w:val="20"/>
        </w:rPr>
        <w:tab/>
      </w:r>
    </w:p>
    <w:p w14:paraId="1B4B08C3" w14:textId="7CC545AF" w:rsidR="002721F4" w:rsidRPr="00A90411" w:rsidRDefault="005347A0" w:rsidP="00C938AE">
      <w:pPr>
        <w:tabs>
          <w:tab w:val="left" w:pos="284"/>
        </w:tabs>
        <w:jc w:val="both"/>
        <w:rPr>
          <w:rFonts w:asciiTheme="majorHAnsi" w:hAnsiTheme="majorHAnsi"/>
          <w:sz w:val="20"/>
          <w:szCs w:val="20"/>
        </w:rPr>
      </w:pPr>
      <w:r w:rsidRPr="00A90411">
        <w:rPr>
          <w:rFonts w:asciiTheme="majorHAnsi" w:hAnsiTheme="majorHAnsi"/>
          <w:i/>
          <w:sz w:val="20"/>
        </w:rPr>
        <w:tab/>
      </w:r>
      <w:r w:rsidR="00B74FE2" w:rsidRPr="00A90411">
        <w:rPr>
          <w:rFonts w:asciiTheme="majorHAnsi" w:hAnsiTheme="majorHAnsi"/>
          <w:i/>
          <w:sz w:val="20"/>
        </w:rPr>
        <w:t xml:space="preserve">RECOGNIZING </w:t>
      </w:r>
      <w:r w:rsidR="00B74FE2" w:rsidRPr="00A90411">
        <w:rPr>
          <w:rFonts w:asciiTheme="majorHAnsi" w:hAnsiTheme="majorHAnsi"/>
          <w:sz w:val="20"/>
        </w:rPr>
        <w:t xml:space="preserve">the continuing need to encourage non-Contracting Parties, Entities, or Fishing Entities with vessels fishing for ICCAT species in the Convention area to implement ICCAT conservation </w:t>
      </w:r>
      <w:proofErr w:type="gramStart"/>
      <w:r w:rsidR="00B74FE2" w:rsidRPr="00A90411">
        <w:rPr>
          <w:rFonts w:asciiTheme="majorHAnsi" w:hAnsiTheme="majorHAnsi"/>
          <w:sz w:val="20"/>
        </w:rPr>
        <w:t>measures;</w:t>
      </w:r>
      <w:proofErr w:type="gramEnd"/>
    </w:p>
    <w:p w14:paraId="289BD2D2" w14:textId="77777777" w:rsidR="002721F4" w:rsidRPr="00A90411" w:rsidRDefault="002721F4" w:rsidP="005347A0">
      <w:pPr>
        <w:pStyle w:val="BodyText"/>
        <w:rPr>
          <w:rFonts w:asciiTheme="majorHAnsi" w:hAnsiTheme="majorHAnsi"/>
          <w:sz w:val="20"/>
          <w:szCs w:val="20"/>
        </w:rPr>
      </w:pPr>
    </w:p>
    <w:p w14:paraId="7CF37BAE" w14:textId="3DA07AAA" w:rsidR="002721F4" w:rsidRPr="00A90411" w:rsidRDefault="00B74FE2">
      <w:pPr>
        <w:pStyle w:val="BodyText"/>
        <w:ind w:firstLineChars="100" w:firstLine="200"/>
        <w:jc w:val="both"/>
        <w:rPr>
          <w:rFonts w:asciiTheme="majorHAnsi" w:hAnsiTheme="majorHAnsi"/>
          <w:sz w:val="20"/>
          <w:szCs w:val="20"/>
        </w:rPr>
      </w:pPr>
      <w:r w:rsidRPr="00A90411">
        <w:rPr>
          <w:rFonts w:asciiTheme="majorHAnsi" w:hAnsiTheme="majorHAnsi"/>
          <w:i/>
          <w:sz w:val="20"/>
        </w:rPr>
        <w:t xml:space="preserve">RECOGNIZING </w:t>
      </w:r>
      <w:r w:rsidRPr="00A90411">
        <w:rPr>
          <w:rFonts w:asciiTheme="majorHAnsi" w:hAnsiTheme="majorHAnsi"/>
          <w:sz w:val="20"/>
        </w:rPr>
        <w:t xml:space="preserve">the need </w:t>
      </w:r>
      <w:r w:rsidR="00C938AE" w:rsidRPr="00A90411">
        <w:rPr>
          <w:rFonts w:asciiTheme="majorHAnsi" w:hAnsiTheme="majorHAnsi"/>
          <w:sz w:val="20"/>
        </w:rPr>
        <w:t xml:space="preserve">to establish </w:t>
      </w:r>
      <w:r w:rsidRPr="00A90411">
        <w:rPr>
          <w:rFonts w:asciiTheme="majorHAnsi" w:hAnsiTheme="majorHAnsi"/>
          <w:sz w:val="20"/>
        </w:rPr>
        <w:t>clear criteria to enable non-Contracting Parties, Entities or Fishing Entities</w:t>
      </w:r>
      <w:r w:rsidR="00A4674A" w:rsidRPr="00A90411">
        <w:rPr>
          <w:rFonts w:asciiTheme="majorHAnsi" w:hAnsiTheme="majorHAnsi"/>
          <w:sz w:val="20"/>
        </w:rPr>
        <w:t xml:space="preserve"> with vessels fishing</w:t>
      </w:r>
      <w:r w:rsidRPr="00A90411">
        <w:rPr>
          <w:rFonts w:asciiTheme="majorHAnsi" w:hAnsiTheme="majorHAnsi"/>
          <w:sz w:val="20"/>
        </w:rPr>
        <w:t xml:space="preserve"> for ICCAT species in the Convention area to attain the status of Cooperating non-Contracting Party, Entity or Fishing </w:t>
      </w:r>
      <w:proofErr w:type="gramStart"/>
      <w:r w:rsidRPr="00A90411">
        <w:rPr>
          <w:rFonts w:asciiTheme="majorHAnsi" w:hAnsiTheme="majorHAnsi"/>
          <w:sz w:val="20"/>
        </w:rPr>
        <w:t>Entity;</w:t>
      </w:r>
      <w:proofErr w:type="gramEnd"/>
    </w:p>
    <w:p w14:paraId="23DCC7A9" w14:textId="191DEFB3" w:rsidR="002721F4" w:rsidRPr="00A90411" w:rsidRDefault="002721F4" w:rsidP="005347A0">
      <w:pPr>
        <w:pStyle w:val="BodyText"/>
        <w:rPr>
          <w:rFonts w:asciiTheme="majorHAnsi" w:hAnsiTheme="majorHAnsi"/>
          <w:sz w:val="20"/>
          <w:szCs w:val="20"/>
        </w:rPr>
      </w:pPr>
    </w:p>
    <w:p w14:paraId="2C81548F" w14:textId="77777777" w:rsidR="005347A0" w:rsidRPr="00A90411" w:rsidRDefault="005347A0" w:rsidP="005347A0">
      <w:pPr>
        <w:pStyle w:val="BodyText"/>
        <w:rPr>
          <w:rFonts w:asciiTheme="majorHAnsi" w:hAnsiTheme="majorHAnsi"/>
          <w:sz w:val="20"/>
          <w:szCs w:val="20"/>
        </w:rPr>
      </w:pPr>
    </w:p>
    <w:p w14:paraId="248FC361" w14:textId="77777777" w:rsidR="005347A0" w:rsidRPr="00A90411" w:rsidRDefault="00B74FE2" w:rsidP="005347A0">
      <w:pPr>
        <w:pStyle w:val="BodyText"/>
        <w:jc w:val="center"/>
        <w:rPr>
          <w:rFonts w:asciiTheme="majorHAnsi" w:hAnsiTheme="majorHAnsi"/>
          <w:sz w:val="20"/>
        </w:rPr>
      </w:pPr>
      <w:r w:rsidRPr="00A90411">
        <w:rPr>
          <w:rFonts w:asciiTheme="majorHAnsi" w:hAnsiTheme="majorHAnsi"/>
          <w:sz w:val="20"/>
        </w:rPr>
        <w:t xml:space="preserve">THE INTERNATIONAL COMMISSIONS FOR THE CONSERVATION </w:t>
      </w:r>
    </w:p>
    <w:p w14:paraId="67E46533" w14:textId="7895C411" w:rsidR="002721F4" w:rsidRPr="00A90411" w:rsidRDefault="00B74FE2" w:rsidP="005347A0">
      <w:pPr>
        <w:pStyle w:val="BodyText"/>
        <w:jc w:val="center"/>
        <w:rPr>
          <w:rFonts w:asciiTheme="majorHAnsi" w:hAnsiTheme="majorHAnsi"/>
          <w:sz w:val="20"/>
          <w:szCs w:val="20"/>
        </w:rPr>
      </w:pPr>
      <w:r w:rsidRPr="00A90411">
        <w:rPr>
          <w:rFonts w:asciiTheme="majorHAnsi" w:hAnsiTheme="majorHAnsi"/>
          <w:sz w:val="20"/>
        </w:rPr>
        <w:t>OF ATLANTIC TUNAS (ICCAT) RECOMMENDS THAT:</w:t>
      </w:r>
    </w:p>
    <w:p w14:paraId="400B4851" w14:textId="77777777" w:rsidR="002721F4" w:rsidRPr="00A90411" w:rsidRDefault="002721F4" w:rsidP="00C90FBE">
      <w:pPr>
        <w:pStyle w:val="BodyText"/>
        <w:rPr>
          <w:rFonts w:asciiTheme="majorHAnsi" w:hAnsiTheme="majorHAnsi"/>
          <w:sz w:val="20"/>
          <w:szCs w:val="20"/>
        </w:rPr>
      </w:pPr>
    </w:p>
    <w:p w14:paraId="0BE22FC2" w14:textId="2FDDB109" w:rsidR="002721F4" w:rsidRPr="00A90411" w:rsidRDefault="00B74FE2" w:rsidP="00C90FBE">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Each year, the Executive Secretary of ICCAT shall contact all non-Contracting Parties, Entities, or Fishing Entities known to be fishing in the Convention area for species under ICCAT competence to urge them to become a Contracting Party to ICCAT or to attain the status of a Cooperating non-Contracting Party, Entity or Fishing Entity. In doing so, the Executive Secretary shall provide a copy of all relevant Recommendations and Resolutions adopted by the Commission.</w:t>
      </w:r>
    </w:p>
    <w:p w14:paraId="7F4EE144" w14:textId="77777777" w:rsidR="002721F4" w:rsidRPr="00A90411" w:rsidRDefault="002721F4" w:rsidP="00C90FBE">
      <w:pPr>
        <w:pStyle w:val="BodyText"/>
        <w:ind w:left="426" w:hanging="426"/>
        <w:rPr>
          <w:rFonts w:asciiTheme="majorHAnsi" w:hAnsiTheme="majorHAnsi"/>
          <w:sz w:val="20"/>
          <w:szCs w:val="20"/>
        </w:rPr>
      </w:pPr>
    </w:p>
    <w:p w14:paraId="1024EBF6" w14:textId="1E2EA7B9" w:rsidR="002721F4" w:rsidRPr="00A90411" w:rsidRDefault="00F91478" w:rsidP="00C90FBE">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 xml:space="preserve"> </w:t>
      </w:r>
      <w:r w:rsidR="00B74FE2" w:rsidRPr="00A90411">
        <w:rPr>
          <w:rFonts w:asciiTheme="majorHAnsi" w:hAnsiTheme="majorHAnsi"/>
          <w:sz w:val="20"/>
        </w:rPr>
        <w:t>Any non-Contracting Party, Entity, or Fishing Entity that seeks to be accorded the status of a Cooperating non-Contracting Party, Entity or Fishing Entity shall apply to the Executive Secretary. Requests must be received by the Executive Secretary no later than ninety (90) days in advance of an ICCAT annual meeting, to be considered at that meeting.</w:t>
      </w:r>
    </w:p>
    <w:p w14:paraId="737CF263" w14:textId="77777777" w:rsidR="002721F4" w:rsidRPr="00A90411" w:rsidRDefault="002721F4" w:rsidP="00C90FBE">
      <w:pPr>
        <w:pStyle w:val="BodyText"/>
        <w:ind w:left="426" w:hanging="426"/>
        <w:rPr>
          <w:rFonts w:asciiTheme="majorHAnsi" w:hAnsiTheme="majorHAnsi"/>
          <w:sz w:val="20"/>
          <w:szCs w:val="20"/>
        </w:rPr>
      </w:pPr>
    </w:p>
    <w:p w14:paraId="1B6BBEBF" w14:textId="77777777" w:rsidR="002721F4" w:rsidRPr="00A90411" w:rsidRDefault="00B74FE2" w:rsidP="00C90FBE">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 xml:space="preserve">Non-Contracting Parties, Entities or Fishing Entities requesting the status of Cooperating non-Contracting Party, Entity or Fishing Entity shall provide the following information </w:t>
      </w:r>
      <w:proofErr w:type="gramStart"/>
      <w:r w:rsidRPr="00A90411">
        <w:rPr>
          <w:rFonts w:asciiTheme="majorHAnsi" w:hAnsiTheme="majorHAnsi"/>
          <w:sz w:val="20"/>
        </w:rPr>
        <w:t>in order to</w:t>
      </w:r>
      <w:proofErr w:type="gramEnd"/>
      <w:r w:rsidRPr="00A90411">
        <w:rPr>
          <w:rFonts w:asciiTheme="majorHAnsi" w:hAnsiTheme="majorHAnsi"/>
          <w:sz w:val="20"/>
        </w:rPr>
        <w:t xml:space="preserve"> have this status considered by the Commission:</w:t>
      </w:r>
    </w:p>
    <w:p w14:paraId="0F8165C1" w14:textId="77777777" w:rsidR="002721F4" w:rsidRPr="00A90411" w:rsidRDefault="002721F4" w:rsidP="00C90FBE">
      <w:pPr>
        <w:pStyle w:val="BodyText"/>
        <w:ind w:left="426" w:hanging="426"/>
        <w:rPr>
          <w:rFonts w:asciiTheme="majorHAnsi" w:hAnsiTheme="majorHAnsi"/>
          <w:sz w:val="20"/>
          <w:szCs w:val="20"/>
        </w:rPr>
      </w:pPr>
    </w:p>
    <w:p w14:paraId="722951B6" w14:textId="740BF4A8" w:rsidR="002721F4" w:rsidRPr="00A90411" w:rsidRDefault="005347A0" w:rsidP="00EF4D39">
      <w:pPr>
        <w:pStyle w:val="ListParagraph"/>
        <w:numPr>
          <w:ilvl w:val="1"/>
          <w:numId w:val="1"/>
        </w:numPr>
        <w:tabs>
          <w:tab w:val="left" w:pos="700"/>
        </w:tabs>
        <w:ind w:left="426" w:firstLine="0"/>
        <w:jc w:val="both"/>
        <w:rPr>
          <w:rFonts w:asciiTheme="majorHAnsi" w:hAnsiTheme="majorHAnsi"/>
          <w:sz w:val="20"/>
          <w:szCs w:val="20"/>
        </w:rPr>
      </w:pPr>
      <w:r w:rsidRPr="00A90411">
        <w:rPr>
          <w:rFonts w:asciiTheme="majorHAnsi" w:hAnsiTheme="majorHAnsi"/>
          <w:sz w:val="20"/>
          <w:szCs w:val="20"/>
        </w:rPr>
        <w:tab/>
      </w:r>
      <w:r w:rsidR="00B74FE2" w:rsidRPr="00A90411">
        <w:rPr>
          <w:rFonts w:asciiTheme="majorHAnsi" w:hAnsiTheme="majorHAnsi"/>
          <w:sz w:val="20"/>
        </w:rPr>
        <w:t xml:space="preserve">where available, data on its historical fisheries in the Convention area, including nominal </w:t>
      </w:r>
      <w:r w:rsidR="00C90FBE" w:rsidRPr="00A90411">
        <w:rPr>
          <w:rFonts w:asciiTheme="majorHAnsi" w:hAnsiTheme="majorHAnsi"/>
          <w:sz w:val="20"/>
        </w:rPr>
        <w:tab/>
      </w:r>
      <w:r w:rsidR="00B74FE2" w:rsidRPr="00A90411">
        <w:rPr>
          <w:rFonts w:asciiTheme="majorHAnsi" w:hAnsiTheme="majorHAnsi"/>
          <w:sz w:val="20"/>
        </w:rPr>
        <w:t xml:space="preserve">catches, number/type of vessels, name of fishing vessels, fishing effort and fishing </w:t>
      </w:r>
      <w:proofErr w:type="gramStart"/>
      <w:r w:rsidR="00B74FE2" w:rsidRPr="00A90411">
        <w:rPr>
          <w:rFonts w:asciiTheme="majorHAnsi" w:hAnsiTheme="majorHAnsi"/>
          <w:sz w:val="20"/>
        </w:rPr>
        <w:t>areas;</w:t>
      </w:r>
      <w:proofErr w:type="gramEnd"/>
    </w:p>
    <w:p w14:paraId="09B5CAB8" w14:textId="77777777" w:rsidR="00F91478" w:rsidRPr="00A90411" w:rsidRDefault="00F91478" w:rsidP="00F91478">
      <w:pPr>
        <w:pStyle w:val="ListParagraph"/>
        <w:tabs>
          <w:tab w:val="left" w:pos="700"/>
        </w:tabs>
        <w:ind w:left="426" w:firstLine="0"/>
        <w:jc w:val="both"/>
        <w:rPr>
          <w:rFonts w:asciiTheme="majorHAnsi" w:hAnsiTheme="majorHAnsi"/>
          <w:sz w:val="20"/>
          <w:szCs w:val="20"/>
        </w:rPr>
      </w:pPr>
    </w:p>
    <w:p w14:paraId="028D82DF" w14:textId="0D6ED281" w:rsidR="002721F4" w:rsidRPr="00A90411" w:rsidRDefault="00B74FE2" w:rsidP="00EF4D39">
      <w:pPr>
        <w:pStyle w:val="ListParagraph"/>
        <w:numPr>
          <w:ilvl w:val="1"/>
          <w:numId w:val="1"/>
        </w:numPr>
        <w:tabs>
          <w:tab w:val="left" w:pos="700"/>
        </w:tabs>
        <w:ind w:left="426" w:firstLine="0"/>
        <w:jc w:val="both"/>
        <w:rPr>
          <w:rFonts w:asciiTheme="majorHAnsi" w:hAnsiTheme="majorHAnsi"/>
          <w:sz w:val="20"/>
        </w:rPr>
      </w:pPr>
      <w:r w:rsidRPr="00A90411">
        <w:rPr>
          <w:rFonts w:asciiTheme="majorHAnsi" w:hAnsiTheme="majorHAnsi"/>
          <w:sz w:val="20"/>
        </w:rPr>
        <w:t xml:space="preserve">all the data that Contracting Parties have to submit to ICCAT based on the Recommendations </w:t>
      </w:r>
      <w:r w:rsidR="005347A0" w:rsidRPr="00A90411">
        <w:rPr>
          <w:rFonts w:asciiTheme="majorHAnsi" w:hAnsiTheme="majorHAnsi"/>
          <w:sz w:val="20"/>
        </w:rPr>
        <w:tab/>
      </w:r>
      <w:r w:rsidRPr="00A90411">
        <w:rPr>
          <w:rFonts w:asciiTheme="majorHAnsi" w:hAnsiTheme="majorHAnsi"/>
          <w:sz w:val="20"/>
        </w:rPr>
        <w:t xml:space="preserve">adopted by </w:t>
      </w:r>
      <w:proofErr w:type="gramStart"/>
      <w:r w:rsidRPr="00A90411">
        <w:rPr>
          <w:rFonts w:asciiTheme="majorHAnsi" w:hAnsiTheme="majorHAnsi"/>
          <w:sz w:val="20"/>
        </w:rPr>
        <w:t>ICCAT;</w:t>
      </w:r>
      <w:proofErr w:type="gramEnd"/>
    </w:p>
    <w:p w14:paraId="09E25977" w14:textId="77777777" w:rsidR="002721F4" w:rsidRPr="00A90411" w:rsidRDefault="002721F4" w:rsidP="00D0219A">
      <w:pPr>
        <w:pStyle w:val="ListParagraph"/>
        <w:tabs>
          <w:tab w:val="left" w:pos="700"/>
        </w:tabs>
        <w:ind w:left="426" w:firstLine="0"/>
        <w:jc w:val="both"/>
        <w:rPr>
          <w:rFonts w:asciiTheme="majorHAnsi" w:hAnsiTheme="majorHAnsi"/>
          <w:sz w:val="20"/>
        </w:rPr>
      </w:pPr>
    </w:p>
    <w:p w14:paraId="4B8EE367" w14:textId="57C075AA" w:rsidR="002721F4" w:rsidRPr="00A90411" w:rsidRDefault="00B74FE2" w:rsidP="00EF4D39">
      <w:pPr>
        <w:pStyle w:val="ListParagraph"/>
        <w:numPr>
          <w:ilvl w:val="1"/>
          <w:numId w:val="1"/>
        </w:numPr>
        <w:tabs>
          <w:tab w:val="left" w:pos="700"/>
        </w:tabs>
        <w:ind w:left="426" w:firstLine="0"/>
        <w:jc w:val="both"/>
        <w:rPr>
          <w:rFonts w:asciiTheme="majorHAnsi" w:hAnsiTheme="majorHAnsi"/>
          <w:sz w:val="20"/>
        </w:rPr>
      </w:pPr>
      <w:r w:rsidRPr="00A90411">
        <w:rPr>
          <w:rFonts w:asciiTheme="majorHAnsi" w:hAnsiTheme="majorHAnsi"/>
          <w:sz w:val="20"/>
        </w:rPr>
        <w:t xml:space="preserve">details on current fishing presence in the Convention area, number of vessels and vessel </w:t>
      </w:r>
      <w:r w:rsidR="005347A0" w:rsidRPr="00A90411">
        <w:rPr>
          <w:rFonts w:asciiTheme="majorHAnsi" w:hAnsiTheme="majorHAnsi"/>
          <w:sz w:val="20"/>
        </w:rPr>
        <w:tab/>
      </w:r>
      <w:r w:rsidRPr="00A90411">
        <w:rPr>
          <w:rFonts w:asciiTheme="majorHAnsi" w:hAnsiTheme="majorHAnsi"/>
          <w:sz w:val="20"/>
        </w:rPr>
        <w:t xml:space="preserve">characteristics </w:t>
      </w:r>
      <w:proofErr w:type="gramStart"/>
      <w:r w:rsidRPr="00A90411">
        <w:rPr>
          <w:rFonts w:asciiTheme="majorHAnsi" w:hAnsiTheme="majorHAnsi"/>
          <w:sz w:val="20"/>
        </w:rPr>
        <w:t>and;</w:t>
      </w:r>
      <w:proofErr w:type="gramEnd"/>
    </w:p>
    <w:p w14:paraId="43B6C797" w14:textId="77777777" w:rsidR="002721F4" w:rsidRPr="00A90411" w:rsidRDefault="002721F4" w:rsidP="00D0219A">
      <w:pPr>
        <w:pStyle w:val="ListParagraph"/>
        <w:tabs>
          <w:tab w:val="left" w:pos="700"/>
        </w:tabs>
        <w:ind w:left="426" w:firstLine="0"/>
        <w:jc w:val="both"/>
        <w:rPr>
          <w:rFonts w:asciiTheme="majorHAnsi" w:hAnsiTheme="majorHAnsi"/>
          <w:sz w:val="20"/>
        </w:rPr>
      </w:pPr>
    </w:p>
    <w:p w14:paraId="5613CCF6" w14:textId="6F8E46DF" w:rsidR="002721F4" w:rsidRPr="00A90411" w:rsidRDefault="00B74FE2" w:rsidP="00EF4D39">
      <w:pPr>
        <w:pStyle w:val="ListParagraph"/>
        <w:numPr>
          <w:ilvl w:val="1"/>
          <w:numId w:val="1"/>
        </w:numPr>
        <w:tabs>
          <w:tab w:val="left" w:pos="700"/>
        </w:tabs>
        <w:ind w:left="426" w:firstLine="0"/>
        <w:jc w:val="both"/>
        <w:rPr>
          <w:rFonts w:asciiTheme="majorHAnsi" w:hAnsiTheme="majorHAnsi"/>
          <w:sz w:val="20"/>
          <w:szCs w:val="20"/>
        </w:rPr>
      </w:pPr>
      <w:r w:rsidRPr="00A90411">
        <w:rPr>
          <w:rFonts w:asciiTheme="majorHAnsi" w:hAnsiTheme="majorHAnsi"/>
          <w:sz w:val="20"/>
        </w:rPr>
        <w:t xml:space="preserve">information on any research programs it may have conducted in the Convention area and the </w:t>
      </w:r>
      <w:r w:rsidR="005347A0" w:rsidRPr="00A90411">
        <w:rPr>
          <w:rFonts w:asciiTheme="majorHAnsi" w:hAnsiTheme="majorHAnsi"/>
          <w:sz w:val="20"/>
        </w:rPr>
        <w:tab/>
      </w:r>
      <w:r w:rsidRPr="00A90411">
        <w:rPr>
          <w:rFonts w:asciiTheme="majorHAnsi" w:hAnsiTheme="majorHAnsi"/>
          <w:sz w:val="20"/>
        </w:rPr>
        <w:t>information and the results of this research.</w:t>
      </w:r>
    </w:p>
    <w:p w14:paraId="50AAE2CA" w14:textId="77777777" w:rsidR="002721F4" w:rsidRPr="00A90411" w:rsidRDefault="002721F4" w:rsidP="00D0219A">
      <w:pPr>
        <w:pStyle w:val="BodyText"/>
        <w:ind w:left="426" w:hanging="426"/>
        <w:jc w:val="both"/>
        <w:rPr>
          <w:rFonts w:asciiTheme="majorHAnsi" w:hAnsiTheme="majorHAnsi"/>
          <w:sz w:val="20"/>
          <w:szCs w:val="20"/>
        </w:rPr>
      </w:pPr>
    </w:p>
    <w:p w14:paraId="46CB4F07" w14:textId="3C3857D3" w:rsidR="002721F4" w:rsidRPr="00A90411" w:rsidRDefault="00B74FE2" w:rsidP="00D0219A">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 xml:space="preserve">An applicant for Cooperating non-Contracting Party, Entity or Fishing Entity </w:t>
      </w:r>
      <w:r w:rsidR="008B0263" w:rsidRPr="00A90411">
        <w:rPr>
          <w:rFonts w:asciiTheme="majorHAnsi" w:hAnsiTheme="majorHAnsi"/>
          <w:sz w:val="20"/>
        </w:rPr>
        <w:t>s</w:t>
      </w:r>
      <w:r w:rsidRPr="00A90411">
        <w:rPr>
          <w:rFonts w:asciiTheme="majorHAnsi" w:hAnsiTheme="majorHAnsi"/>
          <w:sz w:val="20"/>
        </w:rPr>
        <w:t>tatus shall also:</w:t>
      </w:r>
    </w:p>
    <w:p w14:paraId="02BEF76B" w14:textId="77777777" w:rsidR="00C90FBE" w:rsidRPr="00A90411" w:rsidRDefault="00C90FBE" w:rsidP="00D0219A">
      <w:pPr>
        <w:pStyle w:val="ListParagraph"/>
        <w:tabs>
          <w:tab w:val="left" w:pos="400"/>
        </w:tabs>
        <w:ind w:left="426" w:firstLine="0"/>
        <w:jc w:val="both"/>
        <w:rPr>
          <w:rFonts w:asciiTheme="majorHAnsi" w:hAnsiTheme="majorHAnsi"/>
          <w:sz w:val="20"/>
          <w:szCs w:val="20"/>
        </w:rPr>
      </w:pPr>
    </w:p>
    <w:p w14:paraId="00A38BC0" w14:textId="08F665A4" w:rsidR="002721F4" w:rsidRPr="00A90411" w:rsidRDefault="00B74FE2" w:rsidP="00EF4D39">
      <w:pPr>
        <w:pStyle w:val="ListParagraph"/>
        <w:numPr>
          <w:ilvl w:val="1"/>
          <w:numId w:val="1"/>
        </w:numPr>
        <w:tabs>
          <w:tab w:val="left" w:pos="700"/>
        </w:tabs>
        <w:ind w:left="426" w:firstLine="0"/>
        <w:jc w:val="both"/>
        <w:rPr>
          <w:rFonts w:asciiTheme="majorHAnsi" w:hAnsiTheme="majorHAnsi"/>
          <w:sz w:val="20"/>
          <w:szCs w:val="20"/>
        </w:rPr>
      </w:pPr>
      <w:r w:rsidRPr="00A90411">
        <w:rPr>
          <w:rFonts w:asciiTheme="majorHAnsi" w:hAnsiTheme="majorHAnsi"/>
          <w:sz w:val="20"/>
        </w:rPr>
        <w:t xml:space="preserve">confirm its commitment to respect the Commission’s conservation and management </w:t>
      </w:r>
      <w:r w:rsidR="00C90FBE" w:rsidRPr="00A90411">
        <w:rPr>
          <w:rFonts w:asciiTheme="majorHAnsi" w:hAnsiTheme="majorHAnsi"/>
          <w:sz w:val="20"/>
        </w:rPr>
        <w:tab/>
      </w:r>
      <w:r w:rsidRPr="00A90411">
        <w:rPr>
          <w:rFonts w:asciiTheme="majorHAnsi" w:hAnsiTheme="majorHAnsi"/>
          <w:sz w:val="20"/>
        </w:rPr>
        <w:t xml:space="preserve">measures </w:t>
      </w:r>
      <w:proofErr w:type="gramStart"/>
      <w:r w:rsidRPr="00A90411">
        <w:rPr>
          <w:rFonts w:asciiTheme="majorHAnsi" w:hAnsiTheme="majorHAnsi"/>
          <w:sz w:val="20"/>
        </w:rPr>
        <w:t>and;</w:t>
      </w:r>
      <w:proofErr w:type="gramEnd"/>
    </w:p>
    <w:p w14:paraId="1D34EDD0" w14:textId="77777777" w:rsidR="002721F4" w:rsidRPr="00A90411" w:rsidRDefault="002721F4" w:rsidP="00D0219A">
      <w:pPr>
        <w:pStyle w:val="BodyText"/>
        <w:ind w:left="426" w:hanging="426"/>
        <w:jc w:val="both"/>
        <w:rPr>
          <w:rFonts w:asciiTheme="majorHAnsi" w:hAnsiTheme="majorHAnsi"/>
          <w:sz w:val="20"/>
          <w:szCs w:val="20"/>
        </w:rPr>
      </w:pPr>
    </w:p>
    <w:p w14:paraId="309268E6" w14:textId="7BCF18A4" w:rsidR="008E1857" w:rsidRPr="00A90411" w:rsidRDefault="00B74FE2" w:rsidP="00EF4D39">
      <w:pPr>
        <w:pStyle w:val="ListParagraph"/>
        <w:numPr>
          <w:ilvl w:val="1"/>
          <w:numId w:val="1"/>
        </w:numPr>
        <w:tabs>
          <w:tab w:val="left" w:pos="700"/>
        </w:tabs>
        <w:ind w:left="426" w:firstLine="0"/>
        <w:jc w:val="both"/>
        <w:rPr>
          <w:rFonts w:asciiTheme="majorHAnsi" w:hAnsiTheme="majorHAnsi"/>
          <w:sz w:val="20"/>
          <w:szCs w:val="20"/>
        </w:rPr>
      </w:pPr>
      <w:r w:rsidRPr="00A90411">
        <w:rPr>
          <w:rFonts w:asciiTheme="majorHAnsi" w:hAnsiTheme="majorHAnsi"/>
          <w:sz w:val="20"/>
        </w:rPr>
        <w:t xml:space="preserve">inform ICCAT of the measures it takes to ensure compliance by its vessels with ICCAT </w:t>
      </w:r>
      <w:r w:rsidR="00C90FBE" w:rsidRPr="00A90411">
        <w:rPr>
          <w:rFonts w:asciiTheme="majorHAnsi" w:hAnsiTheme="majorHAnsi"/>
          <w:sz w:val="20"/>
        </w:rPr>
        <w:tab/>
      </w:r>
      <w:r w:rsidRPr="00A90411">
        <w:rPr>
          <w:rFonts w:asciiTheme="majorHAnsi" w:hAnsiTheme="majorHAnsi"/>
          <w:sz w:val="20"/>
        </w:rPr>
        <w:t xml:space="preserve">conservation and management </w:t>
      </w:r>
      <w:proofErr w:type="gramStart"/>
      <w:r w:rsidRPr="00A90411">
        <w:rPr>
          <w:rFonts w:asciiTheme="majorHAnsi" w:hAnsiTheme="majorHAnsi"/>
          <w:sz w:val="20"/>
        </w:rPr>
        <w:t>measures</w:t>
      </w:r>
      <w:r w:rsidR="00C03437" w:rsidRPr="00A90411">
        <w:rPr>
          <w:rFonts w:asciiTheme="majorHAnsi" w:eastAsia="MS Mincho" w:hAnsiTheme="majorHAnsi"/>
          <w:sz w:val="20"/>
        </w:rPr>
        <w:t>;</w:t>
      </w:r>
      <w:proofErr w:type="gramEnd"/>
    </w:p>
    <w:p w14:paraId="52F14AA8" w14:textId="288F4DD1" w:rsidR="008E1857" w:rsidRPr="00A90411" w:rsidRDefault="008E1857" w:rsidP="008E1857">
      <w:pPr>
        <w:tabs>
          <w:tab w:val="left" w:pos="700"/>
        </w:tabs>
        <w:jc w:val="both"/>
        <w:rPr>
          <w:rFonts w:asciiTheme="majorHAnsi" w:hAnsiTheme="majorHAnsi"/>
          <w:sz w:val="20"/>
          <w:szCs w:val="20"/>
        </w:rPr>
      </w:pPr>
    </w:p>
    <w:p w14:paraId="1CA905D2" w14:textId="1B511A4A" w:rsidR="0009375B" w:rsidRPr="00A90411" w:rsidRDefault="0009375B" w:rsidP="008E1857">
      <w:pPr>
        <w:tabs>
          <w:tab w:val="left" w:pos="700"/>
        </w:tabs>
        <w:jc w:val="both"/>
        <w:rPr>
          <w:rFonts w:asciiTheme="majorHAnsi" w:hAnsiTheme="majorHAnsi"/>
          <w:sz w:val="20"/>
          <w:szCs w:val="20"/>
        </w:rPr>
      </w:pPr>
    </w:p>
    <w:p w14:paraId="116A49EC" w14:textId="3DED09AE" w:rsidR="0009375B" w:rsidRPr="00A90411" w:rsidRDefault="0009375B" w:rsidP="008E1857">
      <w:pPr>
        <w:tabs>
          <w:tab w:val="left" w:pos="700"/>
        </w:tabs>
        <w:jc w:val="both"/>
        <w:rPr>
          <w:rFonts w:asciiTheme="majorHAnsi" w:hAnsiTheme="majorHAnsi"/>
          <w:sz w:val="20"/>
          <w:szCs w:val="20"/>
        </w:rPr>
      </w:pPr>
    </w:p>
    <w:p w14:paraId="49993C64" w14:textId="77777777" w:rsidR="00D2091D" w:rsidRPr="00A90411" w:rsidRDefault="00D2091D" w:rsidP="008E1857">
      <w:pPr>
        <w:tabs>
          <w:tab w:val="left" w:pos="700"/>
        </w:tabs>
        <w:jc w:val="both"/>
        <w:rPr>
          <w:rFonts w:asciiTheme="majorHAnsi" w:hAnsiTheme="majorHAnsi"/>
          <w:sz w:val="20"/>
          <w:szCs w:val="20"/>
        </w:rPr>
      </w:pPr>
    </w:p>
    <w:p w14:paraId="513B14B2" w14:textId="674B42DA" w:rsidR="00C03437" w:rsidRPr="00A90411" w:rsidRDefault="00A4674A" w:rsidP="00EF4D39">
      <w:pPr>
        <w:pStyle w:val="ListParagraph"/>
        <w:numPr>
          <w:ilvl w:val="1"/>
          <w:numId w:val="1"/>
        </w:numPr>
        <w:tabs>
          <w:tab w:val="left" w:pos="700"/>
        </w:tabs>
        <w:ind w:left="709" w:hanging="283"/>
        <w:jc w:val="both"/>
        <w:rPr>
          <w:rFonts w:asciiTheme="majorHAnsi" w:hAnsiTheme="majorHAnsi"/>
          <w:sz w:val="20"/>
          <w:szCs w:val="20"/>
        </w:rPr>
      </w:pPr>
      <w:r w:rsidRPr="00A90411">
        <w:rPr>
          <w:rFonts w:asciiTheme="majorHAnsi" w:eastAsiaTheme="minorEastAsia" w:hAnsiTheme="majorHAnsi"/>
          <w:sz w:val="20"/>
          <w:szCs w:val="20"/>
          <w:lang w:eastAsia="ja-JP"/>
        </w:rPr>
        <w:lastRenderedPageBreak/>
        <w:t>confirm</w:t>
      </w:r>
      <w:r w:rsidR="00F1439E" w:rsidRPr="00A90411">
        <w:rPr>
          <w:rFonts w:asciiTheme="majorHAnsi" w:eastAsiaTheme="minorEastAsia" w:hAnsiTheme="majorHAnsi"/>
          <w:sz w:val="20"/>
          <w:szCs w:val="20"/>
          <w:lang w:eastAsia="ja-JP"/>
        </w:rPr>
        <w:t xml:space="preserve"> its intent </w:t>
      </w:r>
      <w:r w:rsidR="00C03437" w:rsidRPr="00A90411">
        <w:rPr>
          <w:rFonts w:asciiTheme="majorHAnsi" w:eastAsiaTheme="minorEastAsia" w:hAnsiTheme="majorHAnsi"/>
          <w:sz w:val="20"/>
          <w:szCs w:val="20"/>
          <w:lang w:eastAsia="ja-JP"/>
        </w:rPr>
        <w:t xml:space="preserve">to make </w:t>
      </w:r>
      <w:r w:rsidRPr="00A90411">
        <w:rPr>
          <w:rFonts w:asciiTheme="majorHAnsi" w:eastAsiaTheme="minorEastAsia" w:hAnsiTheme="majorHAnsi"/>
          <w:sz w:val="20"/>
          <w:szCs w:val="20"/>
          <w:lang w:eastAsia="ja-JP"/>
        </w:rPr>
        <w:t>an</w:t>
      </w:r>
      <w:r w:rsidR="00044509" w:rsidRPr="00A90411">
        <w:rPr>
          <w:rFonts w:asciiTheme="majorHAnsi" w:eastAsiaTheme="minorEastAsia" w:hAnsiTheme="majorHAnsi"/>
          <w:sz w:val="20"/>
          <w:szCs w:val="20"/>
          <w:lang w:eastAsia="ja-JP"/>
        </w:rPr>
        <w:t xml:space="preserve"> </w:t>
      </w:r>
      <w:r w:rsidR="00C03437" w:rsidRPr="00A90411">
        <w:rPr>
          <w:rFonts w:asciiTheme="majorHAnsi" w:eastAsiaTheme="minorEastAsia" w:hAnsiTheme="majorHAnsi"/>
          <w:sz w:val="20"/>
          <w:szCs w:val="20"/>
          <w:lang w:eastAsia="ja-JP"/>
        </w:rPr>
        <w:t xml:space="preserve">annual </w:t>
      </w:r>
      <w:r w:rsidR="00F1439E" w:rsidRPr="00A90411">
        <w:rPr>
          <w:rFonts w:asciiTheme="majorHAnsi" w:eastAsiaTheme="minorEastAsia" w:hAnsiTheme="majorHAnsi"/>
          <w:sz w:val="20"/>
          <w:szCs w:val="20"/>
          <w:lang w:eastAsia="ja-JP"/>
        </w:rPr>
        <w:t xml:space="preserve">voluntary </w:t>
      </w:r>
      <w:r w:rsidR="00C03437" w:rsidRPr="00A90411">
        <w:rPr>
          <w:rFonts w:asciiTheme="majorHAnsi" w:eastAsiaTheme="minorEastAsia" w:hAnsiTheme="majorHAnsi"/>
          <w:sz w:val="20"/>
          <w:szCs w:val="20"/>
          <w:lang w:eastAsia="ja-JP"/>
        </w:rPr>
        <w:t>financial contribution commensurate</w:t>
      </w:r>
      <w:r w:rsidR="00D0219A" w:rsidRPr="00A90411">
        <w:rPr>
          <w:rFonts w:asciiTheme="majorHAnsi" w:eastAsiaTheme="minorEastAsia" w:hAnsiTheme="majorHAnsi"/>
          <w:sz w:val="20"/>
          <w:szCs w:val="20"/>
          <w:lang w:eastAsia="ja-JP"/>
        </w:rPr>
        <w:t xml:space="preserve"> </w:t>
      </w:r>
      <w:r w:rsidR="00C03437" w:rsidRPr="00A90411">
        <w:rPr>
          <w:rFonts w:asciiTheme="majorHAnsi" w:eastAsiaTheme="minorEastAsia" w:hAnsiTheme="majorHAnsi"/>
          <w:sz w:val="20"/>
          <w:szCs w:val="20"/>
          <w:lang w:eastAsia="ja-JP"/>
        </w:rPr>
        <w:t xml:space="preserve">with </w:t>
      </w:r>
      <w:r w:rsidR="008B1076" w:rsidRPr="00A90411">
        <w:rPr>
          <w:rFonts w:asciiTheme="majorHAnsi" w:eastAsiaTheme="minorEastAsia" w:hAnsiTheme="majorHAnsi"/>
          <w:sz w:val="20"/>
          <w:szCs w:val="20"/>
          <w:lang w:eastAsia="ja-JP"/>
        </w:rPr>
        <w:t>at least</w:t>
      </w:r>
      <w:r w:rsidR="00F865D3" w:rsidRPr="00A90411">
        <w:rPr>
          <w:rFonts w:asciiTheme="majorHAnsi" w:eastAsiaTheme="minorEastAsia" w:hAnsiTheme="majorHAnsi"/>
          <w:sz w:val="20"/>
          <w:szCs w:val="20"/>
          <w:lang w:eastAsia="ja-JP"/>
        </w:rPr>
        <w:t xml:space="preserve"> </w:t>
      </w:r>
      <w:r w:rsidR="00C03437" w:rsidRPr="00A90411">
        <w:rPr>
          <w:rFonts w:asciiTheme="majorHAnsi" w:eastAsiaTheme="minorEastAsia" w:hAnsiTheme="majorHAnsi"/>
          <w:sz w:val="20"/>
          <w:szCs w:val="20"/>
          <w:lang w:eastAsia="ja-JP"/>
        </w:rPr>
        <w:t>50</w:t>
      </w:r>
      <w:r w:rsidR="00094944" w:rsidRPr="00A90411">
        <w:rPr>
          <w:rFonts w:asciiTheme="majorHAnsi" w:eastAsiaTheme="minorEastAsia" w:hAnsiTheme="majorHAnsi"/>
          <w:sz w:val="20"/>
          <w:szCs w:val="20"/>
          <w:lang w:eastAsia="ja-JP"/>
        </w:rPr>
        <w:t xml:space="preserve"> </w:t>
      </w:r>
      <w:r w:rsidR="00C03437" w:rsidRPr="00A90411">
        <w:rPr>
          <w:rFonts w:asciiTheme="majorHAnsi" w:eastAsiaTheme="minorEastAsia" w:hAnsiTheme="majorHAnsi"/>
          <w:sz w:val="20"/>
          <w:szCs w:val="20"/>
          <w:lang w:eastAsia="ja-JP"/>
        </w:rPr>
        <w:t xml:space="preserve">% of the amount that would be assessed should it become a </w:t>
      </w:r>
      <w:proofErr w:type="gramStart"/>
      <w:r w:rsidR="008C4CDC" w:rsidRPr="00A90411">
        <w:rPr>
          <w:rFonts w:asciiTheme="majorHAnsi" w:eastAsiaTheme="minorEastAsia" w:hAnsiTheme="majorHAnsi" w:hint="eastAsia"/>
          <w:sz w:val="20"/>
          <w:szCs w:val="20"/>
          <w:lang w:eastAsia="ja-JP"/>
        </w:rPr>
        <w:t>Member</w:t>
      </w:r>
      <w:proofErr w:type="gramEnd"/>
      <w:r w:rsidR="00C03437" w:rsidRPr="00A90411">
        <w:rPr>
          <w:rFonts w:asciiTheme="majorHAnsi" w:eastAsiaTheme="minorEastAsia" w:hAnsiTheme="majorHAnsi"/>
          <w:sz w:val="20"/>
          <w:szCs w:val="20"/>
          <w:lang w:eastAsia="ja-JP"/>
        </w:rPr>
        <w:t xml:space="preserve">, pursuant to the scheme of contributions in accordance with Article X-2 of the Convention and </w:t>
      </w:r>
      <w:r w:rsidR="00061E23" w:rsidRPr="00A90411">
        <w:rPr>
          <w:rFonts w:asciiTheme="majorHAnsi" w:eastAsiaTheme="minorEastAsia" w:hAnsiTheme="majorHAnsi"/>
          <w:sz w:val="20"/>
          <w:szCs w:val="20"/>
          <w:lang w:eastAsia="ja-JP"/>
        </w:rPr>
        <w:t>Regulation 4-1 of the Financial Regulations.</w:t>
      </w:r>
    </w:p>
    <w:p w14:paraId="6295DA03" w14:textId="77777777" w:rsidR="002721F4" w:rsidRPr="00A90411" w:rsidRDefault="002721F4" w:rsidP="00EF4D39">
      <w:pPr>
        <w:pStyle w:val="BodyText"/>
        <w:ind w:left="426" w:hanging="426"/>
        <w:rPr>
          <w:rFonts w:asciiTheme="majorHAnsi" w:hAnsiTheme="majorHAnsi"/>
          <w:sz w:val="20"/>
          <w:szCs w:val="20"/>
        </w:rPr>
      </w:pPr>
    </w:p>
    <w:p w14:paraId="3ED81488" w14:textId="71DA2ABD" w:rsidR="008E1857" w:rsidRPr="00A90411" w:rsidRDefault="008E1857" w:rsidP="00D0219A">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eastAsiaTheme="minorEastAsia" w:hAnsiTheme="majorHAnsi"/>
          <w:sz w:val="20"/>
          <w:szCs w:val="20"/>
          <w:lang w:eastAsia="ja-JP"/>
        </w:rPr>
        <w:t xml:space="preserve">Cooperating </w:t>
      </w:r>
      <w:r w:rsidR="00C938AE" w:rsidRPr="00A90411">
        <w:rPr>
          <w:rFonts w:asciiTheme="majorHAnsi" w:eastAsiaTheme="minorEastAsia" w:hAnsiTheme="majorHAnsi"/>
          <w:sz w:val="20"/>
          <w:szCs w:val="20"/>
          <w:lang w:eastAsia="ja-JP"/>
        </w:rPr>
        <w:t>n</w:t>
      </w:r>
      <w:r w:rsidRPr="00A90411">
        <w:rPr>
          <w:rFonts w:asciiTheme="majorHAnsi" w:hAnsiTheme="majorHAnsi"/>
          <w:sz w:val="20"/>
        </w:rPr>
        <w:t>on-Contracting Parties, Entities or Fishing Entities shall make every effort to provide annual</w:t>
      </w:r>
      <w:r w:rsidR="001F191B" w:rsidRPr="00A90411">
        <w:rPr>
          <w:rFonts w:asciiTheme="majorHAnsi" w:hAnsiTheme="majorHAnsi"/>
          <w:sz w:val="20"/>
        </w:rPr>
        <w:t xml:space="preserve"> </w:t>
      </w:r>
      <w:r w:rsidR="001F191B" w:rsidRPr="00A90411">
        <w:rPr>
          <w:rFonts w:asciiTheme="majorHAnsi" w:hAnsiTheme="majorHAnsi"/>
          <w:sz w:val="20"/>
          <w:szCs w:val="20"/>
        </w:rPr>
        <w:t>voluntary</w:t>
      </w:r>
      <w:r w:rsidRPr="00A90411">
        <w:rPr>
          <w:rFonts w:asciiTheme="majorHAnsi" w:hAnsiTheme="majorHAnsi"/>
          <w:sz w:val="20"/>
          <w:szCs w:val="20"/>
        </w:rPr>
        <w:t xml:space="preserve"> </w:t>
      </w:r>
      <w:r w:rsidRPr="00A90411">
        <w:rPr>
          <w:rFonts w:asciiTheme="majorHAnsi" w:hAnsiTheme="majorHAnsi"/>
          <w:sz w:val="20"/>
        </w:rPr>
        <w:t>financial contributions to the budget of the Commission beginning in 2024</w:t>
      </w:r>
      <w:r w:rsidRPr="00A90411">
        <w:rPr>
          <w:rFonts w:asciiTheme="majorHAnsi" w:hAnsiTheme="majorHAnsi"/>
          <w:sz w:val="20"/>
          <w:szCs w:val="20"/>
        </w:rPr>
        <w:t>.</w:t>
      </w:r>
      <w:r w:rsidRPr="00A90411">
        <w:rPr>
          <w:rFonts w:asciiTheme="majorHAnsi" w:hAnsiTheme="majorHAnsi"/>
          <w:sz w:val="20"/>
        </w:rPr>
        <w:t xml:space="preserve"> The amount of the annual contributions consistent with the terms of paragraph 4(c) above shall be calculated by the Secretariat and be circulated to those </w:t>
      </w:r>
      <w:r w:rsidR="00C938AE" w:rsidRPr="00A90411">
        <w:rPr>
          <w:rFonts w:asciiTheme="majorHAnsi" w:hAnsiTheme="majorHAnsi"/>
          <w:sz w:val="20"/>
        </w:rPr>
        <w:t>n</w:t>
      </w:r>
      <w:r w:rsidRPr="00A90411">
        <w:rPr>
          <w:rFonts w:asciiTheme="majorHAnsi" w:hAnsiTheme="majorHAnsi"/>
          <w:sz w:val="20"/>
        </w:rPr>
        <w:t xml:space="preserve">on-Contracting Parties, Entities or Fishing Entities at least sixty (60) days before a Regular meeting of the Commission. Cooperating </w:t>
      </w:r>
      <w:r w:rsidR="00C938AE" w:rsidRPr="00A90411">
        <w:rPr>
          <w:rFonts w:asciiTheme="majorHAnsi" w:hAnsiTheme="majorHAnsi"/>
          <w:sz w:val="20"/>
        </w:rPr>
        <w:t>n</w:t>
      </w:r>
      <w:r w:rsidRPr="00A90411">
        <w:rPr>
          <w:rFonts w:asciiTheme="majorHAnsi" w:hAnsiTheme="majorHAnsi"/>
          <w:sz w:val="20"/>
        </w:rPr>
        <w:t>on-Contracting Parties, Entities or Fishing Entities may decide to distribute all or a portion of their contributions to existing ICCAT scientific and research projects (e.g.</w:t>
      </w:r>
      <w:r w:rsidR="009E30CA" w:rsidRPr="00A90411">
        <w:rPr>
          <w:rFonts w:asciiTheme="majorHAnsi" w:hAnsiTheme="majorHAnsi"/>
          <w:sz w:val="20"/>
        </w:rPr>
        <w:t>,</w:t>
      </w:r>
      <w:r w:rsidRPr="00A90411">
        <w:rPr>
          <w:rFonts w:asciiTheme="majorHAnsi" w:hAnsiTheme="majorHAnsi"/>
          <w:sz w:val="20"/>
        </w:rPr>
        <w:t xml:space="preserve"> GBYP or AOTTP) or special funds (e.g.</w:t>
      </w:r>
      <w:r w:rsidR="009E30CA" w:rsidRPr="00A90411">
        <w:rPr>
          <w:rFonts w:asciiTheme="majorHAnsi" w:hAnsiTheme="majorHAnsi"/>
          <w:sz w:val="20"/>
        </w:rPr>
        <w:t>,</w:t>
      </w:r>
      <w:r w:rsidRPr="00A90411">
        <w:rPr>
          <w:rFonts w:asciiTheme="majorHAnsi" w:hAnsiTheme="majorHAnsi"/>
          <w:sz w:val="20"/>
        </w:rPr>
        <w:t xml:space="preserve"> Meeting Participation Fund or M</w:t>
      </w:r>
      <w:r w:rsidR="008B0263" w:rsidRPr="00A90411">
        <w:rPr>
          <w:rFonts w:asciiTheme="majorHAnsi" w:hAnsiTheme="majorHAnsi"/>
          <w:sz w:val="20"/>
        </w:rPr>
        <w:t>onitoring</w:t>
      </w:r>
      <w:r w:rsidR="00392C08" w:rsidRPr="00A90411">
        <w:rPr>
          <w:rFonts w:asciiTheme="majorHAnsi" w:hAnsiTheme="majorHAnsi"/>
          <w:sz w:val="20"/>
        </w:rPr>
        <w:t>,</w:t>
      </w:r>
      <w:r w:rsidR="008B0263" w:rsidRPr="00A90411">
        <w:rPr>
          <w:rFonts w:asciiTheme="majorHAnsi" w:hAnsiTheme="majorHAnsi"/>
          <w:sz w:val="20"/>
        </w:rPr>
        <w:t xml:space="preserve"> </w:t>
      </w:r>
      <w:r w:rsidRPr="00A90411">
        <w:rPr>
          <w:rFonts w:asciiTheme="majorHAnsi" w:hAnsiTheme="majorHAnsi"/>
          <w:sz w:val="20"/>
        </w:rPr>
        <w:t>C</w:t>
      </w:r>
      <w:r w:rsidR="008B0263" w:rsidRPr="00A90411">
        <w:rPr>
          <w:rFonts w:asciiTheme="majorHAnsi" w:hAnsiTheme="majorHAnsi"/>
          <w:sz w:val="20"/>
        </w:rPr>
        <w:t>ontrol &amp; Surveillance</w:t>
      </w:r>
      <w:r w:rsidRPr="00A90411">
        <w:rPr>
          <w:rFonts w:asciiTheme="majorHAnsi" w:hAnsiTheme="majorHAnsi"/>
          <w:sz w:val="20"/>
        </w:rPr>
        <w:t xml:space="preserve"> Fund). If a </w:t>
      </w:r>
      <w:r w:rsidRPr="00A90411">
        <w:rPr>
          <w:rFonts w:asciiTheme="majorHAnsi" w:hAnsiTheme="majorHAnsi"/>
          <w:szCs w:val="24"/>
        </w:rPr>
        <w:t>Cooperating</w:t>
      </w:r>
      <w:r w:rsidRPr="00A90411">
        <w:rPr>
          <w:rFonts w:asciiTheme="majorHAnsi" w:hAnsiTheme="majorHAnsi"/>
          <w:sz w:val="20"/>
        </w:rPr>
        <w:t xml:space="preserve"> </w:t>
      </w:r>
      <w:r w:rsidR="00C938AE" w:rsidRPr="00A90411">
        <w:rPr>
          <w:rFonts w:asciiTheme="majorHAnsi" w:hAnsiTheme="majorHAnsi"/>
          <w:sz w:val="20"/>
        </w:rPr>
        <w:t>n</w:t>
      </w:r>
      <w:r w:rsidRPr="00A90411">
        <w:rPr>
          <w:rFonts w:asciiTheme="majorHAnsi" w:hAnsiTheme="majorHAnsi"/>
          <w:sz w:val="20"/>
        </w:rPr>
        <w:t>on-Contracting Party, Entity or Fishing Entity does not make an annual</w:t>
      </w:r>
      <w:r w:rsidR="001F191B" w:rsidRPr="00A90411">
        <w:rPr>
          <w:rFonts w:asciiTheme="majorHAnsi" w:hAnsiTheme="majorHAnsi"/>
          <w:sz w:val="20"/>
        </w:rPr>
        <w:t xml:space="preserve"> </w:t>
      </w:r>
      <w:r w:rsidR="001F191B" w:rsidRPr="00A90411">
        <w:rPr>
          <w:rFonts w:asciiTheme="majorHAnsi" w:hAnsiTheme="majorHAnsi"/>
          <w:sz w:val="20"/>
          <w:szCs w:val="20"/>
        </w:rPr>
        <w:t>voluntary</w:t>
      </w:r>
      <w:r w:rsidRPr="00A90411">
        <w:rPr>
          <w:rFonts w:asciiTheme="majorHAnsi" w:hAnsiTheme="majorHAnsi"/>
          <w:sz w:val="20"/>
          <w:szCs w:val="20"/>
        </w:rPr>
        <w:t xml:space="preserve"> </w:t>
      </w:r>
      <w:r w:rsidRPr="00A90411">
        <w:rPr>
          <w:rFonts w:asciiTheme="majorHAnsi" w:hAnsiTheme="majorHAnsi"/>
          <w:sz w:val="20"/>
        </w:rPr>
        <w:t xml:space="preserve">contribution, it shall submit the reason to the Commission. The Commission may </w:t>
      </w:r>
      <w:proofErr w:type="gramStart"/>
      <w:r w:rsidRPr="00A90411">
        <w:rPr>
          <w:rFonts w:asciiTheme="majorHAnsi" w:hAnsiTheme="majorHAnsi"/>
          <w:sz w:val="20"/>
        </w:rPr>
        <w:t>take into account</w:t>
      </w:r>
      <w:proofErr w:type="gramEnd"/>
      <w:r w:rsidRPr="00A90411">
        <w:rPr>
          <w:rFonts w:asciiTheme="majorHAnsi" w:hAnsiTheme="majorHAnsi"/>
          <w:sz w:val="20"/>
        </w:rPr>
        <w:t xml:space="preserve"> information concerning the payment</w:t>
      </w:r>
      <w:r w:rsidRPr="00A90411">
        <w:rPr>
          <w:rFonts w:asciiTheme="majorHAnsi" w:hAnsiTheme="majorHAnsi"/>
          <w:color w:val="4BACC6" w:themeColor="accent5"/>
          <w:sz w:val="20"/>
        </w:rPr>
        <w:t xml:space="preserve"> </w:t>
      </w:r>
      <w:r w:rsidRPr="00A90411">
        <w:rPr>
          <w:rFonts w:asciiTheme="majorHAnsi" w:hAnsiTheme="majorHAnsi"/>
          <w:sz w:val="20"/>
        </w:rPr>
        <w:t>of voluntary contributions</w:t>
      </w:r>
      <w:r w:rsidR="001F191B" w:rsidRPr="00A90411">
        <w:rPr>
          <w:rFonts w:asciiTheme="majorHAnsi" w:hAnsiTheme="majorHAnsi"/>
          <w:sz w:val="20"/>
          <w:szCs w:val="20"/>
        </w:rPr>
        <w:t>, including the contributions made in the past,</w:t>
      </w:r>
      <w:r w:rsidRPr="00A90411">
        <w:rPr>
          <w:rFonts w:asciiTheme="majorHAnsi" w:hAnsiTheme="majorHAnsi"/>
          <w:sz w:val="20"/>
        </w:rPr>
        <w:t xml:space="preserve"> by a Cooperating </w:t>
      </w:r>
      <w:r w:rsidR="00C938AE" w:rsidRPr="00A90411">
        <w:rPr>
          <w:rFonts w:asciiTheme="majorHAnsi" w:hAnsiTheme="majorHAnsi"/>
          <w:sz w:val="20"/>
        </w:rPr>
        <w:t>n</w:t>
      </w:r>
      <w:r w:rsidRPr="00A90411">
        <w:rPr>
          <w:rFonts w:asciiTheme="majorHAnsi" w:hAnsiTheme="majorHAnsi"/>
          <w:sz w:val="20"/>
        </w:rPr>
        <w:t>on-Contracting Party, Entity or Fishing Entity when it considers conservation and management measures</w:t>
      </w:r>
      <w:r w:rsidR="00F865D3" w:rsidRPr="00A90411">
        <w:rPr>
          <w:rFonts w:asciiTheme="majorHAnsi" w:hAnsiTheme="majorHAnsi"/>
          <w:bCs/>
          <w:sz w:val="20"/>
        </w:rPr>
        <w:t>.</w:t>
      </w:r>
    </w:p>
    <w:p w14:paraId="7D61725E" w14:textId="77777777" w:rsidR="008E1857" w:rsidRPr="00A90411" w:rsidRDefault="008E1857" w:rsidP="008E1857">
      <w:pPr>
        <w:tabs>
          <w:tab w:val="left" w:pos="400"/>
        </w:tabs>
        <w:jc w:val="both"/>
        <w:rPr>
          <w:rFonts w:asciiTheme="majorHAnsi" w:hAnsiTheme="majorHAnsi"/>
          <w:sz w:val="20"/>
          <w:szCs w:val="20"/>
        </w:rPr>
      </w:pPr>
    </w:p>
    <w:p w14:paraId="74DB6113" w14:textId="22789013" w:rsidR="00B031A7" w:rsidRPr="00A90411" w:rsidRDefault="00B031A7" w:rsidP="00B031A7">
      <w:pPr>
        <w:pStyle w:val="ListParagraph"/>
        <w:numPr>
          <w:ilvl w:val="0"/>
          <w:numId w:val="1"/>
        </w:numPr>
        <w:tabs>
          <w:tab w:val="left" w:pos="400"/>
        </w:tabs>
        <w:ind w:hanging="400"/>
        <w:jc w:val="both"/>
        <w:rPr>
          <w:rFonts w:asciiTheme="majorHAnsi" w:hAnsiTheme="majorHAnsi"/>
          <w:sz w:val="20"/>
          <w:szCs w:val="20"/>
        </w:rPr>
      </w:pPr>
      <w:r w:rsidRPr="00A90411">
        <w:rPr>
          <w:rFonts w:asciiTheme="majorHAnsi" w:hAnsiTheme="majorHAnsi"/>
          <w:sz w:val="20"/>
          <w:szCs w:val="20"/>
        </w:rPr>
        <w:t>Notwithstanding paragraph 5</w:t>
      </w:r>
      <w:r w:rsidRPr="00A90411">
        <w:rPr>
          <w:rFonts w:ascii="MS Mincho" w:eastAsia="MS Mincho" w:hAnsi="MS Mincho" w:cs="MS Mincho" w:hint="eastAsia"/>
          <w:sz w:val="20"/>
          <w:szCs w:val="20"/>
          <w:lang w:eastAsia="ja-JP"/>
        </w:rPr>
        <w:t xml:space="preserve"> </w:t>
      </w:r>
      <w:r w:rsidRPr="00A90411">
        <w:rPr>
          <w:rFonts w:asciiTheme="majorHAnsi" w:eastAsia="MS Mincho" w:hAnsiTheme="majorHAnsi" w:cs="MS Mincho"/>
          <w:sz w:val="20"/>
          <w:szCs w:val="20"/>
          <w:lang w:eastAsia="ja-JP"/>
        </w:rPr>
        <w:t>above</w:t>
      </w:r>
      <w:r w:rsidRPr="00A90411">
        <w:rPr>
          <w:rFonts w:asciiTheme="majorHAnsi" w:hAnsiTheme="majorHAnsi"/>
          <w:sz w:val="20"/>
          <w:szCs w:val="20"/>
        </w:rPr>
        <w:t xml:space="preserve">, </w:t>
      </w:r>
      <w:proofErr w:type="gramStart"/>
      <w:r w:rsidRPr="00A90411">
        <w:rPr>
          <w:rFonts w:asciiTheme="majorHAnsi" w:hAnsiTheme="majorHAnsi"/>
          <w:sz w:val="20"/>
          <w:szCs w:val="20"/>
        </w:rPr>
        <w:t>Cooperating</w:t>
      </w:r>
      <w:proofErr w:type="gramEnd"/>
      <w:r w:rsidRPr="00A90411">
        <w:rPr>
          <w:rFonts w:asciiTheme="majorHAnsi" w:hAnsiTheme="majorHAnsi"/>
          <w:sz w:val="20"/>
          <w:szCs w:val="20"/>
        </w:rPr>
        <w:t xml:space="preserve"> non-Contracting Parties, Entities or Fishing Entities are strongly encouraged to provide annual voluntary financial contribution</w:t>
      </w:r>
      <w:r w:rsidR="00392C08" w:rsidRPr="00A90411">
        <w:rPr>
          <w:rFonts w:asciiTheme="majorHAnsi" w:hAnsiTheme="majorHAnsi"/>
          <w:sz w:val="20"/>
          <w:szCs w:val="20"/>
        </w:rPr>
        <w:t>s</w:t>
      </w:r>
      <w:r w:rsidRPr="00A90411">
        <w:rPr>
          <w:rFonts w:asciiTheme="majorHAnsi" w:hAnsiTheme="majorHAnsi"/>
          <w:sz w:val="20"/>
          <w:szCs w:val="20"/>
        </w:rPr>
        <w:t xml:space="preserve"> as soon as possible before the budget of the Commission beginning in 2024.</w:t>
      </w:r>
    </w:p>
    <w:p w14:paraId="5F4F6247" w14:textId="77777777" w:rsidR="00B031A7" w:rsidRPr="00A90411" w:rsidRDefault="00B031A7" w:rsidP="00B031A7">
      <w:pPr>
        <w:tabs>
          <w:tab w:val="left" w:pos="400"/>
        </w:tabs>
        <w:jc w:val="both"/>
        <w:rPr>
          <w:rFonts w:asciiTheme="majorHAnsi" w:hAnsiTheme="majorHAnsi"/>
          <w:sz w:val="20"/>
        </w:rPr>
      </w:pPr>
    </w:p>
    <w:p w14:paraId="6856D217" w14:textId="54168F22" w:rsidR="002721F4" w:rsidRPr="00A90411" w:rsidRDefault="00B74FE2" w:rsidP="00D0219A">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 xml:space="preserve">The Commission's </w:t>
      </w:r>
      <w:r w:rsidR="00D844F7" w:rsidRPr="00A90411">
        <w:rPr>
          <w:rFonts w:asciiTheme="majorHAnsi" w:hAnsiTheme="majorHAnsi"/>
          <w:sz w:val="20"/>
        </w:rPr>
        <w:t>Conservation and Management Measures Compliance Committee</w:t>
      </w:r>
      <w:r w:rsidRPr="00A90411">
        <w:rPr>
          <w:rFonts w:asciiTheme="majorHAnsi" w:hAnsiTheme="majorHAnsi"/>
          <w:sz w:val="20"/>
        </w:rPr>
        <w:t xml:space="preserve"> (hereinafter </w:t>
      </w:r>
      <w:r w:rsidR="00D844F7" w:rsidRPr="00A90411">
        <w:rPr>
          <w:rFonts w:asciiTheme="majorHAnsi" w:hAnsiTheme="majorHAnsi"/>
          <w:sz w:val="20"/>
        </w:rPr>
        <w:t>COC</w:t>
      </w:r>
      <w:r w:rsidRPr="00A90411">
        <w:rPr>
          <w:rFonts w:asciiTheme="majorHAnsi" w:hAnsiTheme="majorHAnsi"/>
          <w:sz w:val="20"/>
        </w:rPr>
        <w:t xml:space="preserve">) shall be responsible for reviewing requests for Cooperating </w:t>
      </w:r>
      <w:r w:rsidR="00392C08" w:rsidRPr="00A90411">
        <w:rPr>
          <w:rFonts w:asciiTheme="majorHAnsi" w:hAnsiTheme="majorHAnsi"/>
          <w:sz w:val="20"/>
        </w:rPr>
        <w:t>S</w:t>
      </w:r>
      <w:r w:rsidRPr="00A90411">
        <w:rPr>
          <w:rFonts w:asciiTheme="majorHAnsi" w:hAnsiTheme="majorHAnsi"/>
          <w:sz w:val="20"/>
        </w:rPr>
        <w:t xml:space="preserve">tatus and for recommending to the Commission </w:t>
      </w:r>
      <w:proofErr w:type="gramStart"/>
      <w:r w:rsidRPr="00A90411">
        <w:rPr>
          <w:rFonts w:asciiTheme="majorHAnsi" w:hAnsiTheme="majorHAnsi"/>
          <w:sz w:val="20"/>
        </w:rPr>
        <w:t>whether or not</w:t>
      </w:r>
      <w:proofErr w:type="gramEnd"/>
      <w:r w:rsidRPr="00A90411">
        <w:rPr>
          <w:rFonts w:asciiTheme="majorHAnsi" w:hAnsiTheme="majorHAnsi"/>
          <w:sz w:val="20"/>
        </w:rPr>
        <w:t xml:space="preserve"> an applicant should receive Cooperating Status. In this review, the </w:t>
      </w:r>
      <w:r w:rsidR="00162542" w:rsidRPr="00A90411">
        <w:rPr>
          <w:rFonts w:asciiTheme="majorHAnsi" w:hAnsiTheme="majorHAnsi"/>
          <w:sz w:val="20"/>
        </w:rPr>
        <w:t xml:space="preserve">COC </w:t>
      </w:r>
      <w:r w:rsidRPr="00A90411">
        <w:rPr>
          <w:rFonts w:asciiTheme="majorHAnsi" w:hAnsiTheme="majorHAnsi"/>
          <w:sz w:val="20"/>
        </w:rPr>
        <w:t>shall also consider information regarding the applicant available from other Regional Fisheries Management Organizations (RFMOs) as well as data submission of the applicant to the Commission. Caution shall be used so as not to introduce into the Convention area the excessive fishing capacity of other regions or IUU fishing activities in granting Cooperating Status to the applicant.</w:t>
      </w:r>
    </w:p>
    <w:p w14:paraId="65C6AE65" w14:textId="77777777" w:rsidR="002721F4" w:rsidRPr="00A90411" w:rsidRDefault="002721F4" w:rsidP="00EF4D39">
      <w:pPr>
        <w:pStyle w:val="BodyText"/>
        <w:rPr>
          <w:rFonts w:asciiTheme="majorHAnsi" w:hAnsiTheme="majorHAnsi"/>
          <w:sz w:val="20"/>
          <w:szCs w:val="20"/>
        </w:rPr>
      </w:pPr>
    </w:p>
    <w:p w14:paraId="121D4411" w14:textId="2F49DB10" w:rsidR="002721F4" w:rsidRPr="00A90411" w:rsidRDefault="00B74FE2" w:rsidP="00D0219A">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Cooperating non-Contracting Parties, Entities or Fishing Entity status shall be annually reviewed and renewed unless revoked by the Commission due to non-compliance with ICCAT conservation and management measures</w:t>
      </w:r>
      <w:r w:rsidR="00A4674A" w:rsidRPr="00A90411">
        <w:rPr>
          <w:rFonts w:asciiTheme="majorHAnsi" w:hAnsiTheme="majorHAnsi"/>
          <w:sz w:val="20"/>
        </w:rPr>
        <w:t xml:space="preserve"> including this Recommendation</w:t>
      </w:r>
      <w:r w:rsidRPr="00A90411">
        <w:rPr>
          <w:rFonts w:asciiTheme="majorHAnsi" w:hAnsiTheme="majorHAnsi"/>
          <w:sz w:val="20"/>
        </w:rPr>
        <w:t>.</w:t>
      </w:r>
    </w:p>
    <w:p w14:paraId="07C8FED2" w14:textId="77777777" w:rsidR="002721F4" w:rsidRPr="00A90411" w:rsidRDefault="002721F4" w:rsidP="005347A0">
      <w:pPr>
        <w:pStyle w:val="BodyText"/>
        <w:rPr>
          <w:rFonts w:asciiTheme="majorHAnsi" w:hAnsiTheme="majorHAnsi"/>
          <w:sz w:val="20"/>
          <w:szCs w:val="20"/>
        </w:rPr>
      </w:pPr>
    </w:p>
    <w:p w14:paraId="44E46C12" w14:textId="0160F4BF" w:rsidR="002721F4" w:rsidRPr="00A90411" w:rsidRDefault="00B74FE2" w:rsidP="00D0219A">
      <w:pPr>
        <w:pStyle w:val="ListParagraph"/>
        <w:numPr>
          <w:ilvl w:val="0"/>
          <w:numId w:val="1"/>
        </w:numPr>
        <w:tabs>
          <w:tab w:val="left" w:pos="400"/>
        </w:tabs>
        <w:ind w:left="426" w:hanging="426"/>
        <w:jc w:val="both"/>
        <w:rPr>
          <w:rFonts w:asciiTheme="majorHAnsi" w:hAnsiTheme="majorHAnsi"/>
          <w:sz w:val="20"/>
          <w:szCs w:val="20"/>
        </w:rPr>
      </w:pPr>
      <w:r w:rsidRPr="00A90411">
        <w:rPr>
          <w:rFonts w:asciiTheme="majorHAnsi" w:hAnsiTheme="majorHAnsi"/>
          <w:sz w:val="20"/>
        </w:rPr>
        <w:t xml:space="preserve">The </w:t>
      </w:r>
      <w:r w:rsidR="00A90DD5" w:rsidRPr="00A90411">
        <w:rPr>
          <w:rFonts w:asciiTheme="majorHAnsi" w:hAnsiTheme="majorHAnsi"/>
          <w:i/>
          <w:sz w:val="20"/>
        </w:rPr>
        <w:t>Recommendation by ICCAT on Criteria for Attaining the Status of Cooperating Non-Contracting Party, Entity or Fishing Entity in ICCAT</w:t>
      </w:r>
      <w:r w:rsidR="00C90FBE" w:rsidRPr="00A90411">
        <w:rPr>
          <w:rFonts w:asciiTheme="majorHAnsi" w:hAnsiTheme="majorHAnsi"/>
          <w:sz w:val="20"/>
        </w:rPr>
        <w:t xml:space="preserve"> </w:t>
      </w:r>
      <w:r w:rsidR="00DF5674" w:rsidRPr="00A90411">
        <w:rPr>
          <w:rFonts w:asciiTheme="majorHAnsi" w:hAnsiTheme="majorHAnsi"/>
          <w:sz w:val="20"/>
        </w:rPr>
        <w:t>(</w:t>
      </w:r>
      <w:r w:rsidR="00392C08" w:rsidRPr="00A90411">
        <w:rPr>
          <w:rFonts w:asciiTheme="majorHAnsi" w:hAnsiTheme="majorHAnsi"/>
          <w:sz w:val="20"/>
        </w:rPr>
        <w:t xml:space="preserve">Rec. </w:t>
      </w:r>
      <w:r w:rsidR="00A90DD5" w:rsidRPr="00A90411">
        <w:rPr>
          <w:rFonts w:asciiTheme="majorHAnsi" w:hAnsiTheme="majorHAnsi"/>
          <w:sz w:val="20"/>
        </w:rPr>
        <w:t>03-20</w:t>
      </w:r>
      <w:r w:rsidR="00DF5674" w:rsidRPr="00A90411">
        <w:rPr>
          <w:rFonts w:asciiTheme="majorHAnsi" w:hAnsiTheme="majorHAnsi"/>
          <w:sz w:val="20"/>
        </w:rPr>
        <w:t>)</w:t>
      </w:r>
      <w:r w:rsidR="00A90DD5" w:rsidRPr="00A90411">
        <w:rPr>
          <w:rFonts w:asciiTheme="majorHAnsi" w:hAnsiTheme="majorHAnsi"/>
          <w:sz w:val="20"/>
        </w:rPr>
        <w:t xml:space="preserve"> shall be repealed and replaced by this Recommendation. </w:t>
      </w:r>
    </w:p>
    <w:sectPr w:rsidR="002721F4" w:rsidRPr="00A90411" w:rsidSect="005347A0">
      <w:footerReference w:type="default" r:id="rId7"/>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AB5A" w14:textId="77777777" w:rsidR="00452B15" w:rsidRDefault="00452B15" w:rsidP="00B66E06">
      <w:r>
        <w:separator/>
      </w:r>
    </w:p>
  </w:endnote>
  <w:endnote w:type="continuationSeparator" w:id="0">
    <w:p w14:paraId="5C748237" w14:textId="77777777" w:rsidR="00452B15" w:rsidRDefault="00452B15" w:rsidP="00B66E06">
      <w:r>
        <w:continuationSeparator/>
      </w:r>
    </w:p>
  </w:endnote>
  <w:endnote w:type="continuationNotice" w:id="1">
    <w:p w14:paraId="3031AEBE" w14:textId="77777777" w:rsidR="00452B15" w:rsidRDefault="0045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296287"/>
      <w:docPartObj>
        <w:docPartGallery w:val="Page Numbers (Bottom of Page)"/>
        <w:docPartUnique/>
      </w:docPartObj>
    </w:sdtPr>
    <w:sdtEndPr>
      <w:rPr>
        <w:rFonts w:asciiTheme="majorHAnsi" w:hAnsiTheme="majorHAnsi"/>
        <w:noProof/>
        <w:sz w:val="20"/>
        <w:szCs w:val="20"/>
      </w:rPr>
    </w:sdtEndPr>
    <w:sdtContent>
      <w:p w14:paraId="0522BE46" w14:textId="535D7E8F" w:rsidR="0009375B" w:rsidRPr="00404520" w:rsidRDefault="0009375B">
        <w:pPr>
          <w:pStyle w:val="Footer"/>
          <w:jc w:val="center"/>
          <w:rPr>
            <w:rFonts w:asciiTheme="majorHAnsi" w:hAnsiTheme="majorHAnsi"/>
            <w:sz w:val="20"/>
            <w:szCs w:val="20"/>
          </w:rPr>
        </w:pPr>
        <w:r w:rsidRPr="00404520">
          <w:rPr>
            <w:rFonts w:asciiTheme="majorHAnsi" w:hAnsiTheme="majorHAnsi"/>
            <w:sz w:val="20"/>
            <w:szCs w:val="20"/>
          </w:rPr>
          <w:fldChar w:fldCharType="begin"/>
        </w:r>
        <w:r w:rsidRPr="00404520">
          <w:rPr>
            <w:rFonts w:asciiTheme="majorHAnsi" w:hAnsiTheme="majorHAnsi"/>
            <w:sz w:val="20"/>
            <w:szCs w:val="20"/>
          </w:rPr>
          <w:instrText xml:space="preserve"> PAGE   \* MERGEFORMAT </w:instrText>
        </w:r>
        <w:r w:rsidRPr="00404520">
          <w:rPr>
            <w:rFonts w:asciiTheme="majorHAnsi" w:hAnsiTheme="majorHAnsi"/>
            <w:sz w:val="20"/>
            <w:szCs w:val="20"/>
          </w:rPr>
          <w:fldChar w:fldCharType="separate"/>
        </w:r>
        <w:r w:rsidRPr="00404520">
          <w:rPr>
            <w:rFonts w:asciiTheme="majorHAnsi" w:hAnsiTheme="majorHAnsi"/>
            <w:noProof/>
            <w:sz w:val="20"/>
            <w:szCs w:val="20"/>
          </w:rPr>
          <w:t>2</w:t>
        </w:r>
        <w:r w:rsidRPr="00404520">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E5E4" w14:textId="77777777" w:rsidR="00452B15" w:rsidRDefault="00452B15" w:rsidP="00B66E06">
      <w:r>
        <w:separator/>
      </w:r>
    </w:p>
  </w:footnote>
  <w:footnote w:type="continuationSeparator" w:id="0">
    <w:p w14:paraId="091C2D4B" w14:textId="77777777" w:rsidR="00452B15" w:rsidRDefault="00452B15" w:rsidP="00B66E06">
      <w:r>
        <w:continuationSeparator/>
      </w:r>
    </w:p>
  </w:footnote>
  <w:footnote w:type="continuationNotice" w:id="1">
    <w:p w14:paraId="09FDD6EC" w14:textId="77777777" w:rsidR="00452B15" w:rsidRDefault="00452B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695"/>
    <w:multiLevelType w:val="hybridMultilevel"/>
    <w:tmpl w:val="E7FA0A5A"/>
    <w:lvl w:ilvl="0" w:tplc="D0C24830">
      <w:numFmt w:val="bullet"/>
      <w:lvlText w:val="-"/>
      <w:lvlJc w:val="left"/>
      <w:pPr>
        <w:ind w:left="780" w:hanging="360"/>
      </w:pPr>
      <w:rPr>
        <w:rFonts w:ascii="Cambria" w:eastAsiaTheme="minorEastAsia" w:hAnsi="Cambria"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53A1FB5"/>
    <w:multiLevelType w:val="hybridMultilevel"/>
    <w:tmpl w:val="010C7262"/>
    <w:lvl w:ilvl="0" w:tplc="316EC7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F4"/>
    <w:rsid w:val="0001067F"/>
    <w:rsid w:val="0001287A"/>
    <w:rsid w:val="00013F06"/>
    <w:rsid w:val="00044509"/>
    <w:rsid w:val="00054740"/>
    <w:rsid w:val="00061E23"/>
    <w:rsid w:val="00077120"/>
    <w:rsid w:val="000842AB"/>
    <w:rsid w:val="0009375B"/>
    <w:rsid w:val="00094944"/>
    <w:rsid w:val="000A24BE"/>
    <w:rsid w:val="000D7DF4"/>
    <w:rsid w:val="000E198B"/>
    <w:rsid w:val="00114AB2"/>
    <w:rsid w:val="00123642"/>
    <w:rsid w:val="001475EB"/>
    <w:rsid w:val="00151A9C"/>
    <w:rsid w:val="00162542"/>
    <w:rsid w:val="0016782C"/>
    <w:rsid w:val="001868E6"/>
    <w:rsid w:val="00187C6F"/>
    <w:rsid w:val="001A5F24"/>
    <w:rsid w:val="001B43C7"/>
    <w:rsid w:val="001C1C4F"/>
    <w:rsid w:val="001C6374"/>
    <w:rsid w:val="001F191B"/>
    <w:rsid w:val="001F47D1"/>
    <w:rsid w:val="002665BB"/>
    <w:rsid w:val="002721F4"/>
    <w:rsid w:val="00291B91"/>
    <w:rsid w:val="002961C7"/>
    <w:rsid w:val="002E034E"/>
    <w:rsid w:val="002F5A18"/>
    <w:rsid w:val="00323134"/>
    <w:rsid w:val="00347D06"/>
    <w:rsid w:val="00364FBC"/>
    <w:rsid w:val="003804B4"/>
    <w:rsid w:val="00380BCA"/>
    <w:rsid w:val="00386F29"/>
    <w:rsid w:val="00392C08"/>
    <w:rsid w:val="003C78C1"/>
    <w:rsid w:val="003D54EE"/>
    <w:rsid w:val="00404520"/>
    <w:rsid w:val="00417952"/>
    <w:rsid w:val="00432C84"/>
    <w:rsid w:val="00445AEF"/>
    <w:rsid w:val="00452B15"/>
    <w:rsid w:val="00466A13"/>
    <w:rsid w:val="004A3F69"/>
    <w:rsid w:val="004B20AD"/>
    <w:rsid w:val="004C0CA9"/>
    <w:rsid w:val="0050211F"/>
    <w:rsid w:val="00512A2C"/>
    <w:rsid w:val="005347A0"/>
    <w:rsid w:val="00543753"/>
    <w:rsid w:val="0054566F"/>
    <w:rsid w:val="00572964"/>
    <w:rsid w:val="00575DBF"/>
    <w:rsid w:val="00596F70"/>
    <w:rsid w:val="005A0D5A"/>
    <w:rsid w:val="005A78F9"/>
    <w:rsid w:val="005E48BC"/>
    <w:rsid w:val="005E56C9"/>
    <w:rsid w:val="00605CFA"/>
    <w:rsid w:val="006541F5"/>
    <w:rsid w:val="00672B6B"/>
    <w:rsid w:val="00682E58"/>
    <w:rsid w:val="006966E1"/>
    <w:rsid w:val="006B7948"/>
    <w:rsid w:val="006D12B3"/>
    <w:rsid w:val="0070084B"/>
    <w:rsid w:val="00724170"/>
    <w:rsid w:val="00751CBA"/>
    <w:rsid w:val="0077449C"/>
    <w:rsid w:val="00780002"/>
    <w:rsid w:val="00786C57"/>
    <w:rsid w:val="007D5A17"/>
    <w:rsid w:val="007F7A86"/>
    <w:rsid w:val="0081394A"/>
    <w:rsid w:val="0082767D"/>
    <w:rsid w:val="008360AA"/>
    <w:rsid w:val="00876DCB"/>
    <w:rsid w:val="008B0263"/>
    <w:rsid w:val="008B1076"/>
    <w:rsid w:val="008C4CDC"/>
    <w:rsid w:val="008D5F9B"/>
    <w:rsid w:val="008E1857"/>
    <w:rsid w:val="00913E8D"/>
    <w:rsid w:val="00931705"/>
    <w:rsid w:val="00940175"/>
    <w:rsid w:val="00961A51"/>
    <w:rsid w:val="00982B40"/>
    <w:rsid w:val="009C275D"/>
    <w:rsid w:val="009D2CE7"/>
    <w:rsid w:val="009D382E"/>
    <w:rsid w:val="009E0B1B"/>
    <w:rsid w:val="009E2449"/>
    <w:rsid w:val="009E30CA"/>
    <w:rsid w:val="009F356F"/>
    <w:rsid w:val="00A10E9F"/>
    <w:rsid w:val="00A17D0E"/>
    <w:rsid w:val="00A23C80"/>
    <w:rsid w:val="00A4674A"/>
    <w:rsid w:val="00A7442E"/>
    <w:rsid w:val="00A90411"/>
    <w:rsid w:val="00A90DD5"/>
    <w:rsid w:val="00AA6724"/>
    <w:rsid w:val="00AE0D7F"/>
    <w:rsid w:val="00B031A7"/>
    <w:rsid w:val="00B4043F"/>
    <w:rsid w:val="00B4531B"/>
    <w:rsid w:val="00B47C64"/>
    <w:rsid w:val="00B5403C"/>
    <w:rsid w:val="00B66E06"/>
    <w:rsid w:val="00B73025"/>
    <w:rsid w:val="00B74FE2"/>
    <w:rsid w:val="00B81940"/>
    <w:rsid w:val="00B97EFB"/>
    <w:rsid w:val="00C03437"/>
    <w:rsid w:val="00C17EE4"/>
    <w:rsid w:val="00C46730"/>
    <w:rsid w:val="00C674A2"/>
    <w:rsid w:val="00C72AF6"/>
    <w:rsid w:val="00C77E9E"/>
    <w:rsid w:val="00C80CCD"/>
    <w:rsid w:val="00C90FBE"/>
    <w:rsid w:val="00C938AE"/>
    <w:rsid w:val="00CA1422"/>
    <w:rsid w:val="00CA28FA"/>
    <w:rsid w:val="00CA735C"/>
    <w:rsid w:val="00CE3005"/>
    <w:rsid w:val="00CF325C"/>
    <w:rsid w:val="00D0219A"/>
    <w:rsid w:val="00D1047D"/>
    <w:rsid w:val="00D16B99"/>
    <w:rsid w:val="00D2091D"/>
    <w:rsid w:val="00D429AA"/>
    <w:rsid w:val="00D62F83"/>
    <w:rsid w:val="00D844F7"/>
    <w:rsid w:val="00D92AE7"/>
    <w:rsid w:val="00DE349E"/>
    <w:rsid w:val="00DF5674"/>
    <w:rsid w:val="00DF6C1D"/>
    <w:rsid w:val="00E010A0"/>
    <w:rsid w:val="00E2776F"/>
    <w:rsid w:val="00E65B04"/>
    <w:rsid w:val="00E66299"/>
    <w:rsid w:val="00E74FAC"/>
    <w:rsid w:val="00E770DC"/>
    <w:rsid w:val="00E878F6"/>
    <w:rsid w:val="00EA1515"/>
    <w:rsid w:val="00EA436C"/>
    <w:rsid w:val="00ED1700"/>
    <w:rsid w:val="00EF4D39"/>
    <w:rsid w:val="00F12DFA"/>
    <w:rsid w:val="00F1439E"/>
    <w:rsid w:val="00F248E4"/>
    <w:rsid w:val="00F55BBC"/>
    <w:rsid w:val="00F56771"/>
    <w:rsid w:val="00F717A7"/>
    <w:rsid w:val="00F7274F"/>
    <w:rsid w:val="00F865D3"/>
    <w:rsid w:val="00F87272"/>
    <w:rsid w:val="00F91478"/>
    <w:rsid w:val="00F93C16"/>
    <w:rsid w:val="00F9619E"/>
    <w:rsid w:val="00FB0B4C"/>
    <w:rsid w:val="00FB5085"/>
    <w:rsid w:val="00FC671B"/>
    <w:rsid w:val="00FD0379"/>
    <w:rsid w:val="00FD48C4"/>
    <w:rsid w:val="00FD56B8"/>
    <w:rsid w:val="00FE55CB"/>
    <w:rsid w:val="00FE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C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00" w:hanging="3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343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03437"/>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B66E06"/>
    <w:pPr>
      <w:tabs>
        <w:tab w:val="center" w:pos="4252"/>
        <w:tab w:val="right" w:pos="8504"/>
      </w:tabs>
      <w:snapToGrid w:val="0"/>
    </w:pPr>
  </w:style>
  <w:style w:type="character" w:customStyle="1" w:styleId="HeaderChar">
    <w:name w:val="Header Char"/>
    <w:basedOn w:val="DefaultParagraphFont"/>
    <w:link w:val="Header"/>
    <w:uiPriority w:val="99"/>
    <w:rsid w:val="00B66E06"/>
    <w:rPr>
      <w:rFonts w:ascii="Times New Roman" w:eastAsia="Times New Roman" w:hAnsi="Times New Roman" w:cs="Times New Roman"/>
    </w:rPr>
  </w:style>
  <w:style w:type="paragraph" w:styleId="Footer">
    <w:name w:val="footer"/>
    <w:basedOn w:val="Normal"/>
    <w:link w:val="FooterChar"/>
    <w:uiPriority w:val="99"/>
    <w:unhideWhenUsed/>
    <w:rsid w:val="00B66E06"/>
    <w:pPr>
      <w:tabs>
        <w:tab w:val="center" w:pos="4252"/>
        <w:tab w:val="right" w:pos="8504"/>
      </w:tabs>
      <w:snapToGrid w:val="0"/>
    </w:pPr>
  </w:style>
  <w:style w:type="character" w:customStyle="1" w:styleId="FooterChar">
    <w:name w:val="Footer Char"/>
    <w:basedOn w:val="DefaultParagraphFont"/>
    <w:link w:val="Footer"/>
    <w:uiPriority w:val="99"/>
    <w:rsid w:val="00B66E0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5BBC"/>
    <w:rPr>
      <w:sz w:val="18"/>
      <w:szCs w:val="18"/>
    </w:rPr>
  </w:style>
  <w:style w:type="paragraph" w:styleId="CommentText">
    <w:name w:val="annotation text"/>
    <w:basedOn w:val="Normal"/>
    <w:link w:val="CommentTextChar"/>
    <w:uiPriority w:val="99"/>
    <w:semiHidden/>
    <w:unhideWhenUsed/>
    <w:rsid w:val="00F55BBC"/>
  </w:style>
  <w:style w:type="character" w:customStyle="1" w:styleId="CommentTextChar">
    <w:name w:val="Comment Text Char"/>
    <w:basedOn w:val="DefaultParagraphFont"/>
    <w:link w:val="CommentText"/>
    <w:uiPriority w:val="99"/>
    <w:semiHidden/>
    <w:rsid w:val="00F55BB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5BBC"/>
    <w:rPr>
      <w:b/>
      <w:bCs/>
    </w:rPr>
  </w:style>
  <w:style w:type="character" w:customStyle="1" w:styleId="CommentSubjectChar">
    <w:name w:val="Comment Subject Char"/>
    <w:basedOn w:val="CommentTextChar"/>
    <w:link w:val="CommentSubject"/>
    <w:uiPriority w:val="99"/>
    <w:semiHidden/>
    <w:rsid w:val="00F55BB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4993</Characters>
  <Application>Microsoft Office Word</Application>
  <DocSecurity>0</DocSecurity>
  <Lines>97</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2021-11-22T17:16:00Z</dcterms:created>
  <dcterms:modified xsi:type="dcterms:W3CDTF">2021-12-16T10:24:00Z</dcterms:modified>
</cp:coreProperties>
</file>