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60E9" w14:textId="77777777" w:rsidR="0018071E" w:rsidRPr="0077389E" w:rsidRDefault="0018071E" w:rsidP="007E4260">
      <w:pPr>
        <w:pStyle w:val="Heading5"/>
        <w:pBdr>
          <w:top w:val="double" w:sz="4" w:space="1" w:color="auto"/>
          <w:left w:val="double" w:sz="4" w:space="4" w:color="auto"/>
          <w:bottom w:val="double" w:sz="4" w:space="8" w:color="auto"/>
          <w:right w:val="double" w:sz="4" w:space="4" w:color="auto"/>
        </w:pBdr>
        <w:rPr>
          <w:rFonts w:ascii="Cambria" w:hAnsi="Cambria"/>
          <w:sz w:val="10"/>
          <w:szCs w:val="10"/>
          <w:lang w:val="es-ES_tradnl"/>
        </w:rPr>
      </w:pPr>
    </w:p>
    <w:p w14:paraId="0BC36B5B" w14:textId="2BD72648" w:rsidR="00884995" w:rsidRPr="0077389E" w:rsidRDefault="00884995" w:rsidP="007E4260">
      <w:pPr>
        <w:pStyle w:val="Heading5"/>
        <w:pBdr>
          <w:top w:val="double" w:sz="4" w:space="1" w:color="auto"/>
          <w:left w:val="double" w:sz="4" w:space="4" w:color="auto"/>
          <w:bottom w:val="double" w:sz="4" w:space="8" w:color="auto"/>
          <w:right w:val="double" w:sz="4" w:space="4" w:color="auto"/>
        </w:pBdr>
        <w:rPr>
          <w:rFonts w:ascii="Cambria" w:hAnsi="Cambria"/>
          <w:sz w:val="20"/>
          <w:szCs w:val="20"/>
          <w:lang w:val="es-ES_tradnl"/>
        </w:rPr>
      </w:pPr>
      <w:r w:rsidRPr="0077389E">
        <w:rPr>
          <w:rFonts w:ascii="Cambria" w:hAnsi="Cambria"/>
          <w:sz w:val="20"/>
          <w:szCs w:val="20"/>
          <w:lang w:val="es-ES_tradnl"/>
        </w:rPr>
        <w:t>21-</w:t>
      </w:r>
      <w:r w:rsidR="00BE270F" w:rsidRPr="0077389E">
        <w:rPr>
          <w:rFonts w:ascii="Cambria" w:hAnsi="Cambria"/>
          <w:sz w:val="20"/>
          <w:szCs w:val="20"/>
          <w:lang w:val="es-ES_tradnl"/>
        </w:rPr>
        <w:t>20</w:t>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Pr="0077389E">
        <w:rPr>
          <w:rFonts w:ascii="Cambria" w:hAnsi="Cambria"/>
          <w:sz w:val="20"/>
          <w:szCs w:val="20"/>
          <w:lang w:val="es-ES_tradnl"/>
        </w:rPr>
        <w:tab/>
      </w:r>
      <w:r w:rsidR="00BE270F" w:rsidRPr="0077389E">
        <w:rPr>
          <w:rFonts w:ascii="Cambria" w:hAnsi="Cambria"/>
          <w:sz w:val="20"/>
          <w:szCs w:val="20"/>
          <w:lang w:val="es-ES_tradnl"/>
        </w:rPr>
        <w:t>T0R</w:t>
      </w:r>
    </w:p>
    <w:p w14:paraId="4E30EB14" w14:textId="77777777" w:rsidR="0018071E" w:rsidRPr="0077389E" w:rsidRDefault="00DC687E" w:rsidP="007E4260">
      <w:pPr>
        <w:pStyle w:val="Heading5"/>
        <w:pBdr>
          <w:top w:val="double" w:sz="4" w:space="1" w:color="auto"/>
          <w:left w:val="double" w:sz="4" w:space="4" w:color="auto"/>
          <w:bottom w:val="double" w:sz="4" w:space="8" w:color="auto"/>
          <w:right w:val="double" w:sz="4" w:space="4" w:color="auto"/>
        </w:pBdr>
        <w:rPr>
          <w:rFonts w:ascii="Cambria" w:hAnsi="Cambria"/>
          <w:sz w:val="20"/>
          <w:szCs w:val="20"/>
          <w:lang w:val="es-ES_tradnl"/>
        </w:rPr>
      </w:pPr>
      <w:r w:rsidRPr="0077389E">
        <w:rPr>
          <w:rFonts w:ascii="Cambria" w:hAnsi="Cambria"/>
          <w:sz w:val="20"/>
          <w:szCs w:val="20"/>
          <w:lang w:val="es-ES_tradnl"/>
        </w:rPr>
        <w:t xml:space="preserve">RECOMENDACIÓN DE ICCAT PARA CONTINUAR EL DESARROLLO </w:t>
      </w:r>
    </w:p>
    <w:p w14:paraId="6E27679C" w14:textId="22F7F7BE" w:rsidR="00F94768" w:rsidRPr="0077389E" w:rsidRDefault="00DC687E" w:rsidP="007E4260">
      <w:pPr>
        <w:pStyle w:val="Heading5"/>
        <w:keepNext w:val="0"/>
        <w:widowControl w:val="0"/>
        <w:pBdr>
          <w:top w:val="double" w:sz="4" w:space="1" w:color="auto"/>
          <w:left w:val="double" w:sz="4" w:space="4" w:color="auto"/>
          <w:bottom w:val="double" w:sz="4" w:space="8" w:color="auto"/>
          <w:right w:val="double" w:sz="4" w:space="4" w:color="auto"/>
        </w:pBdr>
        <w:rPr>
          <w:rFonts w:ascii="Cambria" w:hAnsi="Cambria"/>
          <w:i/>
          <w:iCs/>
          <w:sz w:val="20"/>
          <w:szCs w:val="20"/>
          <w:lang w:eastAsia="es-ES"/>
        </w:rPr>
      </w:pPr>
      <w:r w:rsidRPr="0077389E">
        <w:rPr>
          <w:rFonts w:ascii="Cambria" w:hAnsi="Cambria"/>
          <w:sz w:val="20"/>
          <w:szCs w:val="20"/>
          <w:lang w:val="es-ES_tradnl"/>
        </w:rPr>
        <w:t>DE UN SISTEMA INTEGRADO DE COMUNICACIÓN EN LÍNEA</w:t>
      </w:r>
    </w:p>
    <w:p w14:paraId="7EA9312A" w14:textId="77777777" w:rsidR="00B047F4" w:rsidRPr="0077389E" w:rsidRDefault="00E4150C" w:rsidP="00DC687E">
      <w:pPr>
        <w:tabs>
          <w:tab w:val="left" w:pos="426"/>
        </w:tabs>
        <w:jc w:val="both"/>
        <w:rPr>
          <w:rFonts w:ascii="Cambria" w:hAnsi="Cambria"/>
          <w:i/>
          <w:iCs/>
          <w:sz w:val="20"/>
          <w:szCs w:val="20"/>
          <w:lang w:val="es-ES" w:eastAsia="es-ES"/>
        </w:rPr>
      </w:pPr>
      <w:r w:rsidRPr="0077389E">
        <w:rPr>
          <w:rFonts w:ascii="Cambria" w:hAnsi="Cambria"/>
          <w:i/>
          <w:iCs/>
          <w:sz w:val="20"/>
          <w:szCs w:val="20"/>
          <w:lang w:val="es-ES" w:eastAsia="es-ES"/>
        </w:rPr>
        <w:tab/>
      </w:r>
    </w:p>
    <w:p w14:paraId="41C27EC3" w14:textId="225FDB49" w:rsidR="00DC687E" w:rsidRPr="0077389E" w:rsidRDefault="00B047F4" w:rsidP="00DC687E">
      <w:pPr>
        <w:tabs>
          <w:tab w:val="left" w:pos="426"/>
        </w:tabs>
        <w:jc w:val="both"/>
        <w:rPr>
          <w:rFonts w:ascii="Cambria" w:hAnsi="Cambria"/>
          <w:sz w:val="20"/>
          <w:szCs w:val="20"/>
          <w:lang w:val="es-ES" w:eastAsia="es-ES"/>
        </w:rPr>
      </w:pPr>
      <w:r w:rsidRPr="0077389E">
        <w:rPr>
          <w:rFonts w:ascii="Cambria" w:hAnsi="Cambria"/>
          <w:i/>
          <w:iCs/>
          <w:sz w:val="20"/>
          <w:szCs w:val="20"/>
          <w:lang w:val="es-ES" w:eastAsia="es-ES"/>
        </w:rPr>
        <w:tab/>
      </w:r>
      <w:r w:rsidR="00DC687E" w:rsidRPr="0077389E">
        <w:rPr>
          <w:rFonts w:ascii="Cambria" w:hAnsi="Cambria"/>
          <w:i/>
          <w:iCs/>
          <w:sz w:val="20"/>
          <w:szCs w:val="20"/>
          <w:lang w:val="es-ES" w:eastAsia="es-ES"/>
        </w:rPr>
        <w:t>RECORDANDO</w:t>
      </w:r>
      <w:r w:rsidR="00DC687E" w:rsidRPr="0077389E">
        <w:rPr>
          <w:rFonts w:ascii="Cambria" w:hAnsi="Cambria"/>
          <w:sz w:val="20"/>
          <w:szCs w:val="20"/>
          <w:lang w:val="es-ES" w:eastAsia="es-ES"/>
        </w:rPr>
        <w:t xml:space="preserve"> la </w:t>
      </w:r>
      <w:r w:rsidR="00DC687E" w:rsidRPr="0077389E">
        <w:rPr>
          <w:rFonts w:ascii="Cambria" w:hAnsi="Cambria"/>
          <w:i/>
          <w:iCs/>
          <w:sz w:val="20"/>
          <w:szCs w:val="20"/>
          <w:lang w:val="es-ES" w:eastAsia="es-ES"/>
        </w:rPr>
        <w:t>Recomendación de ICCAT para el desarrollo de un sistema de comunicación en línea</w:t>
      </w:r>
      <w:r w:rsidR="00DC687E" w:rsidRPr="0077389E">
        <w:rPr>
          <w:rFonts w:ascii="Cambria" w:hAnsi="Cambria"/>
          <w:sz w:val="20"/>
          <w:szCs w:val="20"/>
          <w:lang w:val="es-ES" w:eastAsia="es-ES"/>
        </w:rPr>
        <w:t xml:space="preserve"> [Rec. 16-19], adoptada por la Comisión en 2016; </w:t>
      </w:r>
    </w:p>
    <w:p w14:paraId="5D85E7AA" w14:textId="77777777" w:rsidR="00DC687E" w:rsidRPr="0077389E" w:rsidRDefault="00DC687E" w:rsidP="00DC687E">
      <w:pPr>
        <w:jc w:val="both"/>
        <w:rPr>
          <w:rFonts w:ascii="Cambria" w:hAnsi="Cambria"/>
          <w:sz w:val="20"/>
          <w:szCs w:val="20"/>
          <w:lang w:val="es-ES_tradnl" w:eastAsia="es-ES"/>
        </w:rPr>
      </w:pPr>
    </w:p>
    <w:p w14:paraId="75154304" w14:textId="77777777" w:rsidR="00DC687E" w:rsidRPr="0077389E" w:rsidRDefault="00DC687E" w:rsidP="00DC687E">
      <w:pPr>
        <w:tabs>
          <w:tab w:val="left" w:pos="426"/>
        </w:tabs>
        <w:jc w:val="both"/>
        <w:rPr>
          <w:rFonts w:ascii="Cambria" w:hAnsi="Cambria"/>
          <w:color w:val="000000"/>
          <w:sz w:val="20"/>
          <w:szCs w:val="20"/>
          <w:lang w:val="es-ES" w:eastAsia="es-ES"/>
        </w:rPr>
      </w:pPr>
      <w:r w:rsidRPr="0077389E">
        <w:rPr>
          <w:rFonts w:ascii="Cambria" w:hAnsi="Cambria"/>
          <w:i/>
          <w:iCs/>
          <w:color w:val="000000"/>
          <w:sz w:val="20"/>
          <w:szCs w:val="20"/>
          <w:lang w:val="es-ES" w:eastAsia="es-ES"/>
        </w:rPr>
        <w:tab/>
        <w:t>OBSERVANDO</w:t>
      </w:r>
      <w:r w:rsidRPr="0077389E">
        <w:rPr>
          <w:rFonts w:ascii="Cambria" w:hAnsi="Cambria"/>
          <w:color w:val="000000"/>
          <w:sz w:val="20"/>
          <w:szCs w:val="20"/>
          <w:lang w:val="es-ES" w:eastAsia="es-ES"/>
        </w:rPr>
        <w:t xml:space="preserve"> que los requisitos de comunicación de la Comisión son numerosos y cambian en el tiempo y que cualquier sistema debe, por naturaleza, ser de amplio alcance y dinámico;  </w:t>
      </w:r>
    </w:p>
    <w:p w14:paraId="4BB8DDA0" w14:textId="77777777" w:rsidR="00DC687E" w:rsidRPr="0077389E" w:rsidRDefault="00DC687E" w:rsidP="00DC687E">
      <w:pPr>
        <w:jc w:val="both"/>
        <w:rPr>
          <w:rFonts w:ascii="Cambria" w:hAnsi="Cambria"/>
          <w:color w:val="000000"/>
          <w:sz w:val="20"/>
          <w:szCs w:val="20"/>
          <w:lang w:val="es-ES" w:eastAsia="es-ES"/>
        </w:rPr>
      </w:pPr>
    </w:p>
    <w:p w14:paraId="0E1B0FA1" w14:textId="5A57CBBE" w:rsidR="00DC687E" w:rsidRPr="0077389E" w:rsidRDefault="00DC687E" w:rsidP="00DC687E">
      <w:pPr>
        <w:tabs>
          <w:tab w:val="left" w:pos="426"/>
        </w:tabs>
        <w:jc w:val="both"/>
        <w:rPr>
          <w:rFonts w:ascii="Cambria" w:hAnsi="Cambria"/>
          <w:color w:val="000000"/>
          <w:sz w:val="20"/>
          <w:szCs w:val="20"/>
          <w:lang w:val="es-ES" w:eastAsia="es-ES"/>
        </w:rPr>
      </w:pPr>
      <w:r w:rsidRPr="0077389E">
        <w:rPr>
          <w:rFonts w:ascii="Cambria" w:hAnsi="Cambria"/>
          <w:i/>
          <w:iCs/>
          <w:sz w:val="20"/>
          <w:szCs w:val="20"/>
          <w:lang w:val="es-ES" w:eastAsia="es-ES"/>
        </w:rPr>
        <w:tab/>
        <w:t>RECONOCIENDO</w:t>
      </w:r>
      <w:r w:rsidRPr="0077389E">
        <w:rPr>
          <w:rFonts w:ascii="Cambria" w:hAnsi="Cambria"/>
          <w:sz w:val="20"/>
          <w:szCs w:val="20"/>
          <w:lang w:val="es-ES" w:eastAsia="es-ES"/>
        </w:rPr>
        <w:t xml:space="preserve"> el progreso realizado hasta la fecha por el Grupo de trabajo sobre tecnología de comunicación en línea y la Secretaría en el desarrollo inicial del sistema;</w:t>
      </w:r>
      <w:r w:rsidRPr="0077389E">
        <w:rPr>
          <w:rFonts w:ascii="Cambria" w:hAnsi="Cambria"/>
          <w:color w:val="000000"/>
          <w:sz w:val="20"/>
          <w:szCs w:val="20"/>
          <w:lang w:val="es-ES" w:eastAsia="es-ES"/>
        </w:rPr>
        <w:t xml:space="preserve"> </w:t>
      </w:r>
    </w:p>
    <w:p w14:paraId="3F33586C" w14:textId="77777777" w:rsidR="00DC687E" w:rsidRPr="0077389E" w:rsidRDefault="00DC687E" w:rsidP="00DC687E">
      <w:pPr>
        <w:jc w:val="both"/>
        <w:rPr>
          <w:rFonts w:ascii="Cambria" w:hAnsi="Cambria"/>
          <w:color w:val="000000"/>
          <w:sz w:val="20"/>
          <w:szCs w:val="20"/>
          <w:lang w:val="es-ES" w:eastAsia="es-ES"/>
        </w:rPr>
      </w:pPr>
    </w:p>
    <w:p w14:paraId="2FD40545" w14:textId="77777777" w:rsidR="00DC687E" w:rsidRPr="0077389E" w:rsidRDefault="00DC687E" w:rsidP="00DC687E">
      <w:pPr>
        <w:tabs>
          <w:tab w:val="left" w:pos="426"/>
        </w:tabs>
        <w:jc w:val="both"/>
        <w:rPr>
          <w:rFonts w:ascii="Cambria" w:hAnsi="Cambria"/>
          <w:color w:val="000000"/>
          <w:sz w:val="20"/>
          <w:szCs w:val="20"/>
          <w:lang w:val="es-ES" w:eastAsia="es-ES"/>
        </w:rPr>
      </w:pPr>
      <w:r w:rsidRPr="0077389E">
        <w:rPr>
          <w:rFonts w:ascii="Cambria" w:hAnsi="Cambria"/>
          <w:i/>
          <w:iCs/>
          <w:color w:val="000000"/>
          <w:sz w:val="20"/>
          <w:szCs w:val="20"/>
          <w:lang w:val="es-ES" w:eastAsia="es-ES"/>
        </w:rPr>
        <w:tab/>
        <w:t>ADMITIENDO</w:t>
      </w:r>
      <w:r w:rsidRPr="0077389E">
        <w:rPr>
          <w:rFonts w:ascii="Cambria" w:hAnsi="Cambria"/>
          <w:color w:val="000000"/>
          <w:sz w:val="20"/>
          <w:szCs w:val="20"/>
          <w:lang w:val="es-ES" w:eastAsia="es-ES"/>
        </w:rPr>
        <w:t xml:space="preserve"> que la gran escala del proyecto requiere que el trabajo continúe más allá de la inicial fecha objetivo de finalización de 2019; </w:t>
      </w:r>
    </w:p>
    <w:p w14:paraId="73DB0054" w14:textId="77777777" w:rsidR="00DC687E" w:rsidRPr="0077389E" w:rsidRDefault="00DC687E" w:rsidP="00DC687E">
      <w:pPr>
        <w:jc w:val="both"/>
        <w:rPr>
          <w:rFonts w:ascii="Cambria" w:hAnsi="Cambria"/>
          <w:color w:val="000000"/>
          <w:sz w:val="20"/>
          <w:szCs w:val="20"/>
          <w:lang w:val="es-ES" w:eastAsia="es-ES"/>
        </w:rPr>
      </w:pPr>
    </w:p>
    <w:p w14:paraId="33A895AC" w14:textId="77777777" w:rsidR="00DC687E" w:rsidRPr="0077389E" w:rsidRDefault="00DC687E" w:rsidP="00DC687E">
      <w:pPr>
        <w:tabs>
          <w:tab w:val="left" w:pos="426"/>
        </w:tabs>
        <w:jc w:val="both"/>
        <w:rPr>
          <w:rFonts w:ascii="Cambria" w:hAnsi="Cambria"/>
          <w:color w:val="000000"/>
          <w:sz w:val="20"/>
          <w:szCs w:val="20"/>
          <w:lang w:val="es-ES" w:eastAsia="es-ES"/>
        </w:rPr>
      </w:pPr>
      <w:r w:rsidRPr="0077389E">
        <w:rPr>
          <w:rFonts w:ascii="Cambria" w:hAnsi="Cambria"/>
          <w:i/>
          <w:iCs/>
          <w:color w:val="000000"/>
          <w:sz w:val="20"/>
          <w:szCs w:val="20"/>
          <w:lang w:val="es-ES" w:eastAsia="es-ES"/>
        </w:rPr>
        <w:tab/>
        <w:t>DESEANDO</w:t>
      </w:r>
      <w:r w:rsidRPr="0077389E">
        <w:rPr>
          <w:rFonts w:ascii="Cambria" w:hAnsi="Cambria"/>
          <w:color w:val="000000"/>
          <w:sz w:val="20"/>
          <w:szCs w:val="20"/>
          <w:lang w:val="es-ES" w:eastAsia="es-ES"/>
        </w:rPr>
        <w:t xml:space="preserve"> continuar en busca de formas de mejorar el funcionamiento eficaz de la Comisión, lo que incluye reducir la carga asociada a los requisitos de comunicación de ICCAT, tanto para la Secretaría como para las CPC, así como aumentar el acceso a información valiosa;  </w:t>
      </w:r>
    </w:p>
    <w:p w14:paraId="6582A466" w14:textId="77777777" w:rsidR="00DC687E" w:rsidRPr="0077389E" w:rsidRDefault="00DC687E" w:rsidP="00DC687E">
      <w:pPr>
        <w:jc w:val="center"/>
        <w:rPr>
          <w:rFonts w:ascii="Cambria" w:hAnsi="Cambria"/>
          <w:b/>
          <w:bCs/>
          <w:color w:val="000000"/>
          <w:sz w:val="20"/>
          <w:szCs w:val="20"/>
          <w:lang w:val="es-ES" w:eastAsia="es-ES"/>
        </w:rPr>
      </w:pPr>
    </w:p>
    <w:p w14:paraId="7891E166" w14:textId="77777777" w:rsidR="00B047F4" w:rsidRPr="0077389E" w:rsidRDefault="00DC687E" w:rsidP="00DC687E">
      <w:pPr>
        <w:jc w:val="center"/>
        <w:rPr>
          <w:rFonts w:ascii="Cambria" w:hAnsi="Cambria"/>
          <w:color w:val="000000"/>
          <w:sz w:val="20"/>
          <w:szCs w:val="20"/>
          <w:lang w:val="es-ES" w:eastAsia="es-ES"/>
        </w:rPr>
      </w:pPr>
      <w:r w:rsidRPr="0077389E">
        <w:rPr>
          <w:rFonts w:ascii="Cambria" w:hAnsi="Cambria"/>
          <w:color w:val="000000"/>
          <w:sz w:val="20"/>
          <w:szCs w:val="20"/>
          <w:lang w:val="es-ES" w:eastAsia="es-ES"/>
        </w:rPr>
        <w:t>LA COMISIÓN INTERNACIONAL PARA LA</w:t>
      </w:r>
      <w:r w:rsidR="00B047F4" w:rsidRPr="0077389E">
        <w:rPr>
          <w:rFonts w:ascii="Cambria" w:hAnsi="Cambria"/>
          <w:color w:val="000000"/>
          <w:sz w:val="20"/>
          <w:szCs w:val="20"/>
          <w:lang w:val="es-ES" w:eastAsia="es-ES"/>
        </w:rPr>
        <w:t xml:space="preserve"> </w:t>
      </w:r>
      <w:r w:rsidRPr="0077389E">
        <w:rPr>
          <w:rFonts w:ascii="Cambria" w:hAnsi="Cambria"/>
          <w:color w:val="000000"/>
          <w:sz w:val="20"/>
          <w:szCs w:val="20"/>
          <w:lang w:val="es-ES" w:eastAsia="es-ES"/>
        </w:rPr>
        <w:t>CONSERVACIÓN DEL ATÚN ATLÁNTICO</w:t>
      </w:r>
      <w:r w:rsidR="00B047F4" w:rsidRPr="0077389E">
        <w:rPr>
          <w:rFonts w:ascii="Cambria" w:hAnsi="Cambria"/>
          <w:color w:val="000000"/>
          <w:sz w:val="20"/>
          <w:szCs w:val="20"/>
          <w:lang w:val="es-ES" w:eastAsia="es-ES"/>
        </w:rPr>
        <w:t xml:space="preserve"> (ICCAT) </w:t>
      </w:r>
    </w:p>
    <w:p w14:paraId="27F9F43F" w14:textId="4260044D" w:rsidR="00DC687E" w:rsidRPr="0077389E" w:rsidRDefault="00DC687E" w:rsidP="00DC687E">
      <w:pPr>
        <w:jc w:val="center"/>
        <w:rPr>
          <w:rFonts w:ascii="Cambria" w:hAnsi="Cambria"/>
          <w:color w:val="000000"/>
          <w:sz w:val="20"/>
          <w:szCs w:val="20"/>
          <w:lang w:val="es-ES" w:eastAsia="es-ES"/>
        </w:rPr>
      </w:pPr>
      <w:r w:rsidRPr="0077389E">
        <w:rPr>
          <w:rFonts w:ascii="Cambria" w:hAnsi="Cambria"/>
          <w:color w:val="000000"/>
          <w:sz w:val="20"/>
          <w:szCs w:val="20"/>
          <w:lang w:val="es-ES" w:eastAsia="es-ES"/>
        </w:rPr>
        <w:t>RECOMIENDA LO SIGUIENTE:</w:t>
      </w:r>
    </w:p>
    <w:p w14:paraId="3B1BEBF4" w14:textId="77777777" w:rsidR="00DC687E" w:rsidRPr="0077389E" w:rsidRDefault="00DC687E" w:rsidP="00DC687E">
      <w:pPr>
        <w:rPr>
          <w:rFonts w:ascii="Cambria" w:hAnsi="Cambria"/>
          <w:color w:val="000000"/>
          <w:sz w:val="20"/>
          <w:szCs w:val="20"/>
          <w:lang w:val="es-ES" w:eastAsia="es-ES"/>
        </w:rPr>
      </w:pPr>
    </w:p>
    <w:p w14:paraId="51809DBB" w14:textId="0ABDC80B" w:rsidR="00DC687E" w:rsidRPr="0077389E" w:rsidRDefault="00DC687E" w:rsidP="00DC687E">
      <w:pPr>
        <w:numPr>
          <w:ilvl w:val="0"/>
          <w:numId w:val="1"/>
        </w:numPr>
        <w:ind w:left="426" w:hanging="426"/>
        <w:contextualSpacing/>
        <w:jc w:val="both"/>
        <w:rPr>
          <w:rFonts w:ascii="Cambria" w:hAnsi="Cambria"/>
          <w:color w:val="000000"/>
          <w:sz w:val="20"/>
          <w:szCs w:val="20"/>
          <w:lang w:val="es-ES" w:eastAsia="es-ES"/>
        </w:rPr>
      </w:pPr>
      <w:r w:rsidRPr="0077389E">
        <w:rPr>
          <w:rFonts w:ascii="Cambria" w:hAnsi="Cambria"/>
          <w:color w:val="000000"/>
          <w:sz w:val="20"/>
          <w:szCs w:val="20"/>
          <w:lang w:val="es-ES" w:eastAsia="es-ES"/>
        </w:rPr>
        <w:t>El Grupo de trabajo sobre tecnología de comunicación en línea continuará trabajando virtualmente y se reunirá en el periodo intersesiones</w:t>
      </w:r>
      <w:r w:rsidR="00444519" w:rsidRPr="0077389E">
        <w:rPr>
          <w:rFonts w:ascii="Cambria" w:hAnsi="Cambria"/>
          <w:color w:val="000000"/>
          <w:sz w:val="20"/>
          <w:szCs w:val="20"/>
          <w:lang w:val="es-ES" w:eastAsia="es-ES"/>
        </w:rPr>
        <w:t>,</w:t>
      </w:r>
      <w:r w:rsidRPr="0077389E">
        <w:rPr>
          <w:rFonts w:ascii="Cambria" w:hAnsi="Cambria"/>
          <w:color w:val="000000"/>
          <w:sz w:val="20"/>
          <w:szCs w:val="20"/>
          <w:lang w:val="es-ES" w:eastAsia="es-ES"/>
        </w:rPr>
        <w:t xml:space="preserve"> cuando se requiera</w:t>
      </w:r>
      <w:r w:rsidR="00444519" w:rsidRPr="0077389E">
        <w:rPr>
          <w:rFonts w:ascii="Cambria" w:hAnsi="Cambria"/>
          <w:color w:val="000000"/>
          <w:sz w:val="20"/>
          <w:szCs w:val="20"/>
          <w:lang w:val="es-ES" w:eastAsia="es-ES"/>
        </w:rPr>
        <w:t>,</w:t>
      </w:r>
      <w:r w:rsidRPr="0077389E">
        <w:rPr>
          <w:rFonts w:ascii="Cambria" w:hAnsi="Cambria"/>
          <w:color w:val="000000"/>
          <w:sz w:val="20"/>
          <w:szCs w:val="20"/>
          <w:lang w:val="es-ES" w:eastAsia="es-ES"/>
        </w:rPr>
        <w:t xml:space="preserve"> para desarrollar el sistema integrado de comunicación en línea y completar su plan de trabajo.</w:t>
      </w:r>
    </w:p>
    <w:p w14:paraId="4E2FE9E5" w14:textId="77777777" w:rsidR="00DC687E" w:rsidRPr="0077389E" w:rsidRDefault="00DC687E" w:rsidP="00DC687E">
      <w:pPr>
        <w:ind w:left="720"/>
        <w:contextualSpacing/>
        <w:jc w:val="both"/>
        <w:rPr>
          <w:rFonts w:ascii="Cambria" w:hAnsi="Cambria"/>
          <w:color w:val="000000"/>
          <w:sz w:val="20"/>
          <w:szCs w:val="20"/>
          <w:lang w:val="es-ES" w:eastAsia="es-ES"/>
        </w:rPr>
      </w:pPr>
    </w:p>
    <w:p w14:paraId="1F2CE3AA" w14:textId="32874E91" w:rsidR="00DC687E" w:rsidRPr="0077389E" w:rsidRDefault="00DC687E" w:rsidP="00DC687E">
      <w:pPr>
        <w:numPr>
          <w:ilvl w:val="0"/>
          <w:numId w:val="1"/>
        </w:numPr>
        <w:ind w:left="426" w:hanging="426"/>
        <w:contextualSpacing/>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El Grupo de trabajo continuará activo </w:t>
      </w:r>
      <w:r w:rsidR="00241832" w:rsidRPr="0077389E">
        <w:rPr>
          <w:rFonts w:ascii="Cambria" w:hAnsi="Cambria"/>
          <w:color w:val="000000"/>
          <w:sz w:val="20"/>
          <w:szCs w:val="20"/>
          <w:lang w:val="es-ES" w:eastAsia="es-ES"/>
        </w:rPr>
        <w:t>tras completar su plan de trabajo, que puede ser revisado y modificado cuando sea necesario, y hasta que la Comisión tome otra decisión.</w:t>
      </w:r>
      <w:r w:rsidRPr="0077389E">
        <w:rPr>
          <w:rFonts w:ascii="Cambria" w:hAnsi="Cambria"/>
          <w:color w:val="000000"/>
          <w:sz w:val="20"/>
          <w:szCs w:val="20"/>
          <w:lang w:val="es-ES" w:eastAsia="es-ES"/>
        </w:rPr>
        <w:t xml:space="preserve"> Las tareas del Grupo de trabajo </w:t>
      </w:r>
      <w:r w:rsidR="00241832" w:rsidRPr="0077389E">
        <w:rPr>
          <w:rFonts w:ascii="Cambria" w:hAnsi="Cambria"/>
          <w:color w:val="000000"/>
          <w:sz w:val="20"/>
          <w:szCs w:val="20"/>
          <w:lang w:val="es-ES" w:eastAsia="es-ES"/>
        </w:rPr>
        <w:t>tras haber completado su plan de trabajo serán:</w:t>
      </w:r>
    </w:p>
    <w:p w14:paraId="1826B2B3" w14:textId="77777777" w:rsidR="00DC687E" w:rsidRPr="0077389E" w:rsidRDefault="00DC687E" w:rsidP="00DC687E">
      <w:pPr>
        <w:ind w:left="720"/>
        <w:contextualSpacing/>
        <w:jc w:val="both"/>
        <w:rPr>
          <w:rFonts w:ascii="Cambria" w:hAnsi="Cambria"/>
          <w:color w:val="000000"/>
          <w:sz w:val="20"/>
          <w:szCs w:val="20"/>
          <w:lang w:val="es-ES" w:eastAsia="es-ES"/>
        </w:rPr>
      </w:pPr>
    </w:p>
    <w:p w14:paraId="1FA22A83" w14:textId="1B866A84" w:rsidR="00DC687E" w:rsidRPr="0077389E" w:rsidRDefault="00DC687E" w:rsidP="00B047F4">
      <w:pPr>
        <w:numPr>
          <w:ilvl w:val="0"/>
          <w:numId w:val="2"/>
        </w:numPr>
        <w:spacing w:after="80"/>
        <w:ind w:left="1264" w:right="6" w:hanging="357"/>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supervisar la incorporación en el sistema de comunicación </w:t>
      </w:r>
      <w:r w:rsidR="00241832" w:rsidRPr="0077389E">
        <w:rPr>
          <w:rFonts w:ascii="Cambria" w:hAnsi="Cambria"/>
          <w:color w:val="000000"/>
          <w:sz w:val="20"/>
          <w:szCs w:val="20"/>
          <w:lang w:val="es-ES" w:eastAsia="es-ES"/>
        </w:rPr>
        <w:t>en línea</w:t>
      </w:r>
      <w:r w:rsidRPr="0077389E">
        <w:rPr>
          <w:rFonts w:ascii="Cambria" w:hAnsi="Cambria"/>
          <w:color w:val="000000"/>
          <w:sz w:val="20"/>
          <w:szCs w:val="20"/>
          <w:lang w:val="es-ES" w:eastAsia="es-ES"/>
        </w:rPr>
        <w:t xml:space="preserve"> de cualquier nuevo requisito relacionado con los informes anuales; </w:t>
      </w:r>
    </w:p>
    <w:p w14:paraId="2B45A0E2" w14:textId="77777777" w:rsidR="00DC687E" w:rsidRPr="0077389E" w:rsidRDefault="00DC687E" w:rsidP="00B047F4">
      <w:pPr>
        <w:numPr>
          <w:ilvl w:val="0"/>
          <w:numId w:val="2"/>
        </w:numPr>
        <w:spacing w:after="80"/>
        <w:ind w:left="1264" w:right="6" w:hanging="357"/>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determinar cualquier requisito redundante para el que la comunicación ya no sea necesaria; </w:t>
      </w:r>
    </w:p>
    <w:p w14:paraId="2939C7E8" w14:textId="6361CDEB" w:rsidR="00DC687E" w:rsidRPr="0077389E" w:rsidRDefault="00DC687E" w:rsidP="00B047F4">
      <w:pPr>
        <w:numPr>
          <w:ilvl w:val="0"/>
          <w:numId w:val="2"/>
        </w:numPr>
        <w:spacing w:after="80"/>
        <w:ind w:left="1264" w:right="6" w:hanging="357"/>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con las aportaciones adecuadas de la Comisión, supervisar el desarrollo de módulos adicionales del sistema que cubran otros requisitos de comunicación de ICCAT con el fin de establecer un sistema de comunicación </w:t>
      </w:r>
      <w:r w:rsidR="00241832" w:rsidRPr="0077389E">
        <w:rPr>
          <w:rFonts w:ascii="Cambria" w:hAnsi="Cambria"/>
          <w:color w:val="000000"/>
          <w:sz w:val="20"/>
          <w:szCs w:val="20"/>
          <w:lang w:val="es-ES" w:eastAsia="es-ES"/>
        </w:rPr>
        <w:t>en línea</w:t>
      </w:r>
      <w:r w:rsidRPr="0077389E">
        <w:rPr>
          <w:rFonts w:ascii="Cambria" w:hAnsi="Cambria"/>
          <w:color w:val="000000"/>
          <w:sz w:val="20"/>
          <w:szCs w:val="20"/>
          <w:lang w:val="es-ES" w:eastAsia="es-ES"/>
        </w:rPr>
        <w:t xml:space="preserve"> exhaustivo y plenamente integrado y  </w:t>
      </w:r>
    </w:p>
    <w:p w14:paraId="28B6E5E6" w14:textId="77777777" w:rsidR="00DC687E" w:rsidRPr="0077389E" w:rsidRDefault="00DC687E" w:rsidP="00DC687E">
      <w:pPr>
        <w:numPr>
          <w:ilvl w:val="0"/>
          <w:numId w:val="2"/>
        </w:numPr>
        <w:ind w:right="567"/>
        <w:contextualSpacing/>
        <w:jc w:val="both"/>
        <w:rPr>
          <w:rFonts w:ascii="Cambria" w:hAnsi="Cambria"/>
          <w:color w:val="000000"/>
          <w:sz w:val="20"/>
          <w:szCs w:val="20"/>
          <w:lang w:val="es-ES" w:eastAsia="es-ES"/>
        </w:rPr>
      </w:pPr>
      <w:r w:rsidRPr="0077389E">
        <w:rPr>
          <w:rFonts w:ascii="Cambria" w:hAnsi="Cambria"/>
          <w:color w:val="000000"/>
          <w:sz w:val="20"/>
          <w:szCs w:val="20"/>
          <w:lang w:val="es-ES" w:eastAsia="es-ES"/>
        </w:rPr>
        <w:t>otras tareas que la Comisión pueda identificar.</w:t>
      </w:r>
    </w:p>
    <w:p w14:paraId="0B9E8180" w14:textId="77777777" w:rsidR="00DC687E" w:rsidRPr="0077389E" w:rsidRDefault="00DC687E" w:rsidP="00DC687E">
      <w:pPr>
        <w:ind w:left="680" w:right="567"/>
        <w:contextualSpacing/>
        <w:jc w:val="both"/>
        <w:rPr>
          <w:rFonts w:ascii="Cambria" w:hAnsi="Cambria"/>
          <w:color w:val="000000"/>
          <w:sz w:val="20"/>
          <w:szCs w:val="20"/>
          <w:lang w:val="es-ES" w:eastAsia="es-ES"/>
        </w:rPr>
      </w:pPr>
    </w:p>
    <w:p w14:paraId="5ADAAFEA" w14:textId="77777777" w:rsidR="00DC687E" w:rsidRPr="0077389E" w:rsidRDefault="00DC687E" w:rsidP="00DC687E">
      <w:pPr>
        <w:numPr>
          <w:ilvl w:val="0"/>
          <w:numId w:val="1"/>
        </w:numPr>
        <w:ind w:left="426" w:right="4" w:hanging="426"/>
        <w:contextualSpacing/>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Al realizar dichas tareas, el Grupo de trabajo trabajará en consulta con el SCRS, el Comité de Cumplimiento y cualquier otro organismo subsidiario de la Comisión, si es necesario y adecuado. </w:t>
      </w:r>
    </w:p>
    <w:p w14:paraId="129B887D" w14:textId="77777777" w:rsidR="00DC687E" w:rsidRPr="0077389E" w:rsidRDefault="00DC687E" w:rsidP="00DC687E">
      <w:pPr>
        <w:ind w:left="720" w:right="567"/>
        <w:contextualSpacing/>
        <w:jc w:val="both"/>
        <w:rPr>
          <w:rFonts w:ascii="Cambria" w:hAnsi="Cambria"/>
          <w:color w:val="000000"/>
          <w:sz w:val="20"/>
          <w:szCs w:val="20"/>
          <w:lang w:val="es-ES" w:eastAsia="es-ES"/>
        </w:rPr>
      </w:pPr>
    </w:p>
    <w:p w14:paraId="73CFED23" w14:textId="2BB5F973" w:rsidR="00DC687E" w:rsidRPr="0077389E" w:rsidRDefault="00DC687E" w:rsidP="00DC687E">
      <w:pPr>
        <w:numPr>
          <w:ilvl w:val="0"/>
          <w:numId w:val="1"/>
        </w:numPr>
        <w:ind w:left="426" w:right="4" w:hanging="426"/>
        <w:contextualSpacing/>
        <w:jc w:val="both"/>
        <w:rPr>
          <w:rFonts w:ascii="Cambria" w:hAnsi="Cambria"/>
          <w:color w:val="000000"/>
          <w:sz w:val="20"/>
          <w:szCs w:val="20"/>
          <w:lang w:val="es-ES" w:eastAsia="es-ES"/>
        </w:rPr>
      </w:pPr>
      <w:r w:rsidRPr="0077389E">
        <w:rPr>
          <w:rFonts w:ascii="Cambria" w:hAnsi="Cambria"/>
          <w:color w:val="000000"/>
          <w:sz w:val="20"/>
          <w:szCs w:val="20"/>
          <w:lang w:val="es-ES" w:eastAsia="es-ES"/>
        </w:rPr>
        <w:t xml:space="preserve">El Grupo de trabajo continuará facilitando actualizaciones anuales a la Comisión sobre sus actividades, lo que incluye </w:t>
      </w:r>
      <w:r w:rsidR="00444519" w:rsidRPr="0077389E">
        <w:rPr>
          <w:rFonts w:ascii="Cambria" w:hAnsi="Cambria"/>
          <w:color w:val="000000"/>
          <w:sz w:val="20"/>
          <w:szCs w:val="20"/>
          <w:lang w:val="es-ES" w:eastAsia="es-ES"/>
        </w:rPr>
        <w:t>la presentación de</w:t>
      </w:r>
      <w:r w:rsidRPr="0077389E">
        <w:rPr>
          <w:rFonts w:ascii="Cambria" w:hAnsi="Cambria"/>
          <w:color w:val="000000"/>
          <w:sz w:val="20"/>
          <w:szCs w:val="20"/>
          <w:lang w:val="es-ES" w:eastAsia="es-ES"/>
        </w:rPr>
        <w:t xml:space="preserve"> sus propuestas para el contenido y formato del sistema de comunicación </w:t>
      </w:r>
      <w:r w:rsidR="00444519" w:rsidRPr="0077389E">
        <w:rPr>
          <w:rFonts w:ascii="Cambria" w:hAnsi="Cambria"/>
          <w:color w:val="000000"/>
          <w:sz w:val="20"/>
          <w:szCs w:val="20"/>
          <w:lang w:val="es-ES" w:eastAsia="es-ES"/>
        </w:rPr>
        <w:t>en línea</w:t>
      </w:r>
      <w:r w:rsidR="00057AA6" w:rsidRPr="0077389E">
        <w:rPr>
          <w:rFonts w:ascii="Cambria" w:hAnsi="Cambria"/>
          <w:color w:val="000000"/>
          <w:sz w:val="20"/>
          <w:szCs w:val="20"/>
          <w:lang w:val="es-ES" w:eastAsia="es-ES"/>
        </w:rPr>
        <w:t xml:space="preserve"> </w:t>
      </w:r>
      <w:r w:rsidRPr="0077389E">
        <w:rPr>
          <w:rFonts w:ascii="Cambria" w:hAnsi="Cambria"/>
          <w:color w:val="000000"/>
          <w:sz w:val="20"/>
          <w:szCs w:val="20"/>
          <w:lang w:val="es-ES" w:eastAsia="es-ES"/>
        </w:rPr>
        <w:t>y para módulos relacionados</w:t>
      </w:r>
      <w:r w:rsidR="00057AA6" w:rsidRPr="0077389E">
        <w:rPr>
          <w:rFonts w:ascii="Cambria" w:hAnsi="Cambria"/>
          <w:color w:val="000000"/>
          <w:sz w:val="20"/>
          <w:szCs w:val="20"/>
          <w:lang w:val="es-ES" w:eastAsia="es-ES"/>
        </w:rPr>
        <w:t xml:space="preserve">, </w:t>
      </w:r>
      <w:r w:rsidRPr="0077389E">
        <w:rPr>
          <w:rFonts w:ascii="Cambria" w:hAnsi="Cambria"/>
          <w:color w:val="000000"/>
          <w:sz w:val="20"/>
          <w:szCs w:val="20"/>
          <w:lang w:val="es-ES" w:eastAsia="es-ES"/>
        </w:rPr>
        <w:t>con miras a que la Comisión las considere</w:t>
      </w:r>
      <w:r w:rsidR="00EB1541" w:rsidRPr="0077389E">
        <w:rPr>
          <w:rFonts w:ascii="Cambria" w:hAnsi="Cambria"/>
          <w:color w:val="000000"/>
          <w:sz w:val="20"/>
          <w:szCs w:val="20"/>
          <w:lang w:val="es-ES" w:eastAsia="es-ES"/>
        </w:rPr>
        <w:t xml:space="preserve">, con el fin de aportar </w:t>
      </w:r>
      <w:r w:rsidRPr="0077389E">
        <w:rPr>
          <w:rFonts w:ascii="Cambria" w:hAnsi="Cambria"/>
          <w:color w:val="000000"/>
          <w:sz w:val="20"/>
          <w:szCs w:val="20"/>
          <w:lang w:val="es-ES" w:eastAsia="es-ES"/>
        </w:rPr>
        <w:t>información a</w:t>
      </w:r>
      <w:r w:rsidR="00444519" w:rsidRPr="0077389E">
        <w:rPr>
          <w:rFonts w:ascii="Cambria" w:hAnsi="Cambria"/>
          <w:color w:val="000000"/>
          <w:sz w:val="20"/>
          <w:szCs w:val="20"/>
          <w:lang w:val="es-ES" w:eastAsia="es-ES"/>
        </w:rPr>
        <w:t xml:space="preserve">l </w:t>
      </w:r>
      <w:r w:rsidRPr="0077389E">
        <w:rPr>
          <w:rFonts w:ascii="Cambria" w:hAnsi="Cambria"/>
          <w:color w:val="000000"/>
          <w:sz w:val="20"/>
          <w:szCs w:val="20"/>
          <w:lang w:val="es-ES" w:eastAsia="es-ES"/>
        </w:rPr>
        <w:t>diseño y desarrollo.</w:t>
      </w:r>
    </w:p>
    <w:p w14:paraId="0AC94DBB" w14:textId="77777777" w:rsidR="00DC687E" w:rsidRPr="0077389E" w:rsidRDefault="00DC687E" w:rsidP="00DC687E">
      <w:pPr>
        <w:ind w:left="426" w:right="4"/>
        <w:contextualSpacing/>
        <w:jc w:val="both"/>
        <w:rPr>
          <w:rFonts w:ascii="Cambria" w:hAnsi="Cambria"/>
          <w:color w:val="000000"/>
          <w:sz w:val="20"/>
          <w:szCs w:val="20"/>
          <w:lang w:val="es-ES" w:eastAsia="es-ES"/>
        </w:rPr>
      </w:pPr>
    </w:p>
    <w:p w14:paraId="63140E6A" w14:textId="39C9AEEF" w:rsidR="00956E2A" w:rsidRPr="0077389E" w:rsidRDefault="00DC687E" w:rsidP="00DC687E">
      <w:pPr>
        <w:numPr>
          <w:ilvl w:val="0"/>
          <w:numId w:val="1"/>
        </w:numPr>
        <w:ind w:left="426" w:right="4" w:hanging="426"/>
        <w:contextualSpacing/>
        <w:jc w:val="both"/>
        <w:rPr>
          <w:lang w:val="es-ES"/>
        </w:rPr>
      </w:pPr>
      <w:r w:rsidRPr="0077389E">
        <w:rPr>
          <w:rFonts w:ascii="Cambria" w:hAnsi="Cambria"/>
          <w:sz w:val="20"/>
          <w:szCs w:val="20"/>
          <w:lang w:val="es-ES" w:eastAsia="es-ES"/>
        </w:rPr>
        <w:t xml:space="preserve">Esta Recomendación complementa la </w:t>
      </w:r>
      <w:r w:rsidRPr="0077389E">
        <w:rPr>
          <w:rFonts w:ascii="Cambria" w:hAnsi="Cambria"/>
          <w:i/>
          <w:iCs/>
          <w:sz w:val="20"/>
          <w:szCs w:val="20"/>
          <w:lang w:val="es-ES" w:eastAsia="es-ES"/>
        </w:rPr>
        <w:t xml:space="preserve">Recomendación de ICCAT para el desarrollo de un sistema de comunicación on line </w:t>
      </w:r>
      <w:r w:rsidRPr="0077389E">
        <w:rPr>
          <w:rFonts w:ascii="Cambria" w:hAnsi="Cambria"/>
          <w:sz w:val="20"/>
          <w:szCs w:val="20"/>
          <w:lang w:val="es-ES" w:eastAsia="es-ES"/>
        </w:rPr>
        <w:t>[Rec. 16-19]</w:t>
      </w:r>
      <w:bookmarkStart w:id="0" w:name="_Hlk31357816"/>
      <w:r w:rsidR="00241832" w:rsidRPr="0077389E">
        <w:rPr>
          <w:rFonts w:ascii="Cambria" w:hAnsi="Cambria"/>
          <w:sz w:val="20"/>
          <w:szCs w:val="20"/>
          <w:lang w:val="es-ES" w:eastAsia="es-ES"/>
        </w:rPr>
        <w:t xml:space="preserve"> y deroga y sustituye la </w:t>
      </w:r>
      <w:r w:rsidR="00241832" w:rsidRPr="0077389E">
        <w:rPr>
          <w:rFonts w:ascii="Cambria" w:hAnsi="Cambria"/>
          <w:i/>
          <w:iCs/>
          <w:sz w:val="20"/>
          <w:szCs w:val="20"/>
          <w:lang w:val="es-ES" w:eastAsia="es-ES"/>
        </w:rPr>
        <w:t xml:space="preserve">Recomendación de ICCAT para continuar el desarrollo de un sistema integrado de comunicación </w:t>
      </w:r>
      <w:r w:rsidR="00444519" w:rsidRPr="0077389E">
        <w:rPr>
          <w:rFonts w:ascii="Cambria" w:hAnsi="Cambria"/>
          <w:i/>
          <w:iCs/>
          <w:sz w:val="20"/>
          <w:szCs w:val="20"/>
          <w:lang w:val="es-ES" w:eastAsia="es-ES"/>
        </w:rPr>
        <w:t>on line</w:t>
      </w:r>
      <w:r w:rsidR="00241832" w:rsidRPr="0077389E">
        <w:rPr>
          <w:rFonts w:ascii="Cambria" w:hAnsi="Cambria"/>
          <w:sz w:val="20"/>
          <w:szCs w:val="20"/>
          <w:lang w:val="es-ES" w:eastAsia="es-ES"/>
        </w:rPr>
        <w:t xml:space="preserve"> (Rec. 19-12).</w:t>
      </w:r>
      <w:bookmarkEnd w:id="0"/>
    </w:p>
    <w:sectPr w:rsidR="00956E2A" w:rsidRPr="007738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B5F9" w14:textId="77777777" w:rsidR="00F6681B" w:rsidRDefault="00F6681B" w:rsidP="00DC687E">
      <w:r>
        <w:separator/>
      </w:r>
    </w:p>
  </w:endnote>
  <w:endnote w:type="continuationSeparator" w:id="0">
    <w:p w14:paraId="49A0B792" w14:textId="77777777" w:rsidR="00F6681B" w:rsidRDefault="00F6681B" w:rsidP="00DC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550"/>
      <w:docPartObj>
        <w:docPartGallery w:val="Page Numbers (Bottom of Page)"/>
        <w:docPartUnique/>
      </w:docPartObj>
    </w:sdtPr>
    <w:sdtEndPr>
      <w:rPr>
        <w:rFonts w:asciiTheme="majorHAnsi" w:hAnsiTheme="majorHAnsi"/>
        <w:sz w:val="20"/>
        <w:szCs w:val="20"/>
      </w:rPr>
    </w:sdtEndPr>
    <w:sdtContent>
      <w:sdt>
        <w:sdtPr>
          <w:id w:val="-1705238520"/>
          <w:docPartObj>
            <w:docPartGallery w:val="Page Numbers (Top of Page)"/>
            <w:docPartUnique/>
          </w:docPartObj>
        </w:sdtPr>
        <w:sdtEndPr>
          <w:rPr>
            <w:rFonts w:asciiTheme="majorHAnsi" w:hAnsiTheme="majorHAnsi"/>
            <w:sz w:val="20"/>
            <w:szCs w:val="20"/>
          </w:rPr>
        </w:sdtEndPr>
        <w:sdtContent>
          <w:p w14:paraId="64676625" w14:textId="4E331F91" w:rsidR="00241832" w:rsidRPr="00241832" w:rsidRDefault="00241832" w:rsidP="003725EC">
            <w:pPr>
              <w:pStyle w:val="Footer"/>
              <w:jc w:val="center"/>
              <w:rPr>
                <w:rFonts w:ascii="Cambria" w:hAnsi="Cambria"/>
                <w:sz w:val="20"/>
                <w:szCs w:val="20"/>
              </w:rPr>
            </w:pPr>
            <w:r w:rsidRPr="00241832">
              <w:rPr>
                <w:rFonts w:ascii="Cambria" w:hAnsi="Cambria"/>
                <w:sz w:val="20"/>
                <w:szCs w:val="20"/>
                <w:lang w:val="es-ES_tradnl"/>
              </w:rPr>
              <w:fldChar w:fldCharType="begin"/>
            </w:r>
            <w:r w:rsidRPr="00241832">
              <w:rPr>
                <w:rFonts w:ascii="Cambria" w:hAnsi="Cambria"/>
                <w:sz w:val="20"/>
                <w:szCs w:val="20"/>
                <w:lang w:val="es-ES_tradnl"/>
              </w:rPr>
              <w:instrText xml:space="preserve"> PAGE </w:instrText>
            </w:r>
            <w:r w:rsidRPr="00241832">
              <w:rPr>
                <w:rFonts w:ascii="Cambria" w:hAnsi="Cambria"/>
                <w:sz w:val="20"/>
                <w:szCs w:val="20"/>
                <w:lang w:val="es-ES_tradnl"/>
              </w:rPr>
              <w:fldChar w:fldCharType="separate"/>
            </w:r>
            <w:r w:rsidRPr="00241832">
              <w:rPr>
                <w:rFonts w:ascii="Cambria" w:hAnsi="Cambria"/>
                <w:noProof/>
                <w:sz w:val="20"/>
                <w:szCs w:val="20"/>
                <w:lang w:val="es-ES_tradnl"/>
              </w:rPr>
              <w:t>1</w:t>
            </w:r>
            <w:r w:rsidRPr="00241832">
              <w:rPr>
                <w:rFonts w:ascii="Cambria" w:hAnsi="Cambria"/>
                <w:sz w:val="20"/>
                <w:szCs w:val="20"/>
                <w:lang w:val="es-ES_tradnl"/>
              </w:rPr>
              <w:fldChar w:fldCharType="end"/>
            </w:r>
            <w:r w:rsidRPr="00241832">
              <w:rPr>
                <w:rFonts w:ascii="Cambria" w:hAnsi="Cambria"/>
                <w:sz w:val="20"/>
                <w:szCs w:val="20"/>
                <w:lang w:val="es-ES_tradnl"/>
              </w:rPr>
              <w:t xml:space="preserve"> </w:t>
            </w:r>
          </w:p>
        </w:sdtContent>
      </w:sdt>
    </w:sdtContent>
  </w:sdt>
  <w:p w14:paraId="79EDF896" w14:textId="05713E15" w:rsidR="00241832" w:rsidRPr="00241832" w:rsidRDefault="00241832">
    <w:pPr>
      <w:pStyle w:val="Footer"/>
      <w:rPr>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0D71" w14:textId="77777777" w:rsidR="00F6681B" w:rsidRDefault="00F6681B" w:rsidP="00DC687E">
      <w:r>
        <w:separator/>
      </w:r>
    </w:p>
  </w:footnote>
  <w:footnote w:type="continuationSeparator" w:id="0">
    <w:p w14:paraId="1B6DCBF1" w14:textId="77777777" w:rsidR="00F6681B" w:rsidRDefault="00F6681B" w:rsidP="00DC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13F72"/>
    <w:multiLevelType w:val="hybridMultilevel"/>
    <w:tmpl w:val="E0B881B6"/>
    <w:lvl w:ilvl="0" w:tplc="6E3A1DF0">
      <w:start w:val="1"/>
      <w:numFmt w:val="lowerLetter"/>
      <w:lvlText w:val="%1)"/>
      <w:lvlJc w:val="left"/>
      <w:pPr>
        <w:ind w:left="1267" w:hanging="360"/>
      </w:pPr>
      <w:rPr>
        <w:rFonts w:cs="Times New Roman" w:hint="default"/>
      </w:rPr>
    </w:lvl>
    <w:lvl w:ilvl="1" w:tplc="0C0A0019" w:tentative="1">
      <w:start w:val="1"/>
      <w:numFmt w:val="lowerLetter"/>
      <w:lvlText w:val="%2."/>
      <w:lvlJc w:val="left"/>
      <w:pPr>
        <w:ind w:left="1987" w:hanging="360"/>
      </w:pPr>
      <w:rPr>
        <w:rFonts w:cs="Times New Roman"/>
      </w:rPr>
    </w:lvl>
    <w:lvl w:ilvl="2" w:tplc="0C0A001B" w:tentative="1">
      <w:start w:val="1"/>
      <w:numFmt w:val="lowerRoman"/>
      <w:lvlText w:val="%3."/>
      <w:lvlJc w:val="right"/>
      <w:pPr>
        <w:ind w:left="2707" w:hanging="180"/>
      </w:pPr>
      <w:rPr>
        <w:rFonts w:cs="Times New Roman"/>
      </w:rPr>
    </w:lvl>
    <w:lvl w:ilvl="3" w:tplc="0C0A000F" w:tentative="1">
      <w:start w:val="1"/>
      <w:numFmt w:val="decimal"/>
      <w:lvlText w:val="%4."/>
      <w:lvlJc w:val="left"/>
      <w:pPr>
        <w:ind w:left="3427" w:hanging="360"/>
      </w:pPr>
      <w:rPr>
        <w:rFonts w:cs="Times New Roman"/>
      </w:rPr>
    </w:lvl>
    <w:lvl w:ilvl="4" w:tplc="0C0A0019" w:tentative="1">
      <w:start w:val="1"/>
      <w:numFmt w:val="lowerLetter"/>
      <w:lvlText w:val="%5."/>
      <w:lvlJc w:val="left"/>
      <w:pPr>
        <w:ind w:left="4147" w:hanging="360"/>
      </w:pPr>
      <w:rPr>
        <w:rFonts w:cs="Times New Roman"/>
      </w:rPr>
    </w:lvl>
    <w:lvl w:ilvl="5" w:tplc="0C0A001B" w:tentative="1">
      <w:start w:val="1"/>
      <w:numFmt w:val="lowerRoman"/>
      <w:lvlText w:val="%6."/>
      <w:lvlJc w:val="right"/>
      <w:pPr>
        <w:ind w:left="4867" w:hanging="180"/>
      </w:pPr>
      <w:rPr>
        <w:rFonts w:cs="Times New Roman"/>
      </w:rPr>
    </w:lvl>
    <w:lvl w:ilvl="6" w:tplc="0C0A000F" w:tentative="1">
      <w:start w:val="1"/>
      <w:numFmt w:val="decimal"/>
      <w:lvlText w:val="%7."/>
      <w:lvlJc w:val="left"/>
      <w:pPr>
        <w:ind w:left="5587" w:hanging="360"/>
      </w:pPr>
      <w:rPr>
        <w:rFonts w:cs="Times New Roman"/>
      </w:rPr>
    </w:lvl>
    <w:lvl w:ilvl="7" w:tplc="0C0A0019" w:tentative="1">
      <w:start w:val="1"/>
      <w:numFmt w:val="lowerLetter"/>
      <w:lvlText w:val="%8."/>
      <w:lvlJc w:val="left"/>
      <w:pPr>
        <w:ind w:left="6307" w:hanging="360"/>
      </w:pPr>
      <w:rPr>
        <w:rFonts w:cs="Times New Roman"/>
      </w:rPr>
    </w:lvl>
    <w:lvl w:ilvl="8" w:tplc="0C0A001B" w:tentative="1">
      <w:start w:val="1"/>
      <w:numFmt w:val="lowerRoman"/>
      <w:lvlText w:val="%9."/>
      <w:lvlJc w:val="right"/>
      <w:pPr>
        <w:ind w:left="7027" w:hanging="180"/>
      </w:pPr>
      <w:rPr>
        <w:rFonts w:cs="Times New Roman"/>
      </w:rPr>
    </w:lvl>
  </w:abstractNum>
  <w:abstractNum w:abstractNumId="1" w15:restartNumberingAfterBreak="0">
    <w:nsid w:val="4BED0372"/>
    <w:multiLevelType w:val="hybridMultilevel"/>
    <w:tmpl w:val="252A0534"/>
    <w:lvl w:ilvl="0" w:tplc="F0B26E8C">
      <w:start w:val="1"/>
      <w:numFmt w:val="decimal"/>
      <w:lvlText w:val="%1."/>
      <w:lvlJc w:val="left"/>
      <w:pPr>
        <w:ind w:left="720" w:hanging="360"/>
      </w:pPr>
      <w:rPr>
        <w:rFonts w:ascii="Cambria" w:hAnsi="Cambria" w:cs="Times New Roman" w:hint="default"/>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7E"/>
    <w:rsid w:val="00004F27"/>
    <w:rsid w:val="00057AA6"/>
    <w:rsid w:val="000A2965"/>
    <w:rsid w:val="0018071E"/>
    <w:rsid w:val="00241832"/>
    <w:rsid w:val="00444519"/>
    <w:rsid w:val="005974A0"/>
    <w:rsid w:val="005A2516"/>
    <w:rsid w:val="0061653B"/>
    <w:rsid w:val="00636589"/>
    <w:rsid w:val="0067414F"/>
    <w:rsid w:val="0077389E"/>
    <w:rsid w:val="007E4260"/>
    <w:rsid w:val="008144DC"/>
    <w:rsid w:val="00884995"/>
    <w:rsid w:val="00956E2A"/>
    <w:rsid w:val="00B047F4"/>
    <w:rsid w:val="00B425CB"/>
    <w:rsid w:val="00BE270F"/>
    <w:rsid w:val="00C732A9"/>
    <w:rsid w:val="00DC687E"/>
    <w:rsid w:val="00E4150C"/>
    <w:rsid w:val="00EB1541"/>
    <w:rsid w:val="00F6681B"/>
    <w:rsid w:val="00F9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D6A5"/>
  <w15:chartTrackingRefBased/>
  <w15:docId w15:val="{359FAEDF-CB3D-48AD-995D-2CC1B9B5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7E"/>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qFormat/>
    <w:rsid w:val="00884995"/>
    <w:pPr>
      <w:keepNext/>
      <w:jc w:val="center"/>
      <w:outlineLvl w:val="4"/>
    </w:pPr>
    <w:rPr>
      <w:b/>
      <w:bC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87E"/>
    <w:pPr>
      <w:tabs>
        <w:tab w:val="center" w:pos="4680"/>
        <w:tab w:val="right" w:pos="9360"/>
      </w:tabs>
    </w:pPr>
  </w:style>
  <w:style w:type="character" w:customStyle="1" w:styleId="HeaderChar">
    <w:name w:val="Header Char"/>
    <w:basedOn w:val="DefaultParagraphFont"/>
    <w:link w:val="Header"/>
    <w:uiPriority w:val="99"/>
    <w:rsid w:val="00DC68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C687E"/>
    <w:pPr>
      <w:tabs>
        <w:tab w:val="center" w:pos="4680"/>
        <w:tab w:val="right" w:pos="9360"/>
      </w:tabs>
    </w:pPr>
  </w:style>
  <w:style w:type="character" w:customStyle="1" w:styleId="FooterChar">
    <w:name w:val="Footer Char"/>
    <w:basedOn w:val="DefaultParagraphFont"/>
    <w:link w:val="Footer"/>
    <w:uiPriority w:val="99"/>
    <w:rsid w:val="00DC687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C687E"/>
    <w:pPr>
      <w:ind w:left="720"/>
      <w:contextualSpacing/>
    </w:pPr>
  </w:style>
  <w:style w:type="character" w:customStyle="1" w:styleId="Heading5Char">
    <w:name w:val="Heading 5 Char"/>
    <w:basedOn w:val="DefaultParagraphFont"/>
    <w:link w:val="Heading5"/>
    <w:rsid w:val="00884995"/>
    <w:rPr>
      <w:rFonts w:ascii="Times New Roman" w:eastAsia="Times New Roman" w:hAnsi="Times New Roman" w:cs="Times New Roman"/>
      <w:b/>
      <w:bCs/>
      <w:sz w:val="28"/>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6BEB-1959-49A9-A07D-EE2060FE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484</Words>
  <Characters>2512</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11</cp:revision>
  <dcterms:created xsi:type="dcterms:W3CDTF">2021-10-20T07:46:00Z</dcterms:created>
  <dcterms:modified xsi:type="dcterms:W3CDTF">2021-12-16T09:51:00Z</dcterms:modified>
</cp:coreProperties>
</file>