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47B5" w14:textId="02C4A239" w:rsidR="001076BF" w:rsidRPr="003025EE" w:rsidRDefault="00E95578" w:rsidP="00E95578">
      <w:pPr>
        <w:pBdr>
          <w:top w:val="double" w:sz="4" w:space="1" w:color="auto"/>
          <w:left w:val="double" w:sz="4" w:space="4" w:color="auto"/>
          <w:bottom w:val="double" w:sz="4" w:space="1" w:color="auto"/>
          <w:right w:val="double" w:sz="4" w:space="4" w:color="auto"/>
        </w:pBdr>
        <w:ind w:left="8505" w:hanging="8505"/>
        <w:contextualSpacing/>
        <w:rPr>
          <w:rFonts w:ascii="Cambria" w:hAnsi="Cambria"/>
          <w:b/>
          <w:sz w:val="20"/>
          <w:szCs w:val="20"/>
          <w:lang w:val="fr-FR"/>
        </w:rPr>
      </w:pPr>
      <w:r w:rsidRPr="003025EE">
        <w:rPr>
          <w:rFonts w:ascii="Cambria" w:hAnsi="Cambria"/>
          <w:b/>
          <w:sz w:val="20"/>
          <w:szCs w:val="20"/>
          <w:lang w:val="fr-FR"/>
        </w:rPr>
        <w:t>21-</w:t>
      </w:r>
      <w:r w:rsidR="002F3A35" w:rsidRPr="003025EE">
        <w:rPr>
          <w:rFonts w:ascii="Cambria" w:hAnsi="Cambria"/>
          <w:b/>
          <w:sz w:val="20"/>
          <w:szCs w:val="20"/>
          <w:lang w:val="fr-FR"/>
        </w:rPr>
        <w:t>20</w:t>
      </w:r>
      <w:r w:rsidRPr="003025EE">
        <w:rPr>
          <w:rFonts w:ascii="Cambria" w:hAnsi="Cambria"/>
          <w:b/>
          <w:sz w:val="20"/>
          <w:szCs w:val="20"/>
          <w:lang w:val="fr-FR"/>
        </w:rPr>
        <w:tab/>
        <w:t>TOR</w:t>
      </w:r>
    </w:p>
    <w:p w14:paraId="2F9FA340" w14:textId="77777777" w:rsidR="006856CB" w:rsidRPr="003025EE" w:rsidRDefault="006856CB" w:rsidP="00E95578">
      <w:pPr>
        <w:pBdr>
          <w:top w:val="double" w:sz="4" w:space="1" w:color="auto"/>
          <w:left w:val="double" w:sz="4" w:space="4" w:color="auto"/>
          <w:bottom w:val="double" w:sz="4" w:space="1" w:color="auto"/>
          <w:right w:val="double" w:sz="4" w:space="4" w:color="auto"/>
        </w:pBdr>
        <w:contextualSpacing/>
        <w:jc w:val="center"/>
        <w:rPr>
          <w:rFonts w:ascii="Cambria" w:hAnsi="Cambria"/>
          <w:b/>
          <w:sz w:val="20"/>
          <w:szCs w:val="20"/>
          <w:lang w:val="fr-FR"/>
        </w:rPr>
      </w:pPr>
    </w:p>
    <w:p w14:paraId="7592A7AB" w14:textId="1FD9F800" w:rsidR="001076BF" w:rsidRPr="003025EE" w:rsidRDefault="001076BF" w:rsidP="00E95578">
      <w:pPr>
        <w:pBdr>
          <w:top w:val="double" w:sz="4" w:space="1" w:color="auto"/>
          <w:left w:val="double" w:sz="4" w:space="4" w:color="auto"/>
          <w:bottom w:val="double" w:sz="4" w:space="1" w:color="auto"/>
          <w:right w:val="double" w:sz="4" w:space="4" w:color="auto"/>
        </w:pBdr>
        <w:contextualSpacing/>
        <w:jc w:val="center"/>
        <w:rPr>
          <w:rFonts w:ascii="Cambria" w:hAnsi="Cambria"/>
          <w:b/>
          <w:sz w:val="20"/>
          <w:szCs w:val="20"/>
          <w:lang w:val="fr-FR"/>
        </w:rPr>
      </w:pPr>
      <w:r w:rsidRPr="003025EE">
        <w:rPr>
          <w:rFonts w:ascii="Cambria" w:hAnsi="Cambria"/>
          <w:b/>
          <w:sz w:val="20"/>
          <w:szCs w:val="20"/>
          <w:lang w:val="fr-FR"/>
        </w:rPr>
        <w:t xml:space="preserve">RECOMMANDATION DE L’ICCAT VISANT À POURSUIVRE L'ÉLABORATION D'UN SYSTÈME </w:t>
      </w:r>
      <w:r w:rsidR="007221E0" w:rsidRPr="003025EE">
        <w:rPr>
          <w:rFonts w:ascii="Cambria" w:hAnsi="Cambria"/>
          <w:b/>
          <w:sz w:val="20"/>
          <w:szCs w:val="20"/>
          <w:lang w:val="fr-FR"/>
        </w:rPr>
        <w:t xml:space="preserve">INTÉGRÉ </w:t>
      </w:r>
      <w:r w:rsidRPr="003025EE">
        <w:rPr>
          <w:rFonts w:ascii="Cambria" w:hAnsi="Cambria"/>
          <w:b/>
          <w:sz w:val="20"/>
          <w:szCs w:val="20"/>
          <w:lang w:val="fr-FR"/>
        </w:rPr>
        <w:t>DE DÉCLARATION EN LIGNE</w:t>
      </w:r>
    </w:p>
    <w:p w14:paraId="080BDF1C" w14:textId="77777777" w:rsidR="006856CB" w:rsidRPr="003025EE" w:rsidRDefault="006856CB" w:rsidP="00E95578">
      <w:pPr>
        <w:pBdr>
          <w:top w:val="double" w:sz="4" w:space="1" w:color="auto"/>
          <w:left w:val="double" w:sz="4" w:space="4" w:color="auto"/>
          <w:bottom w:val="double" w:sz="4" w:space="1" w:color="auto"/>
          <w:right w:val="double" w:sz="4" w:space="4" w:color="auto"/>
        </w:pBdr>
        <w:contextualSpacing/>
        <w:jc w:val="center"/>
        <w:rPr>
          <w:rFonts w:ascii="Cambria" w:hAnsi="Cambria"/>
          <w:b/>
          <w:sz w:val="20"/>
          <w:szCs w:val="20"/>
          <w:lang w:val="fr-FR"/>
        </w:rPr>
      </w:pPr>
    </w:p>
    <w:p w14:paraId="1334AD85" w14:textId="77777777" w:rsidR="00FF4ECC" w:rsidRPr="003025EE" w:rsidRDefault="00FF4ECC" w:rsidP="001076BF">
      <w:pPr>
        <w:ind w:firstLine="426"/>
        <w:rPr>
          <w:rFonts w:ascii="Cambria" w:hAnsi="Cambria"/>
          <w:i/>
          <w:iCs/>
          <w:sz w:val="20"/>
          <w:szCs w:val="20"/>
          <w:lang w:val="fr-FR"/>
        </w:rPr>
      </w:pPr>
    </w:p>
    <w:p w14:paraId="6071766C" w14:textId="77777777" w:rsidR="001076BF" w:rsidRPr="003025EE" w:rsidRDefault="001076BF" w:rsidP="001076BF">
      <w:pPr>
        <w:ind w:firstLine="426"/>
        <w:jc w:val="both"/>
        <w:rPr>
          <w:rFonts w:ascii="Cambria" w:hAnsi="Cambria"/>
          <w:sz w:val="20"/>
          <w:szCs w:val="20"/>
          <w:lang w:val="fr-FR"/>
        </w:rPr>
      </w:pPr>
      <w:r w:rsidRPr="003025EE">
        <w:rPr>
          <w:rFonts w:ascii="Cambria" w:hAnsi="Cambria"/>
          <w:i/>
          <w:iCs/>
          <w:sz w:val="20"/>
          <w:szCs w:val="20"/>
          <w:lang w:val="fr-FR"/>
        </w:rPr>
        <w:t>RAPPELANT</w:t>
      </w:r>
      <w:r w:rsidRPr="003025EE">
        <w:rPr>
          <w:rFonts w:ascii="Cambria" w:hAnsi="Cambria"/>
          <w:sz w:val="20"/>
          <w:szCs w:val="20"/>
          <w:lang w:val="fr-FR"/>
        </w:rPr>
        <w:t xml:space="preserve"> la </w:t>
      </w:r>
      <w:r w:rsidRPr="003025EE">
        <w:rPr>
          <w:rFonts w:ascii="Cambria" w:hAnsi="Cambria"/>
          <w:i/>
          <w:iCs/>
          <w:sz w:val="20"/>
          <w:szCs w:val="20"/>
          <w:lang w:val="fr-FR"/>
        </w:rPr>
        <w:t>Recommandation de l’ICCAT concernant l'élaboration d'un système de déclaration en ligne</w:t>
      </w:r>
      <w:r w:rsidRPr="003025EE">
        <w:rPr>
          <w:rFonts w:ascii="Cambria" w:hAnsi="Cambria"/>
          <w:sz w:val="20"/>
          <w:szCs w:val="20"/>
          <w:lang w:val="fr-FR"/>
        </w:rPr>
        <w:t xml:space="preserve"> (Rec. 16-19) adoptée par la Commission en 2016 ; </w:t>
      </w:r>
    </w:p>
    <w:p w14:paraId="7BD8E44C" w14:textId="77777777" w:rsidR="001076BF" w:rsidRPr="003025EE" w:rsidRDefault="001076BF" w:rsidP="001076BF">
      <w:pPr>
        <w:ind w:firstLine="426"/>
        <w:jc w:val="both"/>
        <w:rPr>
          <w:rFonts w:ascii="Cambria" w:hAnsi="Cambria"/>
          <w:sz w:val="20"/>
          <w:szCs w:val="20"/>
          <w:lang w:val="fr-FR"/>
        </w:rPr>
      </w:pPr>
    </w:p>
    <w:p w14:paraId="4ABB3A5C" w14:textId="77777777" w:rsidR="001076BF" w:rsidRPr="003025EE" w:rsidRDefault="001076BF" w:rsidP="001076BF">
      <w:pPr>
        <w:ind w:firstLine="426"/>
        <w:jc w:val="both"/>
        <w:rPr>
          <w:rFonts w:ascii="Cambria" w:hAnsi="Cambria"/>
          <w:color w:val="000000"/>
          <w:sz w:val="20"/>
          <w:szCs w:val="20"/>
          <w:lang w:val="fr-FR"/>
        </w:rPr>
      </w:pPr>
      <w:r w:rsidRPr="003025EE">
        <w:rPr>
          <w:rFonts w:ascii="Cambria" w:hAnsi="Cambria"/>
          <w:i/>
          <w:iCs/>
          <w:color w:val="000000"/>
          <w:sz w:val="20"/>
          <w:szCs w:val="20"/>
          <w:lang w:val="fr-FR"/>
        </w:rPr>
        <w:t>NOTANT</w:t>
      </w:r>
      <w:r w:rsidRPr="003025EE">
        <w:rPr>
          <w:rFonts w:ascii="Cambria" w:hAnsi="Cambria"/>
          <w:color w:val="000000"/>
          <w:sz w:val="20"/>
          <w:szCs w:val="20"/>
          <w:lang w:val="fr-FR"/>
        </w:rPr>
        <w:t xml:space="preserve"> que les exigences de la Commission en matière de déclaration sont nombreuses et évoluent au fil du temps et que tout système de ce type doit, du fait de sa nature, avoir une large portée et être dynamique ; </w:t>
      </w:r>
    </w:p>
    <w:p w14:paraId="0BBAB3EA" w14:textId="77777777" w:rsidR="001076BF" w:rsidRPr="003025EE" w:rsidRDefault="001076BF" w:rsidP="001076BF">
      <w:pPr>
        <w:ind w:firstLine="426"/>
        <w:jc w:val="both"/>
        <w:rPr>
          <w:rFonts w:ascii="Cambria" w:hAnsi="Cambria"/>
          <w:color w:val="000000"/>
          <w:sz w:val="20"/>
          <w:szCs w:val="20"/>
          <w:lang w:val="fr-FR"/>
        </w:rPr>
      </w:pPr>
    </w:p>
    <w:p w14:paraId="1494DF58" w14:textId="77777777" w:rsidR="001076BF" w:rsidRPr="003025EE" w:rsidRDefault="001076BF" w:rsidP="001076BF">
      <w:pPr>
        <w:ind w:firstLine="426"/>
        <w:jc w:val="both"/>
        <w:rPr>
          <w:rFonts w:ascii="Cambria" w:hAnsi="Cambria"/>
          <w:color w:val="000000"/>
          <w:sz w:val="20"/>
          <w:szCs w:val="20"/>
          <w:lang w:val="fr-FR"/>
        </w:rPr>
      </w:pPr>
      <w:r w:rsidRPr="003025EE">
        <w:rPr>
          <w:rFonts w:ascii="Cambria" w:hAnsi="Cambria"/>
          <w:i/>
          <w:iCs/>
          <w:sz w:val="20"/>
          <w:szCs w:val="20"/>
          <w:lang w:val="fr-FR"/>
        </w:rPr>
        <w:t>RECONNAISSANT</w:t>
      </w:r>
      <w:r w:rsidRPr="003025EE">
        <w:rPr>
          <w:rFonts w:ascii="Cambria" w:hAnsi="Cambria"/>
          <w:sz w:val="20"/>
          <w:szCs w:val="20"/>
          <w:lang w:val="fr-FR"/>
        </w:rPr>
        <w:t xml:space="preserve"> les progrès réalisés à ce jour par le Groupe de travail sur les technologies de déclaration en ligne et par le Secrétariat dans le développement initial du système ;</w:t>
      </w:r>
      <w:r w:rsidRPr="003025EE">
        <w:rPr>
          <w:rFonts w:ascii="Cambria" w:hAnsi="Cambria"/>
          <w:color w:val="000000"/>
          <w:sz w:val="20"/>
          <w:szCs w:val="20"/>
          <w:lang w:val="fr-FR"/>
        </w:rPr>
        <w:t xml:space="preserve"> </w:t>
      </w:r>
    </w:p>
    <w:p w14:paraId="2E48E373" w14:textId="77777777" w:rsidR="001076BF" w:rsidRPr="003025EE" w:rsidRDefault="001076BF" w:rsidP="001076BF">
      <w:pPr>
        <w:ind w:firstLine="426"/>
        <w:jc w:val="both"/>
        <w:rPr>
          <w:rFonts w:ascii="Cambria" w:hAnsi="Cambria"/>
          <w:color w:val="000000"/>
          <w:sz w:val="20"/>
          <w:szCs w:val="20"/>
          <w:lang w:val="fr-FR"/>
        </w:rPr>
      </w:pPr>
    </w:p>
    <w:p w14:paraId="3D4A7A42" w14:textId="77777777" w:rsidR="001076BF" w:rsidRPr="003025EE" w:rsidRDefault="001076BF" w:rsidP="001076BF">
      <w:pPr>
        <w:ind w:firstLine="426"/>
        <w:jc w:val="both"/>
        <w:rPr>
          <w:rFonts w:ascii="Cambria" w:hAnsi="Cambria"/>
          <w:color w:val="000000"/>
          <w:sz w:val="20"/>
          <w:szCs w:val="20"/>
          <w:lang w:val="fr-FR"/>
        </w:rPr>
      </w:pPr>
      <w:r w:rsidRPr="003025EE">
        <w:rPr>
          <w:rFonts w:ascii="Cambria" w:hAnsi="Cambria"/>
          <w:i/>
          <w:iCs/>
          <w:color w:val="000000"/>
          <w:sz w:val="20"/>
          <w:szCs w:val="20"/>
          <w:lang w:val="fr-FR"/>
        </w:rPr>
        <w:t>RECONNAISSANT</w:t>
      </w:r>
      <w:r w:rsidRPr="003025EE">
        <w:rPr>
          <w:rFonts w:ascii="Cambria" w:hAnsi="Cambria"/>
          <w:color w:val="000000"/>
          <w:sz w:val="20"/>
          <w:szCs w:val="20"/>
          <w:lang w:val="fr-FR"/>
        </w:rPr>
        <w:t xml:space="preserve"> que l'ampleur considérable du projet nécessite des travaux au-delà de la date d'achèvement initialement prévue, soit 2019 ;</w:t>
      </w:r>
    </w:p>
    <w:p w14:paraId="6D411AC1" w14:textId="77777777" w:rsidR="001076BF" w:rsidRPr="003025EE" w:rsidRDefault="001076BF" w:rsidP="001076BF">
      <w:pPr>
        <w:ind w:firstLine="426"/>
        <w:jc w:val="both"/>
        <w:rPr>
          <w:rFonts w:ascii="Cambria" w:hAnsi="Cambria"/>
          <w:color w:val="000000"/>
          <w:sz w:val="20"/>
          <w:szCs w:val="20"/>
          <w:lang w:val="fr-FR"/>
        </w:rPr>
      </w:pPr>
    </w:p>
    <w:p w14:paraId="75AC43B7" w14:textId="77777777" w:rsidR="001076BF" w:rsidRPr="003025EE" w:rsidRDefault="001076BF" w:rsidP="001076BF">
      <w:pPr>
        <w:ind w:firstLine="426"/>
        <w:jc w:val="both"/>
        <w:rPr>
          <w:rFonts w:ascii="Cambria" w:hAnsi="Cambria"/>
          <w:color w:val="000000"/>
          <w:sz w:val="20"/>
          <w:szCs w:val="20"/>
          <w:lang w:val="fr-FR"/>
        </w:rPr>
      </w:pPr>
      <w:r w:rsidRPr="003025EE">
        <w:rPr>
          <w:rFonts w:ascii="Cambria" w:hAnsi="Cambria"/>
          <w:i/>
          <w:iCs/>
          <w:color w:val="000000"/>
          <w:sz w:val="20"/>
          <w:szCs w:val="20"/>
          <w:lang w:val="fr-FR"/>
        </w:rPr>
        <w:t>DÉSIREUSE</w:t>
      </w:r>
      <w:r w:rsidRPr="003025EE">
        <w:rPr>
          <w:rFonts w:ascii="Cambria" w:hAnsi="Cambria"/>
          <w:color w:val="000000"/>
          <w:sz w:val="20"/>
          <w:szCs w:val="20"/>
          <w:lang w:val="fr-FR"/>
        </w:rPr>
        <w:t xml:space="preserve"> de continuer à trouver des moyens d'améliorer le fonctionnement efficace de la Commission, notamment en réduisant la charge de travail liée aux exigences de déclaration de l'ICCAT pour le Secrétariat et les CPC et en améliorant l'accès aux informations utiles ;</w:t>
      </w:r>
    </w:p>
    <w:p w14:paraId="59E3A533" w14:textId="77777777" w:rsidR="00FF4ECC" w:rsidRPr="003025EE" w:rsidRDefault="00FF4ECC" w:rsidP="001076BF">
      <w:pPr>
        <w:jc w:val="both"/>
        <w:rPr>
          <w:rFonts w:ascii="Cambria" w:hAnsi="Cambria"/>
          <w:b/>
          <w:bCs/>
          <w:color w:val="000000"/>
          <w:sz w:val="20"/>
          <w:szCs w:val="20"/>
          <w:lang w:val="fr-FR"/>
        </w:rPr>
      </w:pPr>
    </w:p>
    <w:p w14:paraId="0396905D" w14:textId="7D6C1B66" w:rsidR="001076BF" w:rsidRPr="003025EE" w:rsidRDefault="001076BF" w:rsidP="001076BF">
      <w:pPr>
        <w:jc w:val="center"/>
        <w:rPr>
          <w:rFonts w:ascii="Cambria" w:hAnsi="Cambria"/>
          <w:color w:val="000000"/>
          <w:sz w:val="20"/>
          <w:szCs w:val="20"/>
          <w:lang w:val="fr-FR"/>
        </w:rPr>
      </w:pPr>
      <w:r w:rsidRPr="003025EE">
        <w:rPr>
          <w:rFonts w:ascii="Cambria" w:hAnsi="Cambria"/>
          <w:color w:val="000000"/>
          <w:sz w:val="20"/>
          <w:szCs w:val="20"/>
          <w:lang w:val="fr-FR"/>
        </w:rPr>
        <w:t xml:space="preserve">LA COMMISSION INTERNATIONALE POUR </w:t>
      </w:r>
      <w:proofErr w:type="gramStart"/>
      <w:r w:rsidRPr="003025EE">
        <w:rPr>
          <w:rFonts w:ascii="Cambria" w:hAnsi="Cambria"/>
          <w:color w:val="000000"/>
          <w:sz w:val="20"/>
          <w:szCs w:val="20"/>
          <w:lang w:val="fr-FR"/>
        </w:rPr>
        <w:t>LA</w:t>
      </w:r>
      <w:proofErr w:type="gramEnd"/>
    </w:p>
    <w:p w14:paraId="422D0325" w14:textId="77777777" w:rsidR="001076BF" w:rsidRPr="003025EE" w:rsidRDefault="001076BF" w:rsidP="001076BF">
      <w:pPr>
        <w:jc w:val="center"/>
        <w:rPr>
          <w:rFonts w:ascii="Cambria" w:hAnsi="Cambria"/>
          <w:color w:val="000000"/>
          <w:sz w:val="20"/>
          <w:szCs w:val="20"/>
          <w:lang w:val="fr-FR"/>
        </w:rPr>
      </w:pPr>
      <w:r w:rsidRPr="003025EE">
        <w:rPr>
          <w:rFonts w:ascii="Cambria" w:hAnsi="Cambria"/>
          <w:color w:val="000000"/>
          <w:sz w:val="20"/>
          <w:szCs w:val="20"/>
          <w:lang w:val="fr-FR"/>
        </w:rPr>
        <w:t>CONSERVATION DES THONIDÉS DE L’ATLANTIQUE RECOMMANDE CE QUI SUIT :</w:t>
      </w:r>
    </w:p>
    <w:p w14:paraId="3EB0F995" w14:textId="77777777" w:rsidR="00FF4ECC" w:rsidRPr="003025EE" w:rsidRDefault="00FF4ECC" w:rsidP="001076BF">
      <w:pPr>
        <w:jc w:val="both"/>
        <w:rPr>
          <w:rFonts w:ascii="Cambria" w:hAnsi="Cambria"/>
          <w:color w:val="000000"/>
          <w:sz w:val="20"/>
          <w:szCs w:val="20"/>
          <w:lang w:val="fr-FR"/>
        </w:rPr>
      </w:pPr>
    </w:p>
    <w:p w14:paraId="0BF937A1" w14:textId="005BCDC3" w:rsidR="001076BF" w:rsidRPr="003025EE" w:rsidRDefault="001076BF" w:rsidP="001076BF">
      <w:pPr>
        <w:ind w:left="426" w:hanging="426"/>
        <w:jc w:val="both"/>
        <w:rPr>
          <w:rFonts w:ascii="Cambria" w:hAnsi="Cambria"/>
          <w:color w:val="000000"/>
          <w:sz w:val="20"/>
          <w:szCs w:val="20"/>
          <w:lang w:val="fr-FR"/>
        </w:rPr>
      </w:pPr>
      <w:r w:rsidRPr="003025EE">
        <w:rPr>
          <w:rFonts w:ascii="Cambria" w:hAnsi="Cambria"/>
          <w:color w:val="000000"/>
          <w:sz w:val="20"/>
          <w:szCs w:val="20"/>
          <w:lang w:val="fr-FR"/>
        </w:rPr>
        <w:t xml:space="preserve">1. </w:t>
      </w:r>
      <w:r w:rsidRPr="003025EE">
        <w:rPr>
          <w:rFonts w:ascii="Cambria" w:hAnsi="Cambria"/>
          <w:color w:val="000000"/>
          <w:sz w:val="20"/>
          <w:szCs w:val="20"/>
          <w:lang w:val="fr-FR"/>
        </w:rPr>
        <w:tab/>
      </w:r>
      <w:r w:rsidR="00FF4ECC" w:rsidRPr="003025EE">
        <w:rPr>
          <w:rFonts w:ascii="Cambria" w:hAnsi="Cambria"/>
          <w:color w:val="000000"/>
          <w:sz w:val="20"/>
          <w:szCs w:val="20"/>
          <w:lang w:val="fr-FR"/>
        </w:rPr>
        <w:t>Le</w:t>
      </w:r>
      <w:r w:rsidRPr="003025EE">
        <w:rPr>
          <w:rFonts w:ascii="Cambria" w:hAnsi="Cambria"/>
          <w:color w:val="000000"/>
          <w:sz w:val="20"/>
          <w:szCs w:val="20"/>
          <w:lang w:val="fr-FR"/>
        </w:rPr>
        <w:t xml:space="preserve"> Groupe de travail sur les technologies de déclaration en ligne devra continuer à travailler virtuellement </w:t>
      </w:r>
      <w:r w:rsidR="00DC6357" w:rsidRPr="003025EE">
        <w:rPr>
          <w:rFonts w:ascii="Cambria" w:hAnsi="Cambria"/>
          <w:color w:val="000000"/>
          <w:sz w:val="20"/>
          <w:szCs w:val="20"/>
          <w:lang w:val="fr-FR"/>
        </w:rPr>
        <w:t xml:space="preserve">et à se réunir </w:t>
      </w:r>
      <w:r w:rsidR="007221E0" w:rsidRPr="003025EE">
        <w:rPr>
          <w:rFonts w:ascii="Cambria" w:hAnsi="Cambria"/>
          <w:color w:val="000000"/>
          <w:sz w:val="20"/>
          <w:szCs w:val="20"/>
          <w:lang w:val="fr-FR"/>
        </w:rPr>
        <w:t>pendant la période inter</w:t>
      </w:r>
      <w:r w:rsidR="00DC6357" w:rsidRPr="003025EE">
        <w:rPr>
          <w:rFonts w:ascii="Cambria" w:hAnsi="Cambria"/>
          <w:color w:val="000000"/>
          <w:sz w:val="20"/>
          <w:szCs w:val="20"/>
          <w:lang w:val="fr-FR"/>
        </w:rPr>
        <w:t xml:space="preserve">sessions </w:t>
      </w:r>
      <w:r w:rsidRPr="003025EE">
        <w:rPr>
          <w:rFonts w:ascii="Cambria" w:hAnsi="Cambria"/>
          <w:color w:val="000000"/>
          <w:sz w:val="20"/>
          <w:szCs w:val="20"/>
          <w:lang w:val="fr-FR"/>
        </w:rPr>
        <w:t>selon les besoins afin de</w:t>
      </w:r>
      <w:r w:rsidR="00FF4ECC" w:rsidRPr="003025EE">
        <w:rPr>
          <w:rFonts w:ascii="Cambria" w:hAnsi="Cambria"/>
          <w:color w:val="000000"/>
          <w:sz w:val="20"/>
          <w:szCs w:val="20"/>
          <w:lang w:val="fr-FR"/>
        </w:rPr>
        <w:t xml:space="preserve"> développer le système </w:t>
      </w:r>
      <w:r w:rsidR="007221E0" w:rsidRPr="003025EE">
        <w:rPr>
          <w:rFonts w:ascii="Cambria" w:hAnsi="Cambria"/>
          <w:color w:val="000000"/>
          <w:sz w:val="20"/>
          <w:szCs w:val="20"/>
          <w:lang w:val="fr-FR"/>
        </w:rPr>
        <w:t xml:space="preserve">intégré </w:t>
      </w:r>
      <w:r w:rsidR="00FF4ECC" w:rsidRPr="003025EE">
        <w:rPr>
          <w:rFonts w:ascii="Cambria" w:hAnsi="Cambria"/>
          <w:color w:val="000000"/>
          <w:sz w:val="20"/>
          <w:szCs w:val="20"/>
          <w:lang w:val="fr-FR"/>
        </w:rPr>
        <w:t>de gestion en ligne et d’achever son plan de travail.</w:t>
      </w:r>
    </w:p>
    <w:p w14:paraId="72D7C632" w14:textId="77777777" w:rsidR="001076BF" w:rsidRPr="003025EE" w:rsidRDefault="001076BF" w:rsidP="001076BF">
      <w:pPr>
        <w:pStyle w:val="ListParagraph"/>
        <w:spacing w:after="0" w:line="240" w:lineRule="auto"/>
        <w:ind w:left="426" w:hanging="426"/>
        <w:jc w:val="both"/>
        <w:rPr>
          <w:rFonts w:ascii="Cambria" w:hAnsi="Cambria" w:cs="Times New Roman"/>
          <w:color w:val="000000"/>
          <w:sz w:val="20"/>
          <w:szCs w:val="20"/>
        </w:rPr>
      </w:pPr>
    </w:p>
    <w:p w14:paraId="5ADB5A88" w14:textId="32F5BE2F" w:rsidR="001076BF" w:rsidRPr="003025EE" w:rsidRDefault="00FF4ECC" w:rsidP="001076BF">
      <w:pPr>
        <w:ind w:left="426" w:hanging="426"/>
        <w:jc w:val="both"/>
        <w:rPr>
          <w:rFonts w:ascii="Cambria" w:hAnsi="Cambria"/>
          <w:color w:val="000000"/>
          <w:sz w:val="20"/>
          <w:szCs w:val="20"/>
          <w:lang w:val="fr-FR"/>
        </w:rPr>
      </w:pPr>
      <w:r w:rsidRPr="003025EE">
        <w:rPr>
          <w:rFonts w:ascii="Cambria" w:hAnsi="Cambria"/>
          <w:color w:val="000000"/>
          <w:sz w:val="20"/>
          <w:szCs w:val="20"/>
          <w:lang w:val="fr-FR"/>
        </w:rPr>
        <w:t>2</w:t>
      </w:r>
      <w:r w:rsidR="001076BF" w:rsidRPr="003025EE">
        <w:rPr>
          <w:rFonts w:ascii="Cambria" w:hAnsi="Cambria"/>
          <w:color w:val="000000"/>
          <w:sz w:val="20"/>
          <w:szCs w:val="20"/>
          <w:lang w:val="fr-FR"/>
        </w:rPr>
        <w:t xml:space="preserve">. </w:t>
      </w:r>
      <w:r w:rsidR="001076BF" w:rsidRPr="003025EE">
        <w:rPr>
          <w:rFonts w:ascii="Cambria" w:hAnsi="Cambria"/>
          <w:color w:val="000000"/>
          <w:sz w:val="20"/>
          <w:szCs w:val="20"/>
          <w:lang w:val="fr-FR"/>
        </w:rPr>
        <w:tab/>
        <w:t xml:space="preserve">Le Groupe de travail devra demeurer actif après l'achèvement de </w:t>
      </w:r>
      <w:r w:rsidRPr="003025EE">
        <w:rPr>
          <w:rFonts w:ascii="Cambria" w:hAnsi="Cambria"/>
          <w:color w:val="000000"/>
          <w:sz w:val="20"/>
          <w:szCs w:val="20"/>
          <w:lang w:val="fr-FR"/>
        </w:rPr>
        <w:t xml:space="preserve">son plan de travail, qui pourrait être révisé et amendé si nécessaire, et </w:t>
      </w:r>
      <w:r w:rsidR="001076BF" w:rsidRPr="003025EE">
        <w:rPr>
          <w:rFonts w:ascii="Cambria" w:hAnsi="Cambria"/>
          <w:color w:val="000000"/>
          <w:sz w:val="20"/>
          <w:szCs w:val="20"/>
          <w:lang w:val="fr-FR"/>
        </w:rPr>
        <w:t xml:space="preserve">jusqu'à ce que la Commission en décide autrement. Les tâches du Groupe de travail après </w:t>
      </w:r>
      <w:r w:rsidR="00BF41CC" w:rsidRPr="003025EE">
        <w:rPr>
          <w:rFonts w:ascii="Cambria" w:hAnsi="Cambria"/>
          <w:color w:val="000000"/>
          <w:sz w:val="20"/>
          <w:szCs w:val="20"/>
          <w:lang w:val="fr-FR"/>
        </w:rPr>
        <w:t>l’achèvement de son plan de travail devront être</w:t>
      </w:r>
      <w:r w:rsidR="001076BF" w:rsidRPr="003025EE">
        <w:rPr>
          <w:rFonts w:ascii="Cambria" w:hAnsi="Cambria"/>
          <w:color w:val="000000"/>
          <w:sz w:val="20"/>
          <w:szCs w:val="20"/>
          <w:lang w:val="fr-FR"/>
        </w:rPr>
        <w:t xml:space="preserve"> les suivantes : </w:t>
      </w:r>
    </w:p>
    <w:p w14:paraId="2C2D02AD" w14:textId="77777777" w:rsidR="001076BF" w:rsidRPr="003025EE" w:rsidRDefault="001076BF" w:rsidP="001076BF">
      <w:pPr>
        <w:pStyle w:val="ListParagraph"/>
        <w:spacing w:after="0" w:line="240" w:lineRule="auto"/>
        <w:ind w:left="0"/>
        <w:jc w:val="both"/>
        <w:rPr>
          <w:rFonts w:ascii="Cambria" w:hAnsi="Cambria" w:cs="Times New Roman"/>
          <w:color w:val="000000"/>
          <w:sz w:val="20"/>
          <w:szCs w:val="20"/>
        </w:rPr>
      </w:pPr>
    </w:p>
    <w:p w14:paraId="55CC7692" w14:textId="04BE76FF" w:rsidR="001076BF" w:rsidRPr="003025EE" w:rsidRDefault="001076BF" w:rsidP="001076BF">
      <w:pPr>
        <w:ind w:left="851" w:hanging="425"/>
        <w:jc w:val="both"/>
        <w:rPr>
          <w:rFonts w:ascii="Cambria" w:hAnsi="Cambria"/>
          <w:color w:val="000000"/>
          <w:sz w:val="20"/>
          <w:szCs w:val="20"/>
          <w:lang w:val="fr-FR"/>
        </w:rPr>
      </w:pPr>
      <w:r w:rsidRPr="003025EE">
        <w:rPr>
          <w:rFonts w:ascii="Cambria" w:hAnsi="Cambria"/>
          <w:color w:val="000000"/>
          <w:sz w:val="20"/>
          <w:szCs w:val="20"/>
          <w:lang w:val="fr-FR"/>
        </w:rPr>
        <w:t xml:space="preserve">a) </w:t>
      </w:r>
      <w:r w:rsidRPr="003025EE">
        <w:rPr>
          <w:rFonts w:ascii="Cambria" w:hAnsi="Cambria"/>
          <w:color w:val="000000"/>
          <w:sz w:val="20"/>
          <w:szCs w:val="20"/>
          <w:lang w:val="fr-FR"/>
        </w:rPr>
        <w:tab/>
        <w:t xml:space="preserve">superviser l'intégration dans le système de déclaration en ligne </w:t>
      </w:r>
      <w:r w:rsidR="00510690" w:rsidRPr="003025EE">
        <w:rPr>
          <w:rFonts w:ascii="Cambria" w:hAnsi="Cambria"/>
          <w:color w:val="000000"/>
          <w:sz w:val="20"/>
          <w:szCs w:val="20"/>
          <w:lang w:val="fr-FR"/>
        </w:rPr>
        <w:t>des</w:t>
      </w:r>
      <w:r w:rsidRPr="003025EE">
        <w:rPr>
          <w:rFonts w:ascii="Cambria" w:hAnsi="Cambria"/>
          <w:color w:val="000000"/>
          <w:sz w:val="20"/>
          <w:szCs w:val="20"/>
          <w:lang w:val="fr-FR"/>
        </w:rPr>
        <w:t xml:space="preserve"> nouvelle</w:t>
      </w:r>
      <w:r w:rsidR="00510690" w:rsidRPr="003025EE">
        <w:rPr>
          <w:rFonts w:ascii="Cambria" w:hAnsi="Cambria"/>
          <w:color w:val="000000"/>
          <w:sz w:val="20"/>
          <w:szCs w:val="20"/>
          <w:lang w:val="fr-FR"/>
        </w:rPr>
        <w:t>s</w:t>
      </w:r>
      <w:r w:rsidRPr="003025EE">
        <w:rPr>
          <w:rFonts w:ascii="Cambria" w:hAnsi="Cambria"/>
          <w:color w:val="000000"/>
          <w:sz w:val="20"/>
          <w:szCs w:val="20"/>
          <w:lang w:val="fr-FR"/>
        </w:rPr>
        <w:t xml:space="preserve"> exigence</w:t>
      </w:r>
      <w:r w:rsidR="00510690" w:rsidRPr="003025EE">
        <w:rPr>
          <w:rFonts w:ascii="Cambria" w:hAnsi="Cambria"/>
          <w:color w:val="000000"/>
          <w:sz w:val="20"/>
          <w:szCs w:val="20"/>
          <w:lang w:val="fr-FR"/>
        </w:rPr>
        <w:t>s</w:t>
      </w:r>
      <w:r w:rsidRPr="003025EE">
        <w:rPr>
          <w:rFonts w:ascii="Cambria" w:hAnsi="Cambria"/>
          <w:color w:val="000000"/>
          <w:sz w:val="20"/>
          <w:szCs w:val="20"/>
          <w:lang w:val="fr-FR"/>
        </w:rPr>
        <w:t xml:space="preserve"> liée</w:t>
      </w:r>
      <w:r w:rsidR="00510690" w:rsidRPr="003025EE">
        <w:rPr>
          <w:rFonts w:ascii="Cambria" w:hAnsi="Cambria"/>
          <w:color w:val="000000"/>
          <w:sz w:val="20"/>
          <w:szCs w:val="20"/>
          <w:lang w:val="fr-FR"/>
        </w:rPr>
        <w:t>s</w:t>
      </w:r>
      <w:r w:rsidRPr="003025EE">
        <w:rPr>
          <w:rFonts w:ascii="Cambria" w:hAnsi="Cambria"/>
          <w:color w:val="000000"/>
          <w:sz w:val="20"/>
          <w:szCs w:val="20"/>
          <w:lang w:val="fr-FR"/>
        </w:rPr>
        <w:t xml:space="preserve"> aux rapports annuels ;</w:t>
      </w:r>
    </w:p>
    <w:p w14:paraId="1FEDA312" w14:textId="61A98B27" w:rsidR="001076BF" w:rsidRPr="003025EE" w:rsidRDefault="001076BF" w:rsidP="001076BF">
      <w:pPr>
        <w:ind w:left="851" w:hanging="425"/>
        <w:jc w:val="both"/>
        <w:rPr>
          <w:rFonts w:ascii="Cambria" w:hAnsi="Cambria"/>
          <w:color w:val="000000"/>
          <w:sz w:val="20"/>
          <w:szCs w:val="20"/>
          <w:lang w:val="fr-FR"/>
        </w:rPr>
      </w:pPr>
      <w:r w:rsidRPr="003025EE">
        <w:rPr>
          <w:rFonts w:ascii="Cambria" w:hAnsi="Cambria"/>
          <w:color w:val="000000"/>
          <w:sz w:val="20"/>
          <w:szCs w:val="20"/>
          <w:lang w:val="fr-FR"/>
        </w:rPr>
        <w:t xml:space="preserve">b) </w:t>
      </w:r>
      <w:r w:rsidRPr="003025EE">
        <w:rPr>
          <w:rFonts w:ascii="Cambria" w:hAnsi="Cambria"/>
          <w:color w:val="000000"/>
          <w:sz w:val="20"/>
          <w:szCs w:val="20"/>
          <w:lang w:val="fr-FR"/>
        </w:rPr>
        <w:tab/>
        <w:t xml:space="preserve">déterminer les exigences redondantes pour lesquelles la déclaration n'est plus nécessaire ; </w:t>
      </w:r>
    </w:p>
    <w:p w14:paraId="7A95AFD2" w14:textId="0EA8EFA6" w:rsidR="001076BF" w:rsidRPr="003025EE" w:rsidRDefault="001076BF" w:rsidP="001076BF">
      <w:pPr>
        <w:ind w:left="851" w:hanging="425"/>
        <w:jc w:val="both"/>
        <w:rPr>
          <w:rFonts w:ascii="Cambria" w:hAnsi="Cambria"/>
          <w:color w:val="000000"/>
          <w:sz w:val="20"/>
          <w:szCs w:val="20"/>
          <w:lang w:val="fr-FR"/>
        </w:rPr>
      </w:pPr>
      <w:r w:rsidRPr="003025EE">
        <w:rPr>
          <w:rFonts w:ascii="Cambria" w:hAnsi="Cambria"/>
          <w:color w:val="000000"/>
          <w:sz w:val="20"/>
          <w:szCs w:val="20"/>
          <w:lang w:val="fr-FR"/>
        </w:rPr>
        <w:t xml:space="preserve">c) </w:t>
      </w:r>
      <w:r w:rsidRPr="003025EE">
        <w:rPr>
          <w:rFonts w:ascii="Cambria" w:hAnsi="Cambria"/>
          <w:color w:val="000000"/>
          <w:sz w:val="20"/>
          <w:szCs w:val="20"/>
          <w:lang w:val="fr-FR"/>
        </w:rPr>
        <w:tab/>
        <w:t xml:space="preserve">avec la contribution appropriée de la Commission, superviser l'élaboration de modules </w:t>
      </w:r>
      <w:r w:rsidR="00094352" w:rsidRPr="003025EE">
        <w:rPr>
          <w:rFonts w:ascii="Cambria" w:hAnsi="Cambria"/>
          <w:color w:val="000000"/>
          <w:sz w:val="20"/>
          <w:szCs w:val="20"/>
          <w:lang w:val="fr-FR"/>
        </w:rPr>
        <w:t xml:space="preserve">supplémentaires </w:t>
      </w:r>
      <w:r w:rsidRPr="003025EE">
        <w:rPr>
          <w:rFonts w:ascii="Cambria" w:hAnsi="Cambria"/>
          <w:color w:val="000000"/>
          <w:sz w:val="20"/>
          <w:szCs w:val="20"/>
          <w:lang w:val="fr-FR"/>
        </w:rPr>
        <w:t xml:space="preserve">du système couvrant d'autres exigences de déclaration de l'ICCAT afin d'établir un système complet et entièrement intégré de déclaration en ligne ; </w:t>
      </w:r>
      <w:r w:rsidR="00ED12B0" w:rsidRPr="003025EE">
        <w:rPr>
          <w:rFonts w:ascii="Cambria" w:hAnsi="Cambria"/>
          <w:color w:val="000000"/>
          <w:sz w:val="20"/>
          <w:szCs w:val="20"/>
          <w:lang w:val="fr-FR"/>
        </w:rPr>
        <w:t>et</w:t>
      </w:r>
    </w:p>
    <w:p w14:paraId="5B86F3AA" w14:textId="77777777" w:rsidR="001076BF" w:rsidRPr="003025EE" w:rsidRDefault="001076BF" w:rsidP="001076BF">
      <w:pPr>
        <w:ind w:left="851" w:hanging="425"/>
        <w:jc w:val="both"/>
        <w:rPr>
          <w:rFonts w:ascii="Cambria" w:hAnsi="Cambria"/>
          <w:color w:val="000000"/>
          <w:sz w:val="20"/>
          <w:szCs w:val="20"/>
          <w:lang w:val="fr-FR"/>
        </w:rPr>
      </w:pPr>
      <w:r w:rsidRPr="003025EE">
        <w:rPr>
          <w:rFonts w:ascii="Cambria" w:hAnsi="Cambria"/>
          <w:color w:val="000000"/>
          <w:sz w:val="20"/>
          <w:szCs w:val="20"/>
          <w:lang w:val="fr-FR"/>
        </w:rPr>
        <w:t xml:space="preserve">d) </w:t>
      </w:r>
      <w:r w:rsidRPr="003025EE">
        <w:rPr>
          <w:rFonts w:ascii="Cambria" w:hAnsi="Cambria"/>
          <w:color w:val="000000"/>
          <w:sz w:val="20"/>
          <w:szCs w:val="20"/>
          <w:lang w:val="fr-FR"/>
        </w:rPr>
        <w:tab/>
        <w:t>d'autres tâches que la Commission pourrait identifier.</w:t>
      </w:r>
    </w:p>
    <w:p w14:paraId="633E9BA5" w14:textId="77777777" w:rsidR="001076BF" w:rsidRPr="003025EE" w:rsidRDefault="001076BF" w:rsidP="001076BF">
      <w:pPr>
        <w:pStyle w:val="ListParagraph"/>
        <w:spacing w:after="0" w:line="240" w:lineRule="auto"/>
        <w:ind w:left="426" w:hanging="426"/>
        <w:jc w:val="both"/>
        <w:rPr>
          <w:rFonts w:ascii="Cambria" w:hAnsi="Cambria" w:cs="Times New Roman"/>
          <w:color w:val="000000"/>
          <w:sz w:val="20"/>
          <w:szCs w:val="20"/>
        </w:rPr>
      </w:pPr>
    </w:p>
    <w:p w14:paraId="73E5EF71" w14:textId="099D3A42" w:rsidR="001076BF" w:rsidRPr="003025EE" w:rsidRDefault="00ED12B0" w:rsidP="001076BF">
      <w:pPr>
        <w:ind w:left="426" w:hanging="426"/>
        <w:jc w:val="both"/>
        <w:rPr>
          <w:rFonts w:ascii="Cambria" w:hAnsi="Cambria"/>
          <w:color w:val="000000"/>
          <w:sz w:val="20"/>
          <w:szCs w:val="20"/>
          <w:lang w:val="fr-FR"/>
        </w:rPr>
      </w:pPr>
      <w:r w:rsidRPr="003025EE">
        <w:rPr>
          <w:rFonts w:ascii="Cambria" w:hAnsi="Cambria"/>
          <w:color w:val="000000"/>
          <w:sz w:val="20"/>
          <w:szCs w:val="20"/>
          <w:lang w:val="fr-FR"/>
        </w:rPr>
        <w:t>3</w:t>
      </w:r>
      <w:r w:rsidR="001076BF" w:rsidRPr="003025EE">
        <w:rPr>
          <w:rFonts w:ascii="Cambria" w:hAnsi="Cambria"/>
          <w:color w:val="000000"/>
          <w:sz w:val="20"/>
          <w:szCs w:val="20"/>
          <w:lang w:val="fr-FR"/>
        </w:rPr>
        <w:t xml:space="preserve">. </w:t>
      </w:r>
      <w:r w:rsidR="001076BF" w:rsidRPr="003025EE">
        <w:rPr>
          <w:rFonts w:ascii="Cambria" w:hAnsi="Cambria"/>
          <w:color w:val="000000"/>
          <w:sz w:val="20"/>
          <w:szCs w:val="20"/>
          <w:lang w:val="fr-FR"/>
        </w:rPr>
        <w:tab/>
        <w:t xml:space="preserve">Dans l'exécution des tâches susmentionnées, le Groupe de travail devra travailler en consultation avec le SCRS, le Comité d'application et d'autres organes subsidiaires de la Commission, si nécessaire et approprié. </w:t>
      </w:r>
    </w:p>
    <w:p w14:paraId="571FAE79" w14:textId="77777777" w:rsidR="001076BF" w:rsidRPr="003025EE" w:rsidRDefault="001076BF" w:rsidP="001076BF">
      <w:pPr>
        <w:ind w:left="426" w:hanging="426"/>
        <w:jc w:val="both"/>
        <w:rPr>
          <w:rFonts w:ascii="Cambria" w:hAnsi="Cambria"/>
          <w:color w:val="000000"/>
          <w:sz w:val="20"/>
          <w:szCs w:val="20"/>
          <w:lang w:val="fr-FR"/>
        </w:rPr>
      </w:pPr>
    </w:p>
    <w:p w14:paraId="75752B80" w14:textId="6727BACF" w:rsidR="001076BF" w:rsidRPr="003025EE" w:rsidRDefault="00ED12B0" w:rsidP="001076BF">
      <w:pPr>
        <w:ind w:left="426" w:hanging="426"/>
        <w:jc w:val="both"/>
        <w:rPr>
          <w:rFonts w:ascii="Cambria" w:hAnsi="Cambria"/>
          <w:color w:val="000000"/>
          <w:sz w:val="20"/>
          <w:szCs w:val="20"/>
          <w:lang w:val="fr-FR"/>
        </w:rPr>
      </w:pPr>
      <w:r w:rsidRPr="003025EE">
        <w:rPr>
          <w:rFonts w:ascii="Cambria" w:hAnsi="Cambria"/>
          <w:color w:val="000000"/>
          <w:sz w:val="20"/>
          <w:szCs w:val="20"/>
          <w:lang w:val="fr-FR"/>
        </w:rPr>
        <w:t>4</w:t>
      </w:r>
      <w:r w:rsidR="001076BF" w:rsidRPr="003025EE">
        <w:rPr>
          <w:rFonts w:ascii="Cambria" w:hAnsi="Cambria"/>
          <w:color w:val="000000"/>
          <w:sz w:val="20"/>
          <w:szCs w:val="20"/>
          <w:lang w:val="fr-FR"/>
        </w:rPr>
        <w:t xml:space="preserve">. </w:t>
      </w:r>
      <w:r w:rsidR="001076BF" w:rsidRPr="003025EE">
        <w:rPr>
          <w:rFonts w:ascii="Cambria" w:hAnsi="Cambria"/>
          <w:color w:val="000000"/>
          <w:sz w:val="20"/>
          <w:szCs w:val="20"/>
          <w:lang w:val="fr-FR"/>
        </w:rPr>
        <w:tab/>
        <w:t xml:space="preserve">Le Groupe de travail devra continuer à fournir à la Commission des mises à jour annuelles sur ses activités, notamment en présentant </w:t>
      </w:r>
      <w:r w:rsidR="00094352" w:rsidRPr="003025EE">
        <w:rPr>
          <w:rFonts w:ascii="Cambria" w:hAnsi="Cambria"/>
          <w:color w:val="000000"/>
          <w:sz w:val="20"/>
          <w:szCs w:val="20"/>
          <w:lang w:val="fr-FR"/>
        </w:rPr>
        <w:t>de</w:t>
      </w:r>
      <w:r w:rsidR="00DC2387" w:rsidRPr="003025EE">
        <w:rPr>
          <w:rFonts w:ascii="Cambria" w:hAnsi="Cambria"/>
          <w:color w:val="000000"/>
          <w:sz w:val="20"/>
          <w:szCs w:val="20"/>
          <w:lang w:val="fr-FR"/>
        </w:rPr>
        <w:t>s</w:t>
      </w:r>
      <w:r w:rsidR="001076BF" w:rsidRPr="003025EE">
        <w:rPr>
          <w:rFonts w:ascii="Cambria" w:hAnsi="Cambria"/>
          <w:color w:val="000000"/>
          <w:sz w:val="20"/>
          <w:szCs w:val="20"/>
          <w:lang w:val="fr-FR"/>
        </w:rPr>
        <w:t xml:space="preserve"> propositions concernant le contenu et l</w:t>
      </w:r>
      <w:r w:rsidR="00510690" w:rsidRPr="003025EE">
        <w:rPr>
          <w:rFonts w:ascii="Cambria" w:hAnsi="Cambria"/>
          <w:color w:val="000000"/>
          <w:sz w:val="20"/>
          <w:szCs w:val="20"/>
          <w:lang w:val="fr-FR"/>
        </w:rPr>
        <w:t xml:space="preserve">e format </w:t>
      </w:r>
      <w:r w:rsidR="001076BF" w:rsidRPr="003025EE">
        <w:rPr>
          <w:rFonts w:ascii="Cambria" w:hAnsi="Cambria"/>
          <w:color w:val="000000"/>
          <w:sz w:val="20"/>
          <w:szCs w:val="20"/>
          <w:lang w:val="fr-FR"/>
        </w:rPr>
        <w:t xml:space="preserve">du système de déclaration en ligne et des modules connexes pour examen par la Commission afin </w:t>
      </w:r>
      <w:r w:rsidRPr="003025EE">
        <w:rPr>
          <w:rFonts w:ascii="Cambria" w:hAnsi="Cambria"/>
          <w:color w:val="000000"/>
          <w:sz w:val="20"/>
          <w:szCs w:val="20"/>
          <w:lang w:val="fr-FR"/>
        </w:rPr>
        <w:t>d’informer sur la</w:t>
      </w:r>
      <w:r w:rsidR="001076BF" w:rsidRPr="003025EE">
        <w:rPr>
          <w:rFonts w:ascii="Cambria" w:hAnsi="Cambria"/>
          <w:color w:val="000000"/>
          <w:sz w:val="20"/>
          <w:szCs w:val="20"/>
          <w:lang w:val="fr-FR"/>
        </w:rPr>
        <w:t xml:space="preserve"> conception et </w:t>
      </w:r>
      <w:r w:rsidRPr="003025EE">
        <w:rPr>
          <w:rFonts w:ascii="Cambria" w:hAnsi="Cambria"/>
          <w:color w:val="000000"/>
          <w:sz w:val="20"/>
          <w:szCs w:val="20"/>
          <w:lang w:val="fr-FR"/>
        </w:rPr>
        <w:t>l’</w:t>
      </w:r>
      <w:r w:rsidR="001076BF" w:rsidRPr="003025EE">
        <w:rPr>
          <w:rFonts w:ascii="Cambria" w:hAnsi="Cambria"/>
          <w:color w:val="000000"/>
          <w:sz w:val="20"/>
          <w:szCs w:val="20"/>
          <w:lang w:val="fr-FR"/>
        </w:rPr>
        <w:t>élaboration.</w:t>
      </w:r>
    </w:p>
    <w:p w14:paraId="54CBA06E" w14:textId="77777777" w:rsidR="00094352" w:rsidRPr="003025EE" w:rsidRDefault="00094352" w:rsidP="001076BF">
      <w:pPr>
        <w:ind w:left="426" w:hanging="426"/>
        <w:jc w:val="both"/>
        <w:rPr>
          <w:rFonts w:ascii="Cambria" w:hAnsi="Cambria"/>
          <w:color w:val="000000"/>
          <w:sz w:val="20"/>
          <w:szCs w:val="20"/>
          <w:lang w:val="fr-FR"/>
        </w:rPr>
      </w:pPr>
    </w:p>
    <w:p w14:paraId="2672CCDC" w14:textId="5A9C90EF" w:rsidR="00ED12B0" w:rsidRPr="003025EE" w:rsidRDefault="00ED12B0" w:rsidP="00ED12B0">
      <w:pPr>
        <w:ind w:left="426" w:hanging="426"/>
        <w:jc w:val="both"/>
        <w:rPr>
          <w:rFonts w:ascii="Cambria" w:eastAsia="Batang" w:hAnsi="Cambria"/>
          <w:bCs/>
          <w:lang w:val="fr-FR"/>
        </w:rPr>
      </w:pPr>
      <w:r w:rsidRPr="003025EE">
        <w:rPr>
          <w:rFonts w:ascii="Cambria" w:hAnsi="Cambria"/>
          <w:color w:val="000000"/>
          <w:sz w:val="20"/>
          <w:szCs w:val="20"/>
          <w:lang w:val="fr-FR"/>
        </w:rPr>
        <w:t>5</w:t>
      </w:r>
      <w:r w:rsidR="001076BF" w:rsidRPr="003025EE">
        <w:rPr>
          <w:rFonts w:ascii="Cambria" w:hAnsi="Cambria"/>
          <w:color w:val="000000"/>
          <w:sz w:val="20"/>
          <w:szCs w:val="20"/>
          <w:lang w:val="fr-FR"/>
        </w:rPr>
        <w:t xml:space="preserve">. </w:t>
      </w:r>
      <w:r w:rsidR="001076BF" w:rsidRPr="003025EE">
        <w:rPr>
          <w:rFonts w:ascii="Cambria" w:hAnsi="Cambria"/>
          <w:color w:val="000000"/>
          <w:sz w:val="20"/>
          <w:szCs w:val="20"/>
          <w:lang w:val="fr-FR"/>
        </w:rPr>
        <w:tab/>
        <w:t xml:space="preserve">La présente Recommandation complète la </w:t>
      </w:r>
      <w:r w:rsidR="001076BF" w:rsidRPr="003025EE">
        <w:rPr>
          <w:rFonts w:ascii="Cambria" w:hAnsi="Cambria"/>
          <w:i/>
          <w:iCs/>
          <w:color w:val="000000"/>
          <w:sz w:val="20"/>
          <w:szCs w:val="20"/>
          <w:lang w:val="fr-FR"/>
        </w:rPr>
        <w:t>Recommandation de l’ICCAT concernant l'élaboration d'un système de déclaration en ligne</w:t>
      </w:r>
      <w:r w:rsidR="001076BF" w:rsidRPr="003025EE">
        <w:rPr>
          <w:rFonts w:ascii="Cambria" w:hAnsi="Cambria"/>
          <w:color w:val="000000"/>
          <w:sz w:val="20"/>
          <w:szCs w:val="20"/>
          <w:lang w:val="fr-FR"/>
        </w:rPr>
        <w:t xml:space="preserve"> (Rec. 16-19)</w:t>
      </w:r>
      <w:r w:rsidRPr="003025EE">
        <w:rPr>
          <w:rFonts w:ascii="Cambria" w:hAnsi="Cambria"/>
          <w:color w:val="000000"/>
          <w:sz w:val="20"/>
          <w:szCs w:val="20"/>
          <w:lang w:val="fr-FR"/>
        </w:rPr>
        <w:t xml:space="preserve"> et abroge et remplace la </w:t>
      </w:r>
      <w:r w:rsidRPr="003025EE">
        <w:rPr>
          <w:rFonts w:ascii="Cambria" w:hAnsi="Cambria"/>
          <w:i/>
          <w:iCs/>
          <w:color w:val="000000"/>
          <w:sz w:val="20"/>
          <w:szCs w:val="20"/>
          <w:lang w:val="fr-FR"/>
        </w:rPr>
        <w:t>R</w:t>
      </w:r>
      <w:r w:rsidRPr="003025EE">
        <w:rPr>
          <w:rFonts w:ascii="Cambria" w:hAnsi="Cambria"/>
          <w:bCs/>
          <w:i/>
          <w:iCs/>
          <w:sz w:val="20"/>
          <w:szCs w:val="20"/>
          <w:lang w:val="fr-FR"/>
        </w:rPr>
        <w:t xml:space="preserve">ecommandation de l’ICCAT visant à poursuivre l'élaboration d'un système de déclaration en ligne intégré </w:t>
      </w:r>
      <w:r w:rsidRPr="003025EE">
        <w:rPr>
          <w:rFonts w:ascii="Cambria" w:hAnsi="Cambria"/>
          <w:bCs/>
          <w:sz w:val="20"/>
          <w:szCs w:val="20"/>
          <w:lang w:val="fr-FR"/>
        </w:rPr>
        <w:t>(Rec. 19-12).</w:t>
      </w:r>
    </w:p>
    <w:sectPr w:rsidR="00ED12B0" w:rsidRPr="003025EE" w:rsidSect="003025EE">
      <w:footerReference w:type="even"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14B69" w14:textId="77777777" w:rsidR="000E45C2" w:rsidRDefault="000E45C2">
      <w:r>
        <w:separator/>
      </w:r>
    </w:p>
  </w:endnote>
  <w:endnote w:type="continuationSeparator" w:id="0">
    <w:p w14:paraId="0EBB73EB" w14:textId="77777777" w:rsidR="000E45C2" w:rsidRDefault="000E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ourier New"/>
    <w:charset w:val="01"/>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940B" w14:textId="77777777" w:rsidR="006C0637" w:rsidRDefault="006C06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A84257" w14:textId="77777777" w:rsidR="006C0637" w:rsidRDefault="006C0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996005"/>
      <w:docPartObj>
        <w:docPartGallery w:val="Page Numbers (Bottom of Page)"/>
        <w:docPartUnique/>
      </w:docPartObj>
    </w:sdtPr>
    <w:sdtEndPr>
      <w:rPr>
        <w:rFonts w:asciiTheme="majorHAnsi" w:hAnsiTheme="majorHAnsi"/>
        <w:noProof/>
        <w:sz w:val="20"/>
        <w:szCs w:val="20"/>
      </w:rPr>
    </w:sdtEndPr>
    <w:sdtContent>
      <w:p w14:paraId="089C309C" w14:textId="430D5752" w:rsidR="00E95578" w:rsidRPr="00E95578" w:rsidRDefault="00E95578" w:rsidP="00E95578">
        <w:pPr>
          <w:pStyle w:val="Footer"/>
          <w:jc w:val="center"/>
          <w:rPr>
            <w:rFonts w:asciiTheme="majorHAnsi" w:hAnsiTheme="majorHAnsi"/>
            <w:sz w:val="20"/>
            <w:szCs w:val="20"/>
          </w:rPr>
        </w:pPr>
        <w:r w:rsidRPr="00E95578">
          <w:rPr>
            <w:rFonts w:asciiTheme="majorHAnsi" w:hAnsiTheme="majorHAnsi"/>
            <w:sz w:val="20"/>
            <w:szCs w:val="20"/>
          </w:rPr>
          <w:fldChar w:fldCharType="begin"/>
        </w:r>
        <w:r w:rsidRPr="00E95578">
          <w:rPr>
            <w:rFonts w:asciiTheme="majorHAnsi" w:hAnsiTheme="majorHAnsi"/>
            <w:sz w:val="20"/>
            <w:szCs w:val="20"/>
          </w:rPr>
          <w:instrText xml:space="preserve"> PAGE   \* MERGEFORMAT </w:instrText>
        </w:r>
        <w:r w:rsidRPr="00E95578">
          <w:rPr>
            <w:rFonts w:asciiTheme="majorHAnsi" w:hAnsiTheme="majorHAnsi"/>
            <w:sz w:val="20"/>
            <w:szCs w:val="20"/>
          </w:rPr>
          <w:fldChar w:fldCharType="separate"/>
        </w:r>
        <w:r w:rsidRPr="00E95578">
          <w:rPr>
            <w:rFonts w:asciiTheme="majorHAnsi" w:hAnsiTheme="majorHAnsi"/>
            <w:noProof/>
            <w:sz w:val="20"/>
            <w:szCs w:val="20"/>
          </w:rPr>
          <w:t>2</w:t>
        </w:r>
        <w:r w:rsidRPr="00E95578">
          <w:rPr>
            <w:rFonts w:asciiTheme="majorHAnsi" w:hAnsi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4ACA" w14:textId="77777777" w:rsidR="000E45C2" w:rsidRDefault="000E45C2">
      <w:r>
        <w:separator/>
      </w:r>
    </w:p>
  </w:footnote>
  <w:footnote w:type="continuationSeparator" w:id="0">
    <w:p w14:paraId="6AF4B858" w14:textId="77777777" w:rsidR="000E45C2" w:rsidRDefault="000E4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821"/>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15301446"/>
    <w:multiLevelType w:val="multilevel"/>
    <w:tmpl w:val="EB62B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625D6"/>
    <w:multiLevelType w:val="hybridMultilevel"/>
    <w:tmpl w:val="72689620"/>
    <w:lvl w:ilvl="0" w:tplc="B2422A12">
      <w:start w:val="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0216D0"/>
    <w:multiLevelType w:val="multilevel"/>
    <w:tmpl w:val="B148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C0E3E"/>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45051403"/>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A6"/>
    <w:rsid w:val="0003616D"/>
    <w:rsid w:val="0006247A"/>
    <w:rsid w:val="000659C4"/>
    <w:rsid w:val="00094352"/>
    <w:rsid w:val="000B5F5A"/>
    <w:rsid w:val="000C4F26"/>
    <w:rsid w:val="000D247F"/>
    <w:rsid w:val="000D7EC6"/>
    <w:rsid w:val="000E45C2"/>
    <w:rsid w:val="000E6DD0"/>
    <w:rsid w:val="000F6A8D"/>
    <w:rsid w:val="001076BF"/>
    <w:rsid w:val="00113BC5"/>
    <w:rsid w:val="001678F5"/>
    <w:rsid w:val="001E3676"/>
    <w:rsid w:val="001E68D1"/>
    <w:rsid w:val="001F1951"/>
    <w:rsid w:val="00254FF9"/>
    <w:rsid w:val="00283E76"/>
    <w:rsid w:val="002E699A"/>
    <w:rsid w:val="002F3A35"/>
    <w:rsid w:val="003025EE"/>
    <w:rsid w:val="00323E1A"/>
    <w:rsid w:val="00332D96"/>
    <w:rsid w:val="00346639"/>
    <w:rsid w:val="00373D99"/>
    <w:rsid w:val="003E2062"/>
    <w:rsid w:val="00402F50"/>
    <w:rsid w:val="00426531"/>
    <w:rsid w:val="00442328"/>
    <w:rsid w:val="0045394E"/>
    <w:rsid w:val="004540CB"/>
    <w:rsid w:val="0046101B"/>
    <w:rsid w:val="004E32FD"/>
    <w:rsid w:val="00510690"/>
    <w:rsid w:val="00537789"/>
    <w:rsid w:val="00566B06"/>
    <w:rsid w:val="00576CED"/>
    <w:rsid w:val="00597B14"/>
    <w:rsid w:val="005C71A6"/>
    <w:rsid w:val="005E3411"/>
    <w:rsid w:val="00605313"/>
    <w:rsid w:val="00622379"/>
    <w:rsid w:val="0064198F"/>
    <w:rsid w:val="0066110C"/>
    <w:rsid w:val="006856CB"/>
    <w:rsid w:val="006914F4"/>
    <w:rsid w:val="006A3B16"/>
    <w:rsid w:val="006C0637"/>
    <w:rsid w:val="007221E0"/>
    <w:rsid w:val="00737211"/>
    <w:rsid w:val="00760FF2"/>
    <w:rsid w:val="00764B45"/>
    <w:rsid w:val="00771985"/>
    <w:rsid w:val="007963F6"/>
    <w:rsid w:val="00836401"/>
    <w:rsid w:val="0094690C"/>
    <w:rsid w:val="00947DDB"/>
    <w:rsid w:val="00977B9C"/>
    <w:rsid w:val="00982B16"/>
    <w:rsid w:val="009A6940"/>
    <w:rsid w:val="009B6375"/>
    <w:rsid w:val="009F47B2"/>
    <w:rsid w:val="00A518C7"/>
    <w:rsid w:val="00A943A4"/>
    <w:rsid w:val="00B239D3"/>
    <w:rsid w:val="00B5720D"/>
    <w:rsid w:val="00B85DC9"/>
    <w:rsid w:val="00B976B0"/>
    <w:rsid w:val="00BD3864"/>
    <w:rsid w:val="00BE4070"/>
    <w:rsid w:val="00BE59E6"/>
    <w:rsid w:val="00BF41CC"/>
    <w:rsid w:val="00C23F87"/>
    <w:rsid w:val="00C41928"/>
    <w:rsid w:val="00C72C47"/>
    <w:rsid w:val="00C74360"/>
    <w:rsid w:val="00C900C2"/>
    <w:rsid w:val="00C94FC1"/>
    <w:rsid w:val="00D26071"/>
    <w:rsid w:val="00D3444D"/>
    <w:rsid w:val="00DC2387"/>
    <w:rsid w:val="00DC6357"/>
    <w:rsid w:val="00E309D3"/>
    <w:rsid w:val="00E67DA9"/>
    <w:rsid w:val="00E918F8"/>
    <w:rsid w:val="00E95578"/>
    <w:rsid w:val="00EB37B6"/>
    <w:rsid w:val="00EC101F"/>
    <w:rsid w:val="00ED12B0"/>
    <w:rsid w:val="00EE73FE"/>
    <w:rsid w:val="00F067A8"/>
    <w:rsid w:val="00F77C95"/>
    <w:rsid w:val="00F86040"/>
    <w:rsid w:val="00F92882"/>
    <w:rsid w:val="00FF4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D4D4C"/>
  <w15:docId w15:val="{9CD02B0F-C592-421A-9B91-FC51BD43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1Paragraph">
    <w:name w:val="1Paragraph"/>
    <w:pPr>
      <w:tabs>
        <w:tab w:val="left" w:pos="720"/>
      </w:tabs>
      <w:autoSpaceDE w:val="0"/>
      <w:autoSpaceDN w:val="0"/>
      <w:adjustRightInd w:val="0"/>
      <w:ind w:left="720" w:hanging="720"/>
    </w:pPr>
    <w:rPr>
      <w:rFonts w:ascii="Courier 10cpi" w:hAnsi="Courier 10cpi"/>
      <w:szCs w:val="24"/>
    </w:rPr>
  </w:style>
  <w:style w:type="paragraph" w:styleId="BodyTextIndent">
    <w:name w:val="Body Text Indent"/>
    <w:basedOn w:val="Normal"/>
    <w:pPr>
      <w:tabs>
        <w:tab w:val="left" w:pos="-720"/>
        <w:tab w:val="left" w:pos="180"/>
        <w:tab w:val="left" w:pos="720"/>
        <w:tab w:val="left" w:pos="817"/>
        <w:tab w:val="left" w:pos="1152"/>
      </w:tabs>
      <w:spacing w:line="287" w:lineRule="atLeast"/>
      <w:ind w:left="180"/>
    </w:pPr>
    <w:rPr>
      <w:sz w:val="22"/>
      <w:szCs w:val="22"/>
      <w:lang w:val="en-GB"/>
    </w:rPr>
  </w:style>
  <w:style w:type="character" w:styleId="PageNumber">
    <w:name w:val="page number"/>
    <w:basedOn w:val="DefaultParagraphFont"/>
  </w:style>
  <w:style w:type="paragraph" w:styleId="ListParagraph">
    <w:name w:val="List Paragraph"/>
    <w:basedOn w:val="Normal"/>
    <w:uiPriority w:val="34"/>
    <w:qFormat/>
    <w:rsid w:val="001076BF"/>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FooterChar">
    <w:name w:val="Footer Char"/>
    <w:basedOn w:val="DefaultParagraphFont"/>
    <w:link w:val="Footer"/>
    <w:uiPriority w:val="99"/>
    <w:rsid w:val="00E955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1333">
      <w:bodyDiv w:val="1"/>
      <w:marLeft w:val="0"/>
      <w:marRight w:val="0"/>
      <w:marTop w:val="0"/>
      <w:marBottom w:val="0"/>
      <w:divBdr>
        <w:top w:val="none" w:sz="0" w:space="0" w:color="auto"/>
        <w:left w:val="none" w:sz="0" w:space="0" w:color="auto"/>
        <w:bottom w:val="none" w:sz="0" w:space="0" w:color="auto"/>
        <w:right w:val="none" w:sz="0" w:space="0" w:color="auto"/>
      </w:divBdr>
    </w:div>
    <w:div w:id="1500806753">
      <w:bodyDiv w:val="1"/>
      <w:marLeft w:val="0"/>
      <w:marRight w:val="0"/>
      <w:marTop w:val="0"/>
      <w:marBottom w:val="0"/>
      <w:divBdr>
        <w:top w:val="none" w:sz="0" w:space="0" w:color="auto"/>
        <w:left w:val="none" w:sz="0" w:space="0" w:color="auto"/>
        <w:bottom w:val="none" w:sz="0" w:space="0" w:color="auto"/>
        <w:right w:val="none" w:sz="0" w:space="0" w:color="auto"/>
      </w:divBdr>
    </w:div>
    <w:div w:id="172821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477</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TENTATIVE AGENDA, STANDING COMMITTEE ON RESEARCH &amp; STATISTICS (SCRS)</vt:lpstr>
    </vt:vector>
  </TitlesOfParts>
  <Company>ICCAT</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 STANDING COMMITTEE ON RESEARCH &amp; STATISTICS (SCRS)</dc:title>
  <dc:creator>Phil Seidita</dc:creator>
  <cp:lastModifiedBy>Dorothee Pinet</cp:lastModifiedBy>
  <cp:revision>21</cp:revision>
  <cp:lastPrinted>2004-08-10T13:18:00Z</cp:lastPrinted>
  <dcterms:created xsi:type="dcterms:W3CDTF">2021-10-20T06:55:00Z</dcterms:created>
  <dcterms:modified xsi:type="dcterms:W3CDTF">2021-12-16T10:57:00Z</dcterms:modified>
</cp:coreProperties>
</file>