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2AFC3" w14:textId="3D741F3E" w:rsidR="005228FC" w:rsidRPr="00433DB0" w:rsidRDefault="005228FC" w:rsidP="005228FC">
      <w:pPr>
        <w:pBdr>
          <w:top w:val="double" w:sz="4" w:space="1" w:color="auto"/>
          <w:left w:val="double" w:sz="4" w:space="4" w:color="auto"/>
          <w:bottom w:val="double" w:sz="4" w:space="1" w:color="auto"/>
          <w:right w:val="double" w:sz="4" w:space="4" w:color="auto"/>
        </w:pBdr>
        <w:ind w:left="8222" w:hanging="8222"/>
        <w:jc w:val="center"/>
        <w:rPr>
          <w:rFonts w:ascii="Cambria" w:hAnsi="Cambria"/>
          <w:b/>
          <w:bCs/>
          <w:sz w:val="20"/>
          <w:szCs w:val="20"/>
        </w:rPr>
      </w:pPr>
      <w:r w:rsidRPr="00433DB0">
        <w:rPr>
          <w:rFonts w:ascii="Cambria" w:hAnsi="Cambria"/>
          <w:b/>
          <w:bCs/>
          <w:sz w:val="20"/>
          <w:szCs w:val="20"/>
        </w:rPr>
        <w:t>21-</w:t>
      </w:r>
      <w:r w:rsidR="00BC1E6A" w:rsidRPr="00433DB0">
        <w:rPr>
          <w:rFonts w:ascii="Cambria" w:hAnsi="Cambria"/>
          <w:b/>
          <w:bCs/>
          <w:sz w:val="20"/>
          <w:szCs w:val="20"/>
        </w:rPr>
        <w:t>16</w:t>
      </w:r>
      <w:r w:rsidRPr="00433DB0">
        <w:rPr>
          <w:rFonts w:ascii="Cambria" w:hAnsi="Cambria"/>
          <w:b/>
          <w:bCs/>
          <w:sz w:val="20"/>
          <w:szCs w:val="20"/>
        </w:rPr>
        <w:tab/>
      </w:r>
      <w:r w:rsidR="00BC1E6A" w:rsidRPr="00433DB0">
        <w:rPr>
          <w:rFonts w:ascii="Cambria" w:hAnsi="Cambria"/>
          <w:b/>
          <w:bCs/>
          <w:sz w:val="20"/>
          <w:szCs w:val="20"/>
        </w:rPr>
        <w:t>GEN</w:t>
      </w:r>
    </w:p>
    <w:p w14:paraId="4C55797A" w14:textId="77777777" w:rsidR="005228FC" w:rsidRPr="00433DB0" w:rsidRDefault="005228FC" w:rsidP="005228FC">
      <w:pPr>
        <w:pBdr>
          <w:top w:val="double" w:sz="4" w:space="1" w:color="auto"/>
          <w:left w:val="double" w:sz="4" w:space="4" w:color="auto"/>
          <w:bottom w:val="double" w:sz="4" w:space="1" w:color="auto"/>
          <w:right w:val="double" w:sz="4" w:space="4" w:color="auto"/>
        </w:pBdr>
        <w:jc w:val="center"/>
        <w:rPr>
          <w:rFonts w:ascii="Cambria" w:hAnsi="Cambria"/>
          <w:b/>
          <w:bCs/>
          <w:sz w:val="20"/>
          <w:szCs w:val="20"/>
        </w:rPr>
      </w:pPr>
    </w:p>
    <w:p w14:paraId="6E8DE824" w14:textId="450E2E99" w:rsidR="00C605AB" w:rsidRPr="00433DB0" w:rsidRDefault="00AD0DEF" w:rsidP="005228FC">
      <w:pPr>
        <w:pBdr>
          <w:top w:val="double" w:sz="4" w:space="1" w:color="auto"/>
          <w:left w:val="double" w:sz="4" w:space="4" w:color="auto"/>
          <w:bottom w:val="double" w:sz="4" w:space="1" w:color="auto"/>
          <w:right w:val="double" w:sz="4" w:space="4" w:color="auto"/>
        </w:pBdr>
        <w:jc w:val="center"/>
        <w:rPr>
          <w:rFonts w:ascii="Cambria" w:hAnsi="Cambria"/>
          <w:b/>
          <w:bCs/>
          <w:sz w:val="20"/>
          <w:szCs w:val="20"/>
        </w:rPr>
      </w:pPr>
      <w:r w:rsidRPr="00433DB0">
        <w:rPr>
          <w:rFonts w:ascii="Cambria" w:hAnsi="Cambria"/>
          <w:b/>
          <w:bCs/>
          <w:sz w:val="20"/>
          <w:szCs w:val="20"/>
        </w:rPr>
        <w:t xml:space="preserve">RECOMMANDATION DE L’ICCAT AMENDANT LA RECOMMANDATION 07-08 CONCERNANT UN FORMAT ET UN PROTOCOLE D’ÉCHANGE DES DONNÉES EN CE QUI CONCERNE LE SYSTÈME DE SURVEILLANCE DES NAVIRES (VMS) DANS LA ZONE DE LA CONVENTION </w:t>
      </w:r>
      <w:r w:rsidR="0095260B" w:rsidRPr="00433DB0">
        <w:rPr>
          <w:rFonts w:ascii="Cambria" w:hAnsi="Cambria"/>
          <w:b/>
          <w:bCs/>
          <w:sz w:val="20"/>
          <w:szCs w:val="20"/>
        </w:rPr>
        <w:t>DE L’I</w:t>
      </w:r>
      <w:r w:rsidRPr="00433DB0">
        <w:rPr>
          <w:rFonts w:ascii="Cambria" w:hAnsi="Cambria"/>
          <w:b/>
          <w:bCs/>
          <w:sz w:val="20"/>
          <w:szCs w:val="20"/>
        </w:rPr>
        <w:t>CCAT POUR LA PÊCHE DU THON ROUGE</w:t>
      </w:r>
    </w:p>
    <w:p w14:paraId="3C4D1239" w14:textId="77777777" w:rsidR="005228FC" w:rsidRPr="00433DB0" w:rsidRDefault="005228FC" w:rsidP="005228FC">
      <w:pPr>
        <w:pBdr>
          <w:top w:val="double" w:sz="4" w:space="1" w:color="auto"/>
          <w:left w:val="double" w:sz="4" w:space="4" w:color="auto"/>
          <w:bottom w:val="double" w:sz="4" w:space="1" w:color="auto"/>
          <w:right w:val="double" w:sz="4" w:space="4" w:color="auto"/>
        </w:pBdr>
        <w:jc w:val="center"/>
        <w:rPr>
          <w:rFonts w:ascii="Cambria" w:hAnsi="Cambria"/>
          <w:b/>
          <w:bCs/>
          <w:sz w:val="20"/>
          <w:szCs w:val="20"/>
        </w:rPr>
      </w:pPr>
    </w:p>
    <w:p w14:paraId="07489AAD" w14:textId="77777777" w:rsidR="00AD0DEF" w:rsidRPr="00433DB0" w:rsidRDefault="00AD0DEF" w:rsidP="00AD0DEF">
      <w:pPr>
        <w:jc w:val="center"/>
        <w:rPr>
          <w:rFonts w:ascii="Cambria" w:hAnsi="Cambria"/>
          <w:b/>
          <w:bCs/>
          <w:sz w:val="20"/>
          <w:szCs w:val="20"/>
        </w:rPr>
      </w:pPr>
    </w:p>
    <w:p w14:paraId="3320F0F6" w14:textId="11C8EE2E" w:rsidR="00AD0DEF" w:rsidRPr="00433DB0" w:rsidRDefault="00AD0DEF" w:rsidP="00AD0DEF">
      <w:pPr>
        <w:jc w:val="center"/>
        <w:rPr>
          <w:rFonts w:ascii="Cambria" w:hAnsi="Cambria"/>
          <w:b/>
          <w:bCs/>
          <w:sz w:val="20"/>
          <w:szCs w:val="20"/>
        </w:rPr>
      </w:pPr>
    </w:p>
    <w:p w14:paraId="6EFCEAED" w14:textId="77777777" w:rsidR="00CA7F7C" w:rsidRPr="001B3946" w:rsidRDefault="00CA7F7C" w:rsidP="00CA7F7C">
      <w:pPr>
        <w:ind w:firstLine="426"/>
        <w:jc w:val="both"/>
        <w:rPr>
          <w:rFonts w:ascii="Cambria" w:eastAsia="Times New Roman" w:hAnsi="Cambria" w:cs="Times New Roman"/>
          <w:sz w:val="20"/>
          <w:szCs w:val="20"/>
        </w:rPr>
      </w:pPr>
      <w:bookmarkStart w:id="0" w:name="_Hlk89243947"/>
      <w:r w:rsidRPr="001B3946">
        <w:rPr>
          <w:rFonts w:ascii="Cambria" w:eastAsia="Batang" w:hAnsi="Cambria" w:cs="Times New Roman"/>
          <w:i/>
          <w:sz w:val="20"/>
          <w:szCs w:val="20"/>
        </w:rPr>
        <w:t>CONFORMÉMENT</w:t>
      </w:r>
      <w:r w:rsidRPr="001B3946">
        <w:rPr>
          <w:rFonts w:ascii="Cambria" w:eastAsia="Batang" w:hAnsi="Cambria" w:cs="Times New Roman"/>
          <w:sz w:val="20"/>
          <w:szCs w:val="20"/>
        </w:rPr>
        <w:t xml:space="preserve"> au paragraphe 218 de la </w:t>
      </w:r>
      <w:r w:rsidRPr="001B3946">
        <w:rPr>
          <w:rFonts w:ascii="Cambria" w:eastAsia="Times New Roman" w:hAnsi="Cambria" w:cs="Times New Roman"/>
          <w:i/>
          <w:iCs/>
          <w:sz w:val="20"/>
          <w:szCs w:val="20"/>
          <w:lang w:eastAsia="fr-FR" w:bidi="fr-FR"/>
        </w:rPr>
        <w:t>Recommandation de l’ICCAT amendant la Recommandation 19-04 amendant la Recommandation 18-02 établissant un plan pluriannuel de gestion du thon rouge dans l’Atlantique Est et la Méditerranée</w:t>
      </w:r>
      <w:r w:rsidRPr="001B3946">
        <w:rPr>
          <w:rFonts w:ascii="Cambria" w:eastAsia="Times New Roman" w:hAnsi="Cambria" w:cs="Times New Roman"/>
          <w:i/>
          <w:iCs/>
          <w:strike/>
          <w:sz w:val="20"/>
          <w:szCs w:val="20"/>
          <w:lang w:eastAsia="fr-FR" w:bidi="fr-FR"/>
        </w:rPr>
        <w:t xml:space="preserve"> </w:t>
      </w:r>
      <w:r w:rsidRPr="001B3946">
        <w:rPr>
          <w:rFonts w:ascii="Cambria" w:eastAsia="Times New Roman" w:hAnsi="Cambria" w:cs="Times New Roman"/>
          <w:iCs/>
          <w:sz w:val="20"/>
          <w:szCs w:val="20"/>
        </w:rPr>
        <w:t>(</w:t>
      </w:r>
      <w:r w:rsidRPr="001B3946">
        <w:rPr>
          <w:rFonts w:ascii="Cambria" w:eastAsia="Times New Roman" w:hAnsi="Cambria" w:cs="Times New Roman"/>
          <w:sz w:val="20"/>
          <w:szCs w:val="20"/>
        </w:rPr>
        <w:t>Rec. 21-08)</w:t>
      </w:r>
      <w:r w:rsidRPr="001B3946">
        <w:rPr>
          <w:rFonts w:ascii="Cambria" w:eastAsia="Times New Roman" w:hAnsi="Cambria" w:cs="Times New Roman"/>
          <w:sz w:val="20"/>
          <w:szCs w:val="20"/>
          <w:vertAlign w:val="superscript"/>
        </w:rPr>
        <w:footnoteReference w:id="1"/>
      </w:r>
      <w:r w:rsidRPr="001B3946">
        <w:rPr>
          <w:rFonts w:ascii="Cambria" w:eastAsia="Times New Roman" w:hAnsi="Cambria" w:cs="Times New Roman"/>
          <w:sz w:val="20"/>
          <w:szCs w:val="20"/>
        </w:rPr>
        <w:t> ;</w:t>
      </w:r>
    </w:p>
    <w:bookmarkEnd w:id="0"/>
    <w:p w14:paraId="5F5552BF" w14:textId="77777777" w:rsidR="00AD0DEF" w:rsidRPr="00433DB0" w:rsidRDefault="00AD0DEF" w:rsidP="00AD0DEF">
      <w:pPr>
        <w:tabs>
          <w:tab w:val="left" w:pos="340"/>
        </w:tabs>
        <w:jc w:val="both"/>
        <w:rPr>
          <w:rFonts w:ascii="Cambria" w:eastAsia="Times New Roman" w:hAnsi="Cambria" w:cs="Times New Roman"/>
          <w:sz w:val="20"/>
          <w:szCs w:val="20"/>
        </w:rPr>
      </w:pPr>
    </w:p>
    <w:p w14:paraId="675451C2" w14:textId="77777777" w:rsidR="00AD0DEF" w:rsidRPr="00433DB0" w:rsidRDefault="00AD0DEF" w:rsidP="00AD0DEF">
      <w:pPr>
        <w:widowControl w:val="0"/>
        <w:tabs>
          <w:tab w:val="left" w:pos="340"/>
        </w:tabs>
        <w:jc w:val="center"/>
        <w:rPr>
          <w:rFonts w:ascii="Cambria" w:eastAsia="Batang" w:hAnsi="Cambria" w:cs="Times New Roman"/>
          <w:sz w:val="20"/>
          <w:szCs w:val="20"/>
        </w:rPr>
      </w:pPr>
      <w:r w:rsidRPr="00433DB0">
        <w:rPr>
          <w:rFonts w:ascii="Cambria" w:eastAsia="Batang" w:hAnsi="Cambria" w:cs="Times New Roman"/>
          <w:sz w:val="20"/>
          <w:szCs w:val="20"/>
        </w:rPr>
        <w:t>LA COMMISSION INTERNATIONALE POUR LA CONSERVATION DES</w:t>
      </w:r>
    </w:p>
    <w:p w14:paraId="28D180A8" w14:textId="77777777" w:rsidR="00AD0DEF" w:rsidRPr="00433DB0" w:rsidRDefault="00AD0DEF" w:rsidP="00AD0DEF">
      <w:pPr>
        <w:widowControl w:val="0"/>
        <w:tabs>
          <w:tab w:val="left" w:pos="340"/>
        </w:tabs>
        <w:jc w:val="center"/>
        <w:rPr>
          <w:rFonts w:ascii="Cambria" w:eastAsia="Batang" w:hAnsi="Cambria" w:cs="Times New Roman"/>
          <w:sz w:val="20"/>
          <w:szCs w:val="20"/>
        </w:rPr>
      </w:pPr>
      <w:r w:rsidRPr="00433DB0">
        <w:rPr>
          <w:rFonts w:ascii="Cambria" w:eastAsia="Batang" w:hAnsi="Cambria" w:cs="Times New Roman"/>
          <w:sz w:val="20"/>
          <w:szCs w:val="20"/>
        </w:rPr>
        <w:t>THONIDÉS DE L’ATLANTIQUE (ICCAT) RECOMMANDE CE QUI SUIT :</w:t>
      </w:r>
    </w:p>
    <w:p w14:paraId="08416635" w14:textId="77777777" w:rsidR="00AD0DEF" w:rsidRPr="00433DB0" w:rsidRDefault="00AD0DEF" w:rsidP="00AD0DEF">
      <w:pPr>
        <w:tabs>
          <w:tab w:val="left" w:pos="340"/>
        </w:tabs>
        <w:jc w:val="both"/>
        <w:rPr>
          <w:rFonts w:ascii="Cambria" w:eastAsia="Times New Roman" w:hAnsi="Cambria" w:cs="Times New Roman"/>
          <w:sz w:val="20"/>
          <w:szCs w:val="20"/>
        </w:rPr>
      </w:pPr>
    </w:p>
    <w:p w14:paraId="52DAE197" w14:textId="77777777" w:rsidR="00234997" w:rsidRPr="0055560C" w:rsidRDefault="00234997" w:rsidP="00234997">
      <w:pPr>
        <w:ind w:left="426" w:hanging="426"/>
        <w:jc w:val="both"/>
        <w:rPr>
          <w:rFonts w:ascii="Cambria" w:hAnsi="Cambria"/>
          <w:sz w:val="20"/>
          <w:szCs w:val="20"/>
        </w:rPr>
      </w:pPr>
      <w:r w:rsidRPr="0055560C">
        <w:rPr>
          <w:rFonts w:ascii="Cambria" w:eastAsia="Batang" w:hAnsi="Cambria"/>
          <w:sz w:val="20"/>
          <w:szCs w:val="20"/>
        </w:rPr>
        <w:t>1.</w:t>
      </w:r>
      <w:r w:rsidRPr="0055560C">
        <w:rPr>
          <w:rFonts w:ascii="Cambria" w:eastAsia="Batang" w:hAnsi="Cambria"/>
          <w:sz w:val="20"/>
          <w:szCs w:val="20"/>
        </w:rPr>
        <w:tab/>
        <w:t xml:space="preserve">Chaque Partie contractante et Partie, Entité ou Entité de pêche non contractante coopérante de pavillon (désignée ci-après « CPC ») devra mettre en œuvre un système de surveillance des navires (VMS) pour ses navires de pêche de thon rouge visés au paragraphe 218 de la </w:t>
      </w:r>
      <w:r w:rsidRPr="0055560C">
        <w:rPr>
          <w:rFonts w:ascii="Cambria" w:hAnsi="Cambria"/>
          <w:i/>
          <w:iCs/>
          <w:sz w:val="19"/>
          <w:szCs w:val="19"/>
          <w:lang w:eastAsia="fr-FR" w:bidi="fr-FR"/>
        </w:rPr>
        <w:t>Recommandation de l’ICCAT amendant la Recommandation 19-04 amendant la Recommandation 18-02 établissant un plan pluriannuel de gestion du thon rouge dans l’Atlantique Est et la Méditerranée</w:t>
      </w:r>
      <w:r w:rsidRPr="0055560C">
        <w:rPr>
          <w:rFonts w:ascii="Cambria" w:hAnsi="Cambria"/>
          <w:i/>
          <w:iCs/>
          <w:strike/>
          <w:sz w:val="19"/>
          <w:szCs w:val="19"/>
          <w:lang w:eastAsia="fr-FR" w:bidi="fr-FR"/>
        </w:rPr>
        <w:t xml:space="preserve"> </w:t>
      </w:r>
      <w:r w:rsidRPr="0055560C">
        <w:rPr>
          <w:rFonts w:ascii="Cambria" w:hAnsi="Cambria"/>
          <w:sz w:val="20"/>
          <w:szCs w:val="20"/>
        </w:rPr>
        <w:t xml:space="preserve">(Rec. 21-08), conformément à la </w:t>
      </w:r>
      <w:r w:rsidRPr="0055560C">
        <w:rPr>
          <w:rFonts w:ascii="Cambria" w:hAnsi="Cambria"/>
          <w:bCs/>
          <w:i/>
          <w:sz w:val="20"/>
          <w:szCs w:val="20"/>
        </w:rPr>
        <w:t>Recommandation de l’ICCAT concernant des normes minimales pour des systèmes de surveillance des bateaux dans la zone de la Convention de l’ICCAT</w:t>
      </w:r>
      <w:r w:rsidRPr="0055560C">
        <w:rPr>
          <w:rFonts w:ascii="Cambria" w:hAnsi="Cambria"/>
          <w:i/>
          <w:sz w:val="20"/>
          <w:szCs w:val="20"/>
        </w:rPr>
        <w:t xml:space="preserve"> </w:t>
      </w:r>
      <w:r w:rsidRPr="0055560C">
        <w:rPr>
          <w:rFonts w:ascii="Cambria" w:hAnsi="Cambria"/>
          <w:iCs/>
          <w:sz w:val="20"/>
          <w:szCs w:val="20"/>
        </w:rPr>
        <w:t>(</w:t>
      </w:r>
      <w:r w:rsidRPr="0055560C">
        <w:rPr>
          <w:rFonts w:ascii="Cambria" w:hAnsi="Cambria"/>
          <w:sz w:val="20"/>
          <w:szCs w:val="20"/>
        </w:rPr>
        <w:t>Rec. 18-10)</w:t>
      </w:r>
      <w:r w:rsidRPr="0055560C">
        <w:rPr>
          <w:rFonts w:ascii="ZWAdobeF" w:hAnsi="ZWAdobeF" w:cs="ZWAdobeF"/>
          <w:sz w:val="2"/>
          <w:szCs w:val="2"/>
        </w:rPr>
        <w:t>74F78F</w:t>
      </w:r>
      <w:r w:rsidRPr="0055560C">
        <w:rPr>
          <w:rFonts w:ascii="Cambria" w:hAnsi="Cambria"/>
          <w:sz w:val="20"/>
          <w:szCs w:val="20"/>
        </w:rPr>
        <w:t>.</w:t>
      </w:r>
    </w:p>
    <w:p w14:paraId="5D4EBCA2" w14:textId="77777777" w:rsidR="00AD0DEF" w:rsidRPr="00433DB0" w:rsidRDefault="00AD0DEF" w:rsidP="00AD0DEF">
      <w:pPr>
        <w:tabs>
          <w:tab w:val="left" w:pos="340"/>
        </w:tabs>
        <w:jc w:val="both"/>
        <w:rPr>
          <w:rFonts w:ascii="Cambria" w:eastAsia="Times New Roman" w:hAnsi="Cambria" w:cs="Times New Roman"/>
          <w:sz w:val="20"/>
          <w:szCs w:val="20"/>
        </w:rPr>
      </w:pPr>
    </w:p>
    <w:p w14:paraId="30A77D8D" w14:textId="52B925ED" w:rsidR="00AD0DEF" w:rsidRPr="00433DB0" w:rsidRDefault="00AD0DEF" w:rsidP="00AD0DEF">
      <w:pPr>
        <w:tabs>
          <w:tab w:val="left" w:pos="340"/>
        </w:tabs>
        <w:ind w:left="360" w:hanging="360"/>
        <w:jc w:val="both"/>
        <w:rPr>
          <w:rFonts w:ascii="Cambria" w:eastAsia="Times New Roman" w:hAnsi="Cambria" w:cs="Times New Roman"/>
          <w:sz w:val="20"/>
          <w:szCs w:val="20"/>
        </w:rPr>
      </w:pPr>
      <w:r w:rsidRPr="00433DB0">
        <w:rPr>
          <w:rFonts w:ascii="Cambria" w:eastAsia="Times New Roman" w:hAnsi="Cambria" w:cs="Times New Roman"/>
          <w:sz w:val="20"/>
          <w:szCs w:val="20"/>
        </w:rPr>
        <w:t>2.</w:t>
      </w:r>
      <w:r w:rsidRPr="00433DB0">
        <w:rPr>
          <w:rFonts w:ascii="Cambria" w:eastAsia="Times New Roman" w:hAnsi="Cambria" w:cs="Times New Roman"/>
          <w:sz w:val="20"/>
          <w:szCs w:val="20"/>
        </w:rPr>
        <w:tab/>
        <w:t xml:space="preserve">Le </w:t>
      </w:r>
      <w:r w:rsidRPr="00433DB0">
        <w:rPr>
          <w:rFonts w:ascii="Cambria" w:eastAsia="Batang" w:hAnsi="Cambria" w:cs="Times New Roman"/>
          <w:sz w:val="20"/>
          <w:szCs w:val="20"/>
        </w:rPr>
        <w:t>système</w:t>
      </w:r>
      <w:r w:rsidRPr="00433DB0">
        <w:rPr>
          <w:rFonts w:ascii="Cambria" w:eastAsia="Times New Roman" w:hAnsi="Cambria" w:cs="Times New Roman"/>
          <w:sz w:val="20"/>
          <w:szCs w:val="20"/>
        </w:rPr>
        <w:t xml:space="preserve"> autonome visé au paragraphe 1(a) de la </w:t>
      </w:r>
      <w:r w:rsidR="00B0316B" w:rsidRPr="00433DB0">
        <w:rPr>
          <w:rFonts w:ascii="Cambria" w:eastAsia="Times New Roman" w:hAnsi="Cambria" w:cs="Times New Roman"/>
          <w:bCs/>
          <w:i/>
          <w:sz w:val="20"/>
          <w:szCs w:val="20"/>
        </w:rPr>
        <w:t>Recommandation de l’ICCAT concernant des normes minimales pour des systèmes de surveillance des bateaux dans la zone de la Convention de l’ICCAT</w:t>
      </w:r>
      <w:r w:rsidR="00B0316B" w:rsidRPr="00433DB0">
        <w:rPr>
          <w:rFonts w:ascii="Cambria" w:eastAsia="Times New Roman" w:hAnsi="Cambria" w:cs="Times New Roman"/>
          <w:i/>
          <w:sz w:val="20"/>
          <w:szCs w:val="20"/>
        </w:rPr>
        <w:t xml:space="preserve"> </w:t>
      </w:r>
      <w:r w:rsidR="008E7B86" w:rsidRPr="00433DB0">
        <w:rPr>
          <w:rFonts w:ascii="Cambria" w:eastAsia="Times New Roman" w:hAnsi="Cambria" w:cs="Times New Roman"/>
          <w:sz w:val="20"/>
          <w:szCs w:val="20"/>
        </w:rPr>
        <w:t>(</w:t>
      </w:r>
      <w:r w:rsidRPr="00433DB0">
        <w:rPr>
          <w:rFonts w:ascii="Cambria" w:eastAsia="Times New Roman" w:hAnsi="Cambria" w:cs="Times New Roman"/>
          <w:sz w:val="20"/>
          <w:szCs w:val="20"/>
        </w:rPr>
        <w:t xml:space="preserve">Rec. </w:t>
      </w:r>
      <w:r w:rsidR="008E7B86" w:rsidRPr="00433DB0">
        <w:rPr>
          <w:rFonts w:ascii="Cambria" w:eastAsia="Times New Roman" w:hAnsi="Cambria" w:cs="Times New Roman"/>
          <w:sz w:val="20"/>
          <w:szCs w:val="20"/>
        </w:rPr>
        <w:t>18-10)</w:t>
      </w:r>
      <w:r w:rsidR="0090428F" w:rsidRPr="00433DB0">
        <w:rPr>
          <w:rFonts w:ascii="Cambria" w:eastAsia="Times New Roman" w:hAnsi="Cambria" w:cs="Times New Roman"/>
          <w:sz w:val="20"/>
          <w:szCs w:val="20"/>
          <w:vertAlign w:val="superscript"/>
        </w:rPr>
        <w:t xml:space="preserve"> </w:t>
      </w:r>
      <w:r w:rsidRPr="00433DB0">
        <w:rPr>
          <w:rFonts w:ascii="Cambria" w:eastAsia="Times New Roman" w:hAnsi="Cambria" w:cs="Times New Roman"/>
          <w:sz w:val="20"/>
          <w:szCs w:val="20"/>
        </w:rPr>
        <w:t>devra être conforme aux spécifications et au calendrier décrits à l’</w:t>
      </w:r>
      <w:r w:rsidR="005228FC" w:rsidRPr="00433DB0">
        <w:rPr>
          <w:rFonts w:ascii="Cambria" w:eastAsia="Times New Roman" w:hAnsi="Cambria" w:cs="Times New Roman"/>
          <w:b/>
          <w:sz w:val="20"/>
          <w:szCs w:val="20"/>
        </w:rPr>
        <w:t>a</w:t>
      </w:r>
      <w:r w:rsidRPr="00433DB0">
        <w:rPr>
          <w:rFonts w:ascii="Cambria" w:eastAsia="Times New Roman" w:hAnsi="Cambria" w:cs="Times New Roman"/>
          <w:b/>
          <w:sz w:val="20"/>
          <w:szCs w:val="20"/>
        </w:rPr>
        <w:t>nnexe 1</w:t>
      </w:r>
      <w:r w:rsidRPr="00433DB0">
        <w:rPr>
          <w:rFonts w:ascii="Cambria" w:eastAsia="Times New Roman" w:hAnsi="Cambria" w:cs="Times New Roman"/>
          <w:sz w:val="20"/>
          <w:szCs w:val="20"/>
        </w:rPr>
        <w:t>.</w:t>
      </w:r>
    </w:p>
    <w:p w14:paraId="248856E0" w14:textId="77777777" w:rsidR="00AD0DEF" w:rsidRPr="00433DB0" w:rsidRDefault="00AD0DEF" w:rsidP="00AD0DEF">
      <w:pPr>
        <w:tabs>
          <w:tab w:val="left" w:pos="340"/>
        </w:tabs>
        <w:jc w:val="both"/>
        <w:rPr>
          <w:rFonts w:ascii="Cambria" w:eastAsia="Times New Roman" w:hAnsi="Cambria" w:cs="Times New Roman"/>
          <w:sz w:val="20"/>
          <w:szCs w:val="20"/>
        </w:rPr>
      </w:pPr>
    </w:p>
    <w:p w14:paraId="1D79A240" w14:textId="77777777" w:rsidR="00AD0DEF" w:rsidRPr="00433DB0" w:rsidRDefault="00AD0DEF" w:rsidP="00AD0DEF">
      <w:pPr>
        <w:tabs>
          <w:tab w:val="left" w:pos="340"/>
        </w:tabs>
        <w:ind w:left="360" w:hanging="360"/>
        <w:jc w:val="both"/>
        <w:rPr>
          <w:rFonts w:ascii="Cambria" w:eastAsia="Times New Roman" w:hAnsi="Cambria" w:cs="Times New Roman"/>
          <w:sz w:val="20"/>
          <w:szCs w:val="20"/>
        </w:rPr>
      </w:pPr>
      <w:r w:rsidRPr="00433DB0">
        <w:rPr>
          <w:rFonts w:ascii="Cambria" w:eastAsia="Times New Roman" w:hAnsi="Cambria" w:cs="Times New Roman"/>
          <w:sz w:val="20"/>
          <w:szCs w:val="20"/>
        </w:rPr>
        <w:t>3.</w:t>
      </w:r>
      <w:r w:rsidRPr="00433DB0">
        <w:rPr>
          <w:rFonts w:ascii="Cambria" w:eastAsia="Times New Roman" w:hAnsi="Cambria" w:cs="Times New Roman"/>
          <w:sz w:val="20"/>
          <w:szCs w:val="20"/>
        </w:rPr>
        <w:tab/>
        <w:t>Chaque CPC devra communiquer les messages, en vertu du paragraphe 1, au Secrétariat de l’ICCAT, par voie électronique. En cas de défaillance technique, les messages devront néanmoins être transmis par voie électronique au Secrétariat de l’ICCAT dans un délai de 24 heures.</w:t>
      </w:r>
    </w:p>
    <w:p w14:paraId="5E5220AE" w14:textId="77777777" w:rsidR="00AD0DEF" w:rsidRPr="00433DB0" w:rsidRDefault="00AD0DEF" w:rsidP="00AD0DEF">
      <w:pPr>
        <w:tabs>
          <w:tab w:val="left" w:pos="340"/>
        </w:tabs>
        <w:jc w:val="both"/>
        <w:rPr>
          <w:rFonts w:ascii="Cambria" w:eastAsia="Times New Roman" w:hAnsi="Cambria" w:cs="Times New Roman"/>
          <w:sz w:val="20"/>
          <w:szCs w:val="20"/>
        </w:rPr>
      </w:pPr>
    </w:p>
    <w:p w14:paraId="0FBC8C3B" w14:textId="0805E930" w:rsidR="00AD0DEF" w:rsidRPr="00433DB0" w:rsidRDefault="00AD0DEF" w:rsidP="00AD0DEF">
      <w:pPr>
        <w:tabs>
          <w:tab w:val="left" w:pos="340"/>
        </w:tabs>
        <w:ind w:left="360" w:hanging="360"/>
        <w:jc w:val="both"/>
        <w:rPr>
          <w:rFonts w:ascii="Cambria" w:eastAsia="Times New Roman" w:hAnsi="Cambria" w:cs="Times New Roman"/>
          <w:sz w:val="20"/>
          <w:szCs w:val="20"/>
        </w:rPr>
      </w:pPr>
      <w:bookmarkStart w:id="1" w:name="_Hlk85698644"/>
      <w:r w:rsidRPr="00433DB0">
        <w:rPr>
          <w:rFonts w:ascii="Cambria" w:eastAsia="Times New Roman" w:hAnsi="Cambria" w:cs="Times New Roman"/>
          <w:sz w:val="20"/>
          <w:szCs w:val="20"/>
        </w:rPr>
        <w:t>4.</w:t>
      </w:r>
      <w:r w:rsidRPr="00433DB0">
        <w:rPr>
          <w:rFonts w:ascii="Cambria" w:eastAsia="Times New Roman" w:hAnsi="Cambria" w:cs="Times New Roman"/>
          <w:sz w:val="20"/>
          <w:szCs w:val="20"/>
        </w:rPr>
        <w:tab/>
      </w:r>
      <w:r w:rsidR="00B0316B" w:rsidRPr="00433DB0">
        <w:rPr>
          <w:rFonts w:ascii="Cambria" w:eastAsia="Times New Roman" w:hAnsi="Cambria" w:cs="Times New Roman"/>
          <w:sz w:val="20"/>
          <w:szCs w:val="20"/>
        </w:rPr>
        <w:t>Les</w:t>
      </w:r>
      <w:r w:rsidRPr="00433DB0">
        <w:rPr>
          <w:rFonts w:ascii="Cambria" w:eastAsia="Times New Roman" w:hAnsi="Cambria" w:cs="Times New Roman"/>
          <w:sz w:val="20"/>
          <w:szCs w:val="20"/>
        </w:rPr>
        <w:t xml:space="preserve"> CPC devr</w:t>
      </w:r>
      <w:r w:rsidR="00B0316B" w:rsidRPr="00433DB0">
        <w:rPr>
          <w:rFonts w:ascii="Cambria" w:eastAsia="Times New Roman" w:hAnsi="Cambria" w:cs="Times New Roman"/>
          <w:sz w:val="20"/>
          <w:szCs w:val="20"/>
        </w:rPr>
        <w:t>ont</w:t>
      </w:r>
      <w:r w:rsidRPr="00433DB0">
        <w:rPr>
          <w:rFonts w:ascii="Cambria" w:eastAsia="Times New Roman" w:hAnsi="Cambria" w:cs="Times New Roman"/>
          <w:sz w:val="20"/>
          <w:szCs w:val="20"/>
        </w:rPr>
        <w:t xml:space="preserve"> transmettre les messages au Secrétariat de l’ICCAT, </w:t>
      </w:r>
      <w:r w:rsidR="008E7B86" w:rsidRPr="00433DB0">
        <w:rPr>
          <w:rFonts w:ascii="Cambria" w:eastAsia="Times New Roman" w:hAnsi="Cambria" w:cs="Times New Roman"/>
          <w:sz w:val="20"/>
          <w:szCs w:val="20"/>
        </w:rPr>
        <w:t>au moins une fois par heure pour les senneurs et au moins une fois toutes les deux heures pour tous les autres navires</w:t>
      </w:r>
      <w:r w:rsidRPr="00433DB0">
        <w:rPr>
          <w:rFonts w:ascii="Cambria" w:eastAsia="Times New Roman" w:hAnsi="Cambria" w:cs="Times New Roman"/>
          <w:sz w:val="20"/>
          <w:szCs w:val="20"/>
        </w:rPr>
        <w:t xml:space="preserve">, </w:t>
      </w:r>
      <w:r w:rsidR="006D12B1" w:rsidRPr="00433DB0">
        <w:rPr>
          <w:rFonts w:ascii="Cambria" w:eastAsia="Times New Roman" w:hAnsi="Cambria" w:cs="Times New Roman"/>
          <w:sz w:val="20"/>
          <w:szCs w:val="20"/>
        </w:rPr>
        <w:t xml:space="preserve">conformément au paragraphe 3 de la Recommandation 18-10, </w:t>
      </w:r>
      <w:r w:rsidRPr="00433DB0">
        <w:rPr>
          <w:rFonts w:ascii="Cambria" w:eastAsia="Times New Roman" w:hAnsi="Cambria" w:cs="Times New Roman"/>
          <w:sz w:val="20"/>
          <w:szCs w:val="20"/>
        </w:rPr>
        <w:t>lorsque l’opération a lieu dans la zone de la Convention de l’ICCAT. Les messages devraient être numérotés séquentiellement (avec un identificateur unique) afin d’éviter toute duplication.</w:t>
      </w:r>
    </w:p>
    <w:bookmarkEnd w:id="1"/>
    <w:p w14:paraId="4F5C5ED1" w14:textId="77777777" w:rsidR="00AD0DEF" w:rsidRPr="00433DB0" w:rsidRDefault="00AD0DEF" w:rsidP="00AD0DEF">
      <w:pPr>
        <w:tabs>
          <w:tab w:val="left" w:pos="340"/>
        </w:tabs>
        <w:jc w:val="both"/>
        <w:rPr>
          <w:rFonts w:ascii="Cambria" w:eastAsia="Times New Roman" w:hAnsi="Cambria" w:cs="Times New Roman"/>
          <w:sz w:val="20"/>
          <w:szCs w:val="20"/>
        </w:rPr>
      </w:pPr>
    </w:p>
    <w:p w14:paraId="25AE5849" w14:textId="3145E811" w:rsidR="00AD0DEF" w:rsidRPr="00433DB0" w:rsidRDefault="00AD0DEF" w:rsidP="00AD0DEF">
      <w:pPr>
        <w:tabs>
          <w:tab w:val="left" w:pos="340"/>
        </w:tabs>
        <w:ind w:left="360" w:hanging="360"/>
        <w:jc w:val="both"/>
        <w:rPr>
          <w:rFonts w:ascii="Cambria" w:eastAsia="Times New Roman" w:hAnsi="Cambria" w:cs="Times New Roman"/>
          <w:sz w:val="20"/>
          <w:szCs w:val="20"/>
        </w:rPr>
      </w:pPr>
      <w:r w:rsidRPr="00433DB0">
        <w:rPr>
          <w:rFonts w:ascii="Cambria" w:eastAsia="Times New Roman" w:hAnsi="Cambria" w:cs="Times New Roman"/>
          <w:sz w:val="20"/>
          <w:szCs w:val="20"/>
        </w:rPr>
        <w:t>5.</w:t>
      </w:r>
      <w:r w:rsidRPr="00433DB0">
        <w:rPr>
          <w:rFonts w:ascii="Cambria" w:eastAsia="Times New Roman" w:hAnsi="Cambria" w:cs="Times New Roman"/>
          <w:sz w:val="20"/>
          <w:szCs w:val="20"/>
        </w:rPr>
        <w:tab/>
        <w:t>Chaque CPC devra faire en sorte que les messages transmis au Secrétariat de l’ICCAT par ses centres de contrôle des pêches (désignés ci-après « FMC ») correspondants soient conformes au format d’échange des données présenté à l’</w:t>
      </w:r>
      <w:r w:rsidR="005228FC" w:rsidRPr="00433DB0">
        <w:rPr>
          <w:rFonts w:ascii="Cambria" w:eastAsia="Times New Roman" w:hAnsi="Cambria" w:cs="Times New Roman"/>
          <w:b/>
          <w:bCs/>
          <w:sz w:val="20"/>
          <w:szCs w:val="20"/>
        </w:rPr>
        <w:t>a</w:t>
      </w:r>
      <w:r w:rsidRPr="00433DB0">
        <w:rPr>
          <w:rFonts w:ascii="Cambria" w:eastAsia="Times New Roman" w:hAnsi="Cambria" w:cs="Times New Roman"/>
          <w:b/>
          <w:sz w:val="20"/>
          <w:szCs w:val="20"/>
        </w:rPr>
        <w:t>nnexe 2</w:t>
      </w:r>
      <w:r w:rsidRPr="00433DB0">
        <w:rPr>
          <w:rFonts w:ascii="Cambria" w:eastAsia="Times New Roman" w:hAnsi="Cambria" w:cs="Times New Roman"/>
          <w:sz w:val="20"/>
          <w:szCs w:val="20"/>
        </w:rPr>
        <w:t>.</w:t>
      </w:r>
    </w:p>
    <w:p w14:paraId="2C7DB2A0" w14:textId="77777777" w:rsidR="00AD0DEF" w:rsidRPr="00433DB0" w:rsidRDefault="00AD0DEF" w:rsidP="00AD0DEF">
      <w:pPr>
        <w:tabs>
          <w:tab w:val="left" w:pos="340"/>
        </w:tabs>
        <w:jc w:val="both"/>
        <w:rPr>
          <w:rFonts w:ascii="Cambria" w:eastAsia="Times New Roman" w:hAnsi="Cambria" w:cs="Times New Roman"/>
          <w:sz w:val="20"/>
          <w:szCs w:val="20"/>
        </w:rPr>
      </w:pPr>
    </w:p>
    <w:p w14:paraId="6D3A7040" w14:textId="05C95BEC" w:rsidR="00AD0DEF" w:rsidRPr="00433DB0" w:rsidRDefault="00AD0DEF" w:rsidP="00AD0DEF">
      <w:pPr>
        <w:tabs>
          <w:tab w:val="left" w:pos="340"/>
        </w:tabs>
        <w:ind w:left="360" w:hanging="360"/>
        <w:jc w:val="both"/>
        <w:rPr>
          <w:rFonts w:ascii="Cambria" w:eastAsia="Times New Roman" w:hAnsi="Cambria" w:cs="Times New Roman"/>
          <w:sz w:val="20"/>
          <w:szCs w:val="20"/>
        </w:rPr>
      </w:pPr>
      <w:r w:rsidRPr="00433DB0">
        <w:rPr>
          <w:rFonts w:ascii="Cambria" w:eastAsia="Times New Roman" w:hAnsi="Cambria" w:cs="Times New Roman"/>
          <w:sz w:val="20"/>
          <w:szCs w:val="20"/>
        </w:rPr>
        <w:t>6.</w:t>
      </w:r>
      <w:r w:rsidRPr="00433DB0">
        <w:rPr>
          <w:rFonts w:ascii="Cambria" w:eastAsia="Times New Roman" w:hAnsi="Cambria" w:cs="Times New Roman"/>
          <w:sz w:val="20"/>
          <w:szCs w:val="20"/>
        </w:rPr>
        <w:tab/>
        <w:t xml:space="preserve">Les CPC qui mènent des opérations d’inspection en mer dans la zone de la Convention conformément au </w:t>
      </w:r>
      <w:r w:rsidR="009C2B46" w:rsidRPr="00433DB0">
        <w:rPr>
          <w:rFonts w:ascii="Cambria" w:eastAsia="Times New Roman" w:hAnsi="Cambria" w:cs="Times New Roman"/>
          <w:sz w:val="20"/>
          <w:szCs w:val="20"/>
        </w:rPr>
        <w:t>Programme</w:t>
      </w:r>
      <w:r w:rsidRPr="00433DB0">
        <w:rPr>
          <w:rFonts w:ascii="Cambria" w:eastAsia="Times New Roman" w:hAnsi="Cambria" w:cs="Times New Roman"/>
          <w:sz w:val="20"/>
          <w:szCs w:val="20"/>
        </w:rPr>
        <w:t xml:space="preserve"> conjoint ICCAT </w:t>
      </w:r>
      <w:r w:rsidR="001A10DF" w:rsidRPr="00433DB0">
        <w:rPr>
          <w:rFonts w:ascii="Cambria" w:eastAsia="Times New Roman" w:hAnsi="Cambria" w:cs="Times New Roman"/>
          <w:sz w:val="20"/>
          <w:szCs w:val="20"/>
        </w:rPr>
        <w:t xml:space="preserve">d’inspection internationale </w:t>
      </w:r>
      <w:r w:rsidRPr="00433DB0">
        <w:rPr>
          <w:rFonts w:ascii="Cambria" w:eastAsia="Times New Roman" w:hAnsi="Cambria" w:cs="Times New Roman"/>
          <w:sz w:val="20"/>
          <w:szCs w:val="20"/>
        </w:rPr>
        <w:t xml:space="preserve">visé aux paragraphes </w:t>
      </w:r>
      <w:r w:rsidR="00CC4640" w:rsidRPr="00433DB0">
        <w:rPr>
          <w:rFonts w:ascii="Cambria" w:eastAsia="Times New Roman" w:hAnsi="Cambria" w:cs="Times New Roman"/>
          <w:sz w:val="20"/>
          <w:szCs w:val="20"/>
        </w:rPr>
        <w:t>228</w:t>
      </w:r>
      <w:r w:rsidRPr="00433DB0">
        <w:rPr>
          <w:rFonts w:ascii="Cambria" w:eastAsia="Times New Roman" w:hAnsi="Cambria" w:cs="Times New Roman"/>
          <w:sz w:val="20"/>
          <w:szCs w:val="20"/>
        </w:rPr>
        <w:t xml:space="preserve"> </w:t>
      </w:r>
      <w:r w:rsidR="008E7B86" w:rsidRPr="00433DB0">
        <w:rPr>
          <w:rFonts w:ascii="Cambria" w:eastAsia="Times New Roman" w:hAnsi="Cambria" w:cs="Times New Roman"/>
          <w:sz w:val="20"/>
          <w:szCs w:val="20"/>
        </w:rPr>
        <w:t xml:space="preserve">à </w:t>
      </w:r>
      <w:r w:rsidR="00CC4640" w:rsidRPr="00433DB0">
        <w:rPr>
          <w:rFonts w:ascii="Cambria" w:eastAsia="Times New Roman" w:hAnsi="Cambria" w:cs="Times New Roman"/>
          <w:sz w:val="20"/>
          <w:szCs w:val="20"/>
        </w:rPr>
        <w:t>231</w:t>
      </w:r>
      <w:r w:rsidRPr="00433DB0">
        <w:rPr>
          <w:rFonts w:ascii="Cambria" w:eastAsia="Times New Roman" w:hAnsi="Cambria" w:cs="Times New Roman"/>
          <w:sz w:val="20"/>
          <w:szCs w:val="20"/>
        </w:rPr>
        <w:t xml:space="preserve"> de la </w:t>
      </w:r>
      <w:r w:rsidR="00B0316B" w:rsidRPr="00433DB0">
        <w:rPr>
          <w:rFonts w:ascii="Cambria" w:hAnsi="Cambria"/>
          <w:sz w:val="19"/>
          <w:szCs w:val="19"/>
          <w:lang w:eastAsia="fr-FR" w:bidi="fr-FR"/>
        </w:rPr>
        <w:t>Recommandation</w:t>
      </w:r>
      <w:r w:rsidRPr="00433DB0">
        <w:rPr>
          <w:rFonts w:ascii="Cambria" w:eastAsia="Times New Roman" w:hAnsi="Cambria" w:cs="Times New Roman"/>
          <w:sz w:val="20"/>
          <w:szCs w:val="20"/>
        </w:rPr>
        <w:t xml:space="preserve"> </w:t>
      </w:r>
      <w:r w:rsidR="00CC4640" w:rsidRPr="00433DB0">
        <w:rPr>
          <w:rFonts w:ascii="Cambria" w:eastAsia="Times New Roman" w:hAnsi="Cambria" w:cs="Times New Roman"/>
          <w:sz w:val="20"/>
          <w:szCs w:val="20"/>
        </w:rPr>
        <w:t>21-08</w:t>
      </w:r>
      <w:r w:rsidRPr="00433DB0">
        <w:rPr>
          <w:rFonts w:ascii="Cambria" w:eastAsia="Times New Roman" w:hAnsi="Cambria" w:cs="Times New Roman"/>
          <w:sz w:val="20"/>
          <w:szCs w:val="20"/>
        </w:rPr>
        <w:t xml:space="preserve"> devront demander au Secrétariat de l’ICCAT de leur </w:t>
      </w:r>
      <w:r w:rsidR="001A10DF" w:rsidRPr="00433DB0">
        <w:rPr>
          <w:rFonts w:ascii="Cambria" w:eastAsia="Times New Roman" w:hAnsi="Cambria" w:cs="Times New Roman"/>
          <w:sz w:val="20"/>
          <w:szCs w:val="20"/>
        </w:rPr>
        <w:t>fournir</w:t>
      </w:r>
      <w:r w:rsidRPr="00433DB0">
        <w:rPr>
          <w:rFonts w:ascii="Cambria" w:eastAsia="Times New Roman" w:hAnsi="Cambria" w:cs="Times New Roman"/>
          <w:sz w:val="20"/>
          <w:szCs w:val="20"/>
        </w:rPr>
        <w:t xml:space="preserve"> les messages reçus en vertu du paragraphe 3 </w:t>
      </w:r>
      <w:r w:rsidR="008E7B86" w:rsidRPr="00433DB0">
        <w:rPr>
          <w:rFonts w:ascii="Cambria" w:eastAsia="Times New Roman" w:hAnsi="Cambria" w:cs="Times New Roman"/>
          <w:sz w:val="20"/>
          <w:szCs w:val="20"/>
        </w:rPr>
        <w:t>de la présente Recommandation</w:t>
      </w:r>
      <w:r w:rsidRPr="00433DB0">
        <w:rPr>
          <w:rFonts w:ascii="Cambria" w:eastAsia="Times New Roman" w:hAnsi="Cambria" w:cs="Times New Roman"/>
          <w:sz w:val="20"/>
          <w:szCs w:val="20"/>
        </w:rPr>
        <w:t>.</w:t>
      </w:r>
    </w:p>
    <w:p w14:paraId="75F13611" w14:textId="77777777" w:rsidR="00AD0DEF" w:rsidRPr="00433DB0" w:rsidRDefault="00AD0DEF" w:rsidP="00AD0DEF">
      <w:pPr>
        <w:tabs>
          <w:tab w:val="left" w:pos="340"/>
        </w:tabs>
        <w:jc w:val="both"/>
        <w:rPr>
          <w:rFonts w:ascii="Cambria" w:eastAsia="Times New Roman" w:hAnsi="Cambria" w:cs="Times New Roman"/>
          <w:sz w:val="20"/>
          <w:szCs w:val="20"/>
        </w:rPr>
      </w:pPr>
    </w:p>
    <w:p w14:paraId="41B41CE4" w14:textId="19FE33C7" w:rsidR="00AD0DEF" w:rsidRPr="00433DB0" w:rsidRDefault="00AD0DEF" w:rsidP="00AD0DEF">
      <w:pPr>
        <w:tabs>
          <w:tab w:val="left" w:pos="340"/>
        </w:tabs>
        <w:ind w:left="360" w:hanging="360"/>
        <w:jc w:val="both"/>
        <w:rPr>
          <w:rFonts w:ascii="Cambria" w:eastAsia="Times New Roman" w:hAnsi="Cambria" w:cs="Times New Roman"/>
          <w:sz w:val="20"/>
          <w:szCs w:val="20"/>
        </w:rPr>
      </w:pPr>
      <w:r w:rsidRPr="00433DB0">
        <w:rPr>
          <w:rFonts w:ascii="Cambria" w:eastAsia="Times New Roman" w:hAnsi="Cambria" w:cs="Times New Roman"/>
          <w:sz w:val="20"/>
          <w:szCs w:val="20"/>
        </w:rPr>
        <w:t>7.</w:t>
      </w:r>
      <w:r w:rsidRPr="00433DB0">
        <w:rPr>
          <w:rFonts w:ascii="Cambria" w:eastAsia="Times New Roman" w:hAnsi="Cambria" w:cs="Times New Roman"/>
          <w:sz w:val="20"/>
          <w:szCs w:val="20"/>
        </w:rPr>
        <w:tab/>
        <w:t>L</w:t>
      </w:r>
      <w:r w:rsidR="001A10DF" w:rsidRPr="00433DB0">
        <w:rPr>
          <w:rFonts w:ascii="Cambria" w:eastAsia="Times New Roman" w:hAnsi="Cambria" w:cs="Times New Roman"/>
          <w:sz w:val="20"/>
          <w:szCs w:val="20"/>
        </w:rPr>
        <w:t>es</w:t>
      </w:r>
      <w:r w:rsidRPr="00433DB0">
        <w:rPr>
          <w:rFonts w:ascii="Cambria" w:eastAsia="Times New Roman" w:hAnsi="Cambria" w:cs="Times New Roman"/>
          <w:sz w:val="20"/>
          <w:szCs w:val="20"/>
        </w:rPr>
        <w:t xml:space="preserve"> CPC devr</w:t>
      </w:r>
      <w:r w:rsidR="001A10DF" w:rsidRPr="00433DB0">
        <w:rPr>
          <w:rFonts w:ascii="Cambria" w:eastAsia="Times New Roman" w:hAnsi="Cambria" w:cs="Times New Roman"/>
          <w:sz w:val="20"/>
          <w:szCs w:val="20"/>
        </w:rPr>
        <w:t>ont</w:t>
      </w:r>
      <w:r w:rsidRPr="00433DB0">
        <w:rPr>
          <w:rFonts w:ascii="Cambria" w:eastAsia="Times New Roman" w:hAnsi="Cambria" w:cs="Times New Roman"/>
          <w:sz w:val="20"/>
          <w:szCs w:val="20"/>
        </w:rPr>
        <w:t xml:space="preserve"> prendre les mesures nécessaires afin de veiller à ce que tous les messages soient traités confidentiellement, et que leur utilisation soit limitée aux opérations d’inspection en mer visées au paragraphe 6. Le Secrétariat de l’ICCAT devra garantir le traitement confidentiel des messages reçus. Les données datant de trois ans ou plus devront être mises à la disposition du SCRS à des fins scientifiques, sous une forme qui garantit la confidentialité des données.</w:t>
      </w:r>
    </w:p>
    <w:p w14:paraId="35C53444" w14:textId="101EBBA6" w:rsidR="00AD0DEF" w:rsidRPr="00433DB0" w:rsidRDefault="00AD0DEF" w:rsidP="00AD0DEF">
      <w:pPr>
        <w:tabs>
          <w:tab w:val="left" w:pos="340"/>
        </w:tabs>
        <w:jc w:val="right"/>
        <w:rPr>
          <w:rFonts w:ascii="Cambria" w:eastAsia="Times New Roman" w:hAnsi="Cambria" w:cs="Times New Roman"/>
          <w:b/>
          <w:sz w:val="20"/>
          <w:szCs w:val="20"/>
        </w:rPr>
      </w:pPr>
      <w:r w:rsidRPr="00433DB0">
        <w:rPr>
          <w:rFonts w:ascii="Cambria" w:eastAsia="Times New Roman" w:hAnsi="Cambria" w:cs="Times New Roman"/>
          <w:b/>
          <w:sz w:val="20"/>
          <w:szCs w:val="20"/>
        </w:rPr>
        <w:br w:type="page"/>
      </w:r>
      <w:r w:rsidRPr="00433DB0">
        <w:rPr>
          <w:rFonts w:ascii="Cambria" w:eastAsia="Times New Roman" w:hAnsi="Cambria" w:cs="Times New Roman"/>
          <w:b/>
          <w:sz w:val="20"/>
          <w:szCs w:val="20"/>
        </w:rPr>
        <w:lastRenderedPageBreak/>
        <w:t>Annexe 1</w:t>
      </w:r>
    </w:p>
    <w:p w14:paraId="0611893B" w14:textId="77777777" w:rsidR="005228FC" w:rsidRPr="00433DB0" w:rsidRDefault="005228FC" w:rsidP="00AD0DEF">
      <w:pPr>
        <w:tabs>
          <w:tab w:val="left" w:pos="340"/>
        </w:tabs>
        <w:jc w:val="right"/>
        <w:rPr>
          <w:rFonts w:ascii="Cambria" w:eastAsia="Times New Roman" w:hAnsi="Cambria" w:cs="Times New Roman"/>
          <w:b/>
          <w:sz w:val="20"/>
          <w:szCs w:val="20"/>
        </w:rPr>
      </w:pPr>
    </w:p>
    <w:p w14:paraId="6972DB95" w14:textId="77777777" w:rsidR="00AD0DEF" w:rsidRPr="00433DB0" w:rsidRDefault="00AD0DEF" w:rsidP="00AD0DEF">
      <w:pPr>
        <w:tabs>
          <w:tab w:val="left" w:pos="340"/>
        </w:tabs>
        <w:jc w:val="both"/>
        <w:rPr>
          <w:rFonts w:ascii="Cambria" w:eastAsia="Times New Roman" w:hAnsi="Cambria" w:cs="Times New Roman"/>
          <w:sz w:val="14"/>
          <w:szCs w:val="14"/>
        </w:rPr>
      </w:pPr>
    </w:p>
    <w:p w14:paraId="765EDCE2" w14:textId="6CFD67A0" w:rsidR="00AD0DEF" w:rsidRPr="00433DB0" w:rsidRDefault="00AD0DEF" w:rsidP="005228FC">
      <w:pPr>
        <w:ind w:left="426" w:hanging="426"/>
        <w:jc w:val="both"/>
        <w:rPr>
          <w:rFonts w:ascii="Cambria" w:eastAsia="Times New Roman" w:hAnsi="Cambria" w:cs="Times New Roman"/>
          <w:sz w:val="20"/>
          <w:szCs w:val="20"/>
        </w:rPr>
      </w:pPr>
      <w:r w:rsidRPr="00433DB0">
        <w:rPr>
          <w:rFonts w:ascii="Cambria" w:eastAsia="Times New Roman" w:hAnsi="Cambria" w:cs="Times New Roman"/>
          <w:sz w:val="20"/>
          <w:szCs w:val="20"/>
        </w:rPr>
        <w:t>1.</w:t>
      </w:r>
      <w:r w:rsidRPr="00433DB0">
        <w:rPr>
          <w:rFonts w:ascii="Cambria" w:eastAsia="Times New Roman" w:hAnsi="Cambria" w:cs="Times New Roman"/>
          <w:sz w:val="20"/>
          <w:szCs w:val="20"/>
        </w:rPr>
        <w:tab/>
        <w:t>Chaque CPC devra établir et opérer des centres de contrôle des pêches, désignés ci-après « FMC », qui devront suivre les activités de pêche des navires battant leur pavillon. Chaque FMC devra être équipé de matériel et de logiciel informatiques permettant le traitement automatique et la transmission électronique des données. Chaque CPC devra prévoir des procédures de sauvegarde et de récupération en cas de défaillance du système.</w:t>
      </w:r>
    </w:p>
    <w:p w14:paraId="304CD0AD" w14:textId="77777777" w:rsidR="00AD0DEF" w:rsidRPr="00433DB0" w:rsidRDefault="00AD0DEF" w:rsidP="005228FC">
      <w:pPr>
        <w:ind w:left="426" w:hanging="426"/>
        <w:jc w:val="both"/>
        <w:rPr>
          <w:rFonts w:ascii="Cambria" w:eastAsia="Times New Roman" w:hAnsi="Cambria" w:cs="Times New Roman"/>
          <w:sz w:val="18"/>
          <w:szCs w:val="18"/>
        </w:rPr>
      </w:pPr>
    </w:p>
    <w:p w14:paraId="0DEE3905" w14:textId="77777777" w:rsidR="00AD0DEF" w:rsidRPr="00433DB0" w:rsidRDefault="00AD0DEF" w:rsidP="005228FC">
      <w:pPr>
        <w:ind w:left="426" w:hanging="426"/>
        <w:jc w:val="both"/>
        <w:rPr>
          <w:rFonts w:ascii="Cambria" w:eastAsia="Times New Roman" w:hAnsi="Cambria" w:cs="Times New Roman"/>
          <w:sz w:val="20"/>
          <w:szCs w:val="20"/>
        </w:rPr>
      </w:pPr>
      <w:r w:rsidRPr="00433DB0">
        <w:rPr>
          <w:rFonts w:ascii="Cambria" w:eastAsia="Times New Roman" w:hAnsi="Cambria" w:cs="Times New Roman"/>
          <w:sz w:val="20"/>
          <w:szCs w:val="20"/>
        </w:rPr>
        <w:t>2.</w:t>
      </w:r>
      <w:r w:rsidRPr="00433DB0">
        <w:rPr>
          <w:rFonts w:ascii="Cambria" w:eastAsia="Times New Roman" w:hAnsi="Cambria" w:cs="Times New Roman"/>
          <w:sz w:val="20"/>
          <w:szCs w:val="20"/>
        </w:rPr>
        <w:tab/>
        <w:t>La CPC du navire devra prendre les mesures nécessaires pour garantir que les données reçues de ses navires de pêche auxquels s’applique le VMS sont enregistrées dans un format lisible par ordinateur pour une période de trois ans.</w:t>
      </w:r>
    </w:p>
    <w:p w14:paraId="070E22D4" w14:textId="77777777" w:rsidR="00AD0DEF" w:rsidRPr="00433DB0" w:rsidRDefault="00AD0DEF" w:rsidP="005228FC">
      <w:pPr>
        <w:ind w:left="426" w:hanging="426"/>
        <w:jc w:val="both"/>
        <w:rPr>
          <w:rFonts w:ascii="Cambria" w:eastAsia="Times New Roman" w:hAnsi="Cambria" w:cs="Times New Roman"/>
          <w:sz w:val="18"/>
          <w:szCs w:val="18"/>
        </w:rPr>
      </w:pPr>
    </w:p>
    <w:p w14:paraId="445AC05C" w14:textId="77777777" w:rsidR="00AD0DEF" w:rsidRPr="00433DB0" w:rsidRDefault="00AD0DEF" w:rsidP="005228FC">
      <w:pPr>
        <w:ind w:left="426" w:hanging="426"/>
        <w:jc w:val="both"/>
        <w:rPr>
          <w:rFonts w:ascii="Cambria" w:eastAsia="Times New Roman" w:hAnsi="Cambria" w:cs="Times New Roman"/>
          <w:sz w:val="20"/>
          <w:szCs w:val="20"/>
        </w:rPr>
      </w:pPr>
      <w:r w:rsidRPr="00433DB0">
        <w:rPr>
          <w:rFonts w:ascii="Cambria" w:eastAsia="Times New Roman" w:hAnsi="Cambria" w:cs="Times New Roman"/>
          <w:sz w:val="20"/>
          <w:szCs w:val="20"/>
        </w:rPr>
        <w:t>3.</w:t>
      </w:r>
      <w:r w:rsidRPr="00433DB0">
        <w:rPr>
          <w:rFonts w:ascii="Cambria" w:eastAsia="Times New Roman" w:hAnsi="Cambria" w:cs="Times New Roman"/>
          <w:sz w:val="20"/>
          <w:szCs w:val="20"/>
        </w:rPr>
        <w:tab/>
        <w:t>Les dispositifs de suivi par satellite installés à bord des navires de pêche devront garantir la transmission automatique au FMC de la CPC de pavillon, chaque fois qu’il y a lieu.</w:t>
      </w:r>
    </w:p>
    <w:p w14:paraId="68925CBD" w14:textId="77777777" w:rsidR="00AD0DEF" w:rsidRPr="00433DB0" w:rsidRDefault="00AD0DEF" w:rsidP="005228FC">
      <w:pPr>
        <w:ind w:left="426" w:hanging="426"/>
        <w:jc w:val="both"/>
        <w:rPr>
          <w:rFonts w:ascii="Cambria" w:eastAsia="Times New Roman" w:hAnsi="Cambria" w:cs="Times New Roman"/>
          <w:sz w:val="18"/>
          <w:szCs w:val="18"/>
        </w:rPr>
      </w:pPr>
    </w:p>
    <w:p w14:paraId="51FCBE43" w14:textId="77777777" w:rsidR="00AD0DEF" w:rsidRPr="00433DB0" w:rsidRDefault="00AD0DEF" w:rsidP="005228FC">
      <w:pPr>
        <w:ind w:left="426" w:hanging="426"/>
        <w:jc w:val="both"/>
        <w:rPr>
          <w:rFonts w:ascii="Cambria" w:eastAsia="Times New Roman" w:hAnsi="Cambria" w:cs="Times New Roman"/>
          <w:sz w:val="20"/>
          <w:szCs w:val="20"/>
        </w:rPr>
      </w:pPr>
      <w:r w:rsidRPr="00433DB0">
        <w:rPr>
          <w:rFonts w:ascii="Cambria" w:eastAsia="Times New Roman" w:hAnsi="Cambria" w:cs="Times New Roman"/>
          <w:sz w:val="20"/>
          <w:szCs w:val="20"/>
        </w:rPr>
        <w:t>4.</w:t>
      </w:r>
      <w:r w:rsidRPr="00433DB0">
        <w:rPr>
          <w:rFonts w:ascii="Cambria" w:eastAsia="Times New Roman" w:hAnsi="Cambria" w:cs="Times New Roman"/>
          <w:sz w:val="20"/>
          <w:szCs w:val="20"/>
        </w:rPr>
        <w:tab/>
        <w:t xml:space="preserve">Chaque CPC devra prendre les mesures nécessaires afin de veiller à ce que son FMC reçoive les données de VMS requises. </w:t>
      </w:r>
    </w:p>
    <w:p w14:paraId="030C7630" w14:textId="77777777" w:rsidR="005228FC" w:rsidRPr="00433DB0" w:rsidRDefault="005228FC">
      <w:pPr>
        <w:spacing w:after="160" w:line="259" w:lineRule="auto"/>
        <w:rPr>
          <w:rFonts w:ascii="Cambria" w:eastAsia="Batang" w:hAnsi="Cambria" w:cs="Times New Roman"/>
          <w:b/>
          <w:sz w:val="20"/>
          <w:szCs w:val="20"/>
        </w:rPr>
      </w:pPr>
      <w:r w:rsidRPr="00433DB0">
        <w:rPr>
          <w:rFonts w:ascii="Cambria" w:eastAsia="Batang" w:hAnsi="Cambria" w:cs="Times New Roman"/>
          <w:b/>
          <w:sz w:val="20"/>
          <w:szCs w:val="20"/>
        </w:rPr>
        <w:br w:type="page"/>
      </w:r>
    </w:p>
    <w:p w14:paraId="681BF6FD" w14:textId="48E7E36C" w:rsidR="00AD0DEF" w:rsidRPr="00433DB0" w:rsidRDefault="00AD0DEF" w:rsidP="00AD0DEF">
      <w:pPr>
        <w:tabs>
          <w:tab w:val="left" w:pos="340"/>
        </w:tabs>
        <w:jc w:val="right"/>
        <w:rPr>
          <w:rFonts w:ascii="Cambria" w:eastAsia="Batang" w:hAnsi="Cambria" w:cs="Times New Roman"/>
          <w:b/>
          <w:sz w:val="20"/>
          <w:szCs w:val="20"/>
        </w:rPr>
      </w:pPr>
      <w:r w:rsidRPr="00433DB0">
        <w:rPr>
          <w:rFonts w:ascii="Cambria" w:eastAsia="Batang" w:hAnsi="Cambria" w:cs="Times New Roman"/>
          <w:b/>
          <w:sz w:val="20"/>
          <w:szCs w:val="20"/>
        </w:rPr>
        <w:lastRenderedPageBreak/>
        <w:t>Annexe 2</w:t>
      </w:r>
    </w:p>
    <w:p w14:paraId="13DF4245" w14:textId="77777777" w:rsidR="00AD0DEF" w:rsidRPr="00433DB0" w:rsidRDefault="00AD0DEF" w:rsidP="00AD0DEF">
      <w:pPr>
        <w:tabs>
          <w:tab w:val="left" w:pos="340"/>
        </w:tabs>
        <w:jc w:val="center"/>
        <w:rPr>
          <w:rFonts w:ascii="Cambria" w:eastAsia="Batang" w:hAnsi="Cambria" w:cs="Times New Roman"/>
          <w:b/>
          <w:sz w:val="20"/>
          <w:szCs w:val="20"/>
        </w:rPr>
      </w:pPr>
      <w:r w:rsidRPr="00433DB0">
        <w:rPr>
          <w:rFonts w:ascii="Cambria" w:eastAsia="Batang" w:hAnsi="Cambria" w:cs="Times New Roman"/>
          <w:b/>
          <w:sz w:val="20"/>
          <w:szCs w:val="20"/>
        </w:rPr>
        <w:t>Format pour la communication de messages VMS par les navires de pêche</w:t>
      </w:r>
    </w:p>
    <w:p w14:paraId="76FE1C4B" w14:textId="77777777" w:rsidR="00AD0DEF" w:rsidRPr="00433DB0" w:rsidRDefault="00AD0DEF" w:rsidP="00AD0DEF">
      <w:pPr>
        <w:tabs>
          <w:tab w:val="left" w:pos="340"/>
        </w:tabs>
        <w:jc w:val="both"/>
        <w:rPr>
          <w:rFonts w:ascii="Cambria" w:eastAsia="Times New Roman" w:hAnsi="Cambria" w:cs="Times New Roman"/>
          <w:sz w:val="18"/>
          <w:szCs w:val="18"/>
        </w:rPr>
      </w:pPr>
    </w:p>
    <w:p w14:paraId="0D90512D" w14:textId="276B0684" w:rsidR="00AD0DEF" w:rsidRPr="00433DB0" w:rsidRDefault="00AD0DEF" w:rsidP="00AD0DEF">
      <w:pPr>
        <w:numPr>
          <w:ilvl w:val="0"/>
          <w:numId w:val="1"/>
        </w:numPr>
        <w:tabs>
          <w:tab w:val="left" w:pos="340"/>
        </w:tabs>
        <w:spacing w:after="160" w:line="259" w:lineRule="auto"/>
        <w:ind w:hanging="720"/>
        <w:jc w:val="both"/>
        <w:rPr>
          <w:rFonts w:ascii="Cambria" w:eastAsia="Batang" w:hAnsi="Cambria" w:cs="Times New Roman"/>
          <w:b/>
          <w:i/>
          <w:sz w:val="20"/>
          <w:szCs w:val="20"/>
        </w:rPr>
      </w:pPr>
      <w:r w:rsidRPr="00433DB0">
        <w:rPr>
          <w:rFonts w:ascii="Cambria" w:eastAsia="Batang" w:hAnsi="Cambria" w:cs="Times New Roman"/>
          <w:b/>
          <w:i/>
          <w:sz w:val="20"/>
          <w:szCs w:val="20"/>
        </w:rPr>
        <w:t>Contenu du message de position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060"/>
        <w:gridCol w:w="1538"/>
        <w:gridCol w:w="4336"/>
      </w:tblGrid>
      <w:tr w:rsidR="00AD0DEF" w:rsidRPr="00433DB0" w14:paraId="385EBF82" w14:textId="77777777" w:rsidTr="00DF7B1C">
        <w:tc>
          <w:tcPr>
            <w:tcW w:w="2126" w:type="dxa"/>
            <w:shd w:val="clear" w:color="auto" w:fill="auto"/>
            <w:vAlign w:val="center"/>
          </w:tcPr>
          <w:p w14:paraId="7486DC6C" w14:textId="77777777" w:rsidR="00AD0DEF" w:rsidRPr="00433DB0" w:rsidRDefault="00AD0DEF" w:rsidP="00DF7B1C">
            <w:pPr>
              <w:tabs>
                <w:tab w:val="left" w:pos="340"/>
              </w:tabs>
              <w:jc w:val="center"/>
              <w:rPr>
                <w:rFonts w:ascii="Cambria" w:eastAsia="Batang" w:hAnsi="Cambria" w:cs="Times New Roman"/>
                <w:i/>
                <w:sz w:val="20"/>
                <w:szCs w:val="20"/>
              </w:rPr>
            </w:pPr>
            <w:r w:rsidRPr="00433DB0">
              <w:rPr>
                <w:rFonts w:ascii="Cambria" w:eastAsia="Batang" w:hAnsi="Cambria" w:cs="Times New Roman"/>
                <w:i/>
                <w:sz w:val="20"/>
                <w:szCs w:val="20"/>
              </w:rPr>
              <w:t>Elément de données</w:t>
            </w:r>
          </w:p>
        </w:tc>
        <w:tc>
          <w:tcPr>
            <w:tcW w:w="1060" w:type="dxa"/>
            <w:shd w:val="clear" w:color="auto" w:fill="auto"/>
            <w:vAlign w:val="center"/>
          </w:tcPr>
          <w:p w14:paraId="74C31A76" w14:textId="77777777" w:rsidR="00AD0DEF" w:rsidRPr="00433DB0" w:rsidRDefault="00AD0DEF" w:rsidP="00DF7B1C">
            <w:pPr>
              <w:tabs>
                <w:tab w:val="left" w:pos="340"/>
              </w:tabs>
              <w:jc w:val="center"/>
              <w:rPr>
                <w:rFonts w:ascii="Cambria" w:eastAsia="Batang" w:hAnsi="Cambria" w:cs="Times New Roman"/>
                <w:i/>
                <w:sz w:val="20"/>
                <w:szCs w:val="20"/>
              </w:rPr>
            </w:pPr>
            <w:r w:rsidRPr="00433DB0">
              <w:rPr>
                <w:rFonts w:ascii="Cambria" w:eastAsia="Batang" w:hAnsi="Cambria" w:cs="Times New Roman"/>
                <w:i/>
                <w:sz w:val="20"/>
                <w:szCs w:val="20"/>
              </w:rPr>
              <w:t>Code de champ</w:t>
            </w:r>
          </w:p>
        </w:tc>
        <w:tc>
          <w:tcPr>
            <w:tcW w:w="1538" w:type="dxa"/>
            <w:shd w:val="clear" w:color="auto" w:fill="auto"/>
            <w:vAlign w:val="center"/>
          </w:tcPr>
          <w:p w14:paraId="7BDB0B30" w14:textId="77777777" w:rsidR="00AD0DEF" w:rsidRPr="00433DB0" w:rsidRDefault="00AD0DEF" w:rsidP="00DF7B1C">
            <w:pPr>
              <w:tabs>
                <w:tab w:val="left" w:pos="340"/>
              </w:tabs>
              <w:jc w:val="center"/>
              <w:rPr>
                <w:rFonts w:ascii="Cambria" w:eastAsia="Batang" w:hAnsi="Cambria" w:cs="Times New Roman"/>
                <w:i/>
                <w:sz w:val="20"/>
                <w:szCs w:val="20"/>
              </w:rPr>
            </w:pPr>
            <w:r w:rsidRPr="00433DB0">
              <w:rPr>
                <w:rFonts w:ascii="Cambria" w:eastAsia="Batang" w:hAnsi="Cambria" w:cs="Times New Roman"/>
                <w:i/>
                <w:sz w:val="20"/>
                <w:szCs w:val="20"/>
              </w:rPr>
              <w:t>Obligatoire (M)/</w:t>
            </w:r>
          </w:p>
          <w:p w14:paraId="1D49270D" w14:textId="77777777" w:rsidR="00AD0DEF" w:rsidRPr="00433DB0" w:rsidRDefault="00AD0DEF" w:rsidP="00DF7B1C">
            <w:pPr>
              <w:tabs>
                <w:tab w:val="left" w:pos="340"/>
              </w:tabs>
              <w:jc w:val="center"/>
              <w:rPr>
                <w:rFonts w:ascii="Cambria" w:eastAsia="Batang" w:hAnsi="Cambria" w:cs="Times New Roman"/>
                <w:i/>
                <w:sz w:val="20"/>
                <w:szCs w:val="20"/>
              </w:rPr>
            </w:pPr>
            <w:r w:rsidRPr="00433DB0">
              <w:rPr>
                <w:rFonts w:ascii="Cambria" w:eastAsia="Batang" w:hAnsi="Cambria" w:cs="Times New Roman"/>
                <w:i/>
                <w:sz w:val="20"/>
                <w:szCs w:val="20"/>
              </w:rPr>
              <w:t>Facultatif (O)</w:t>
            </w:r>
          </w:p>
        </w:tc>
        <w:tc>
          <w:tcPr>
            <w:tcW w:w="4336" w:type="dxa"/>
            <w:shd w:val="clear" w:color="auto" w:fill="auto"/>
            <w:vAlign w:val="center"/>
          </w:tcPr>
          <w:p w14:paraId="1A6BE5E2" w14:textId="77777777" w:rsidR="00AD0DEF" w:rsidRPr="00433DB0" w:rsidRDefault="00AD0DEF" w:rsidP="00DF7B1C">
            <w:pPr>
              <w:tabs>
                <w:tab w:val="left" w:pos="340"/>
              </w:tabs>
              <w:jc w:val="center"/>
              <w:rPr>
                <w:rFonts w:ascii="Cambria" w:eastAsia="Batang" w:hAnsi="Cambria" w:cs="Times New Roman"/>
                <w:i/>
                <w:sz w:val="20"/>
                <w:szCs w:val="20"/>
              </w:rPr>
            </w:pPr>
            <w:r w:rsidRPr="00433DB0">
              <w:rPr>
                <w:rFonts w:ascii="Cambria" w:eastAsia="Batang" w:hAnsi="Cambria" w:cs="Times New Roman"/>
                <w:i/>
                <w:sz w:val="20"/>
                <w:szCs w:val="20"/>
              </w:rPr>
              <w:t>Remarques</w:t>
            </w:r>
          </w:p>
        </w:tc>
      </w:tr>
      <w:tr w:rsidR="00AD0DEF" w:rsidRPr="00433DB0" w14:paraId="6034F0BA" w14:textId="77777777" w:rsidTr="00DF7B1C">
        <w:tc>
          <w:tcPr>
            <w:tcW w:w="2126" w:type="dxa"/>
            <w:shd w:val="clear" w:color="auto" w:fill="auto"/>
          </w:tcPr>
          <w:p w14:paraId="25E59EBE" w14:textId="77777777" w:rsidR="00AD0DEF" w:rsidRPr="00433DB0" w:rsidRDefault="00AD0DEF" w:rsidP="00AD0DEF">
            <w:pPr>
              <w:tabs>
                <w:tab w:val="left" w:pos="340"/>
              </w:tabs>
              <w:jc w:val="both"/>
              <w:rPr>
                <w:rFonts w:ascii="Cambria" w:eastAsia="Batang" w:hAnsi="Cambria" w:cs="Times New Roman"/>
                <w:sz w:val="20"/>
                <w:szCs w:val="20"/>
              </w:rPr>
            </w:pPr>
            <w:r w:rsidRPr="00433DB0">
              <w:rPr>
                <w:rFonts w:ascii="Cambria" w:eastAsia="Batang" w:hAnsi="Cambria" w:cs="Times New Roman"/>
                <w:sz w:val="20"/>
                <w:szCs w:val="20"/>
              </w:rPr>
              <w:t>Début d’enregistrement</w:t>
            </w:r>
          </w:p>
        </w:tc>
        <w:tc>
          <w:tcPr>
            <w:tcW w:w="1060" w:type="dxa"/>
            <w:shd w:val="clear" w:color="auto" w:fill="auto"/>
          </w:tcPr>
          <w:p w14:paraId="7507A18F" w14:textId="77777777" w:rsidR="00AD0DEF" w:rsidRPr="00433DB0" w:rsidRDefault="00AD0DEF" w:rsidP="00AD0DEF">
            <w:pPr>
              <w:tabs>
                <w:tab w:val="left" w:pos="340"/>
              </w:tabs>
              <w:jc w:val="center"/>
              <w:rPr>
                <w:rFonts w:ascii="Cambria" w:eastAsia="Batang" w:hAnsi="Cambria" w:cs="Times New Roman"/>
                <w:sz w:val="20"/>
                <w:szCs w:val="20"/>
              </w:rPr>
            </w:pPr>
            <w:r w:rsidRPr="00433DB0">
              <w:rPr>
                <w:rFonts w:ascii="Cambria" w:eastAsia="Batang" w:hAnsi="Cambria" w:cs="Times New Roman"/>
                <w:sz w:val="20"/>
                <w:szCs w:val="20"/>
              </w:rPr>
              <w:t>SR</w:t>
            </w:r>
          </w:p>
        </w:tc>
        <w:tc>
          <w:tcPr>
            <w:tcW w:w="1538" w:type="dxa"/>
            <w:shd w:val="clear" w:color="auto" w:fill="auto"/>
          </w:tcPr>
          <w:p w14:paraId="40CDD02D" w14:textId="77777777" w:rsidR="00AD0DEF" w:rsidRPr="00433DB0" w:rsidRDefault="00AD0DEF" w:rsidP="00AD0DEF">
            <w:pPr>
              <w:tabs>
                <w:tab w:val="left" w:pos="340"/>
              </w:tabs>
              <w:jc w:val="center"/>
              <w:rPr>
                <w:rFonts w:ascii="Cambria" w:eastAsia="Batang" w:hAnsi="Cambria" w:cs="Times New Roman"/>
                <w:sz w:val="20"/>
                <w:szCs w:val="20"/>
              </w:rPr>
            </w:pPr>
            <w:r w:rsidRPr="00433DB0">
              <w:rPr>
                <w:rFonts w:ascii="Cambria" w:eastAsia="Batang" w:hAnsi="Cambria" w:cs="Times New Roman"/>
                <w:sz w:val="20"/>
                <w:szCs w:val="20"/>
              </w:rPr>
              <w:t>M</w:t>
            </w:r>
          </w:p>
        </w:tc>
        <w:tc>
          <w:tcPr>
            <w:tcW w:w="4336" w:type="dxa"/>
            <w:shd w:val="clear" w:color="auto" w:fill="auto"/>
          </w:tcPr>
          <w:p w14:paraId="32B83779" w14:textId="77777777" w:rsidR="00AD0DEF" w:rsidRPr="00433DB0" w:rsidRDefault="00AD0DEF" w:rsidP="00AD0DEF">
            <w:pPr>
              <w:tabs>
                <w:tab w:val="left" w:pos="340"/>
              </w:tabs>
              <w:jc w:val="both"/>
              <w:rPr>
                <w:rFonts w:ascii="Cambria" w:eastAsia="Batang" w:hAnsi="Cambria" w:cs="Times New Roman"/>
                <w:sz w:val="20"/>
                <w:szCs w:val="20"/>
              </w:rPr>
            </w:pPr>
            <w:r w:rsidRPr="00433DB0">
              <w:rPr>
                <w:rFonts w:ascii="Cambria" w:eastAsia="Batang" w:hAnsi="Cambria" w:cs="Times New Roman"/>
                <w:sz w:val="20"/>
                <w:szCs w:val="20"/>
              </w:rPr>
              <w:t>Détail du message ; indique le début de l’enregistrement.</w:t>
            </w:r>
          </w:p>
        </w:tc>
      </w:tr>
      <w:tr w:rsidR="00AD0DEF" w:rsidRPr="00433DB0" w14:paraId="75EF1470" w14:textId="77777777" w:rsidTr="00DF7B1C">
        <w:tc>
          <w:tcPr>
            <w:tcW w:w="2126" w:type="dxa"/>
            <w:shd w:val="clear" w:color="auto" w:fill="auto"/>
          </w:tcPr>
          <w:p w14:paraId="6A03EC41" w14:textId="77777777" w:rsidR="00AD0DEF" w:rsidRPr="00433DB0" w:rsidRDefault="00AD0DEF" w:rsidP="00AD0DEF">
            <w:pPr>
              <w:tabs>
                <w:tab w:val="left" w:pos="340"/>
              </w:tabs>
              <w:jc w:val="both"/>
              <w:rPr>
                <w:rFonts w:ascii="Cambria" w:eastAsia="Batang" w:hAnsi="Cambria" w:cs="Times New Roman"/>
                <w:sz w:val="20"/>
                <w:szCs w:val="20"/>
              </w:rPr>
            </w:pPr>
            <w:r w:rsidRPr="00433DB0">
              <w:rPr>
                <w:rFonts w:ascii="Cambria" w:eastAsia="Batang" w:hAnsi="Cambria" w:cs="Times New Roman"/>
                <w:sz w:val="20"/>
                <w:szCs w:val="20"/>
              </w:rPr>
              <w:t>Adresse</w:t>
            </w:r>
          </w:p>
        </w:tc>
        <w:tc>
          <w:tcPr>
            <w:tcW w:w="1060" w:type="dxa"/>
            <w:shd w:val="clear" w:color="auto" w:fill="auto"/>
          </w:tcPr>
          <w:p w14:paraId="338B6DE7" w14:textId="77777777" w:rsidR="00AD0DEF" w:rsidRPr="00433DB0" w:rsidRDefault="00AD0DEF" w:rsidP="00AD0DEF">
            <w:pPr>
              <w:tabs>
                <w:tab w:val="left" w:pos="340"/>
              </w:tabs>
              <w:jc w:val="center"/>
              <w:rPr>
                <w:rFonts w:ascii="Cambria" w:eastAsia="Batang" w:hAnsi="Cambria" w:cs="Times New Roman"/>
                <w:sz w:val="20"/>
                <w:szCs w:val="20"/>
              </w:rPr>
            </w:pPr>
            <w:r w:rsidRPr="00433DB0">
              <w:rPr>
                <w:rFonts w:ascii="Cambria" w:eastAsia="Batang" w:hAnsi="Cambria" w:cs="Times New Roman"/>
                <w:sz w:val="20"/>
                <w:szCs w:val="20"/>
              </w:rPr>
              <w:t>AD</w:t>
            </w:r>
          </w:p>
        </w:tc>
        <w:tc>
          <w:tcPr>
            <w:tcW w:w="1538" w:type="dxa"/>
            <w:shd w:val="clear" w:color="auto" w:fill="auto"/>
          </w:tcPr>
          <w:p w14:paraId="07040D2A" w14:textId="77777777" w:rsidR="00AD0DEF" w:rsidRPr="00433DB0" w:rsidRDefault="00AD0DEF" w:rsidP="00AD0DEF">
            <w:pPr>
              <w:tabs>
                <w:tab w:val="left" w:pos="340"/>
              </w:tabs>
              <w:jc w:val="center"/>
              <w:rPr>
                <w:rFonts w:ascii="Cambria" w:eastAsia="Batang" w:hAnsi="Cambria" w:cs="Times New Roman"/>
                <w:sz w:val="20"/>
                <w:szCs w:val="20"/>
              </w:rPr>
            </w:pPr>
            <w:r w:rsidRPr="00433DB0">
              <w:rPr>
                <w:rFonts w:ascii="Cambria" w:eastAsia="Batang" w:hAnsi="Cambria" w:cs="Times New Roman"/>
                <w:sz w:val="20"/>
                <w:szCs w:val="20"/>
              </w:rPr>
              <w:t>M</w:t>
            </w:r>
          </w:p>
        </w:tc>
        <w:tc>
          <w:tcPr>
            <w:tcW w:w="4336" w:type="dxa"/>
            <w:shd w:val="clear" w:color="auto" w:fill="auto"/>
          </w:tcPr>
          <w:p w14:paraId="4179BA5B" w14:textId="77777777" w:rsidR="00AD0DEF" w:rsidRPr="00433DB0" w:rsidRDefault="00AD0DEF" w:rsidP="00AD0DEF">
            <w:pPr>
              <w:tabs>
                <w:tab w:val="left" w:pos="340"/>
              </w:tabs>
              <w:jc w:val="both"/>
              <w:rPr>
                <w:rFonts w:ascii="Cambria" w:eastAsia="Batang" w:hAnsi="Cambria" w:cs="Times New Roman"/>
                <w:sz w:val="20"/>
                <w:szCs w:val="20"/>
              </w:rPr>
            </w:pPr>
            <w:r w:rsidRPr="00433DB0">
              <w:rPr>
                <w:rFonts w:ascii="Cambria" w:eastAsia="Batang" w:hAnsi="Cambria" w:cs="Times New Roman"/>
                <w:sz w:val="20"/>
                <w:szCs w:val="20"/>
              </w:rPr>
              <w:t>Destinataire : ICCAT.</w:t>
            </w:r>
          </w:p>
        </w:tc>
      </w:tr>
      <w:tr w:rsidR="00AD0DEF" w:rsidRPr="00433DB0" w14:paraId="7CC7690C" w14:textId="77777777" w:rsidTr="00DF7B1C">
        <w:tc>
          <w:tcPr>
            <w:tcW w:w="2126" w:type="dxa"/>
            <w:shd w:val="clear" w:color="auto" w:fill="auto"/>
          </w:tcPr>
          <w:p w14:paraId="6FF015A7" w14:textId="77777777" w:rsidR="00AD0DEF" w:rsidRPr="00433DB0" w:rsidRDefault="00AD0DEF" w:rsidP="00AD0DEF">
            <w:pPr>
              <w:tabs>
                <w:tab w:val="left" w:pos="340"/>
              </w:tabs>
              <w:jc w:val="both"/>
              <w:rPr>
                <w:rFonts w:ascii="Cambria" w:eastAsia="Batang" w:hAnsi="Cambria" w:cs="Times New Roman"/>
                <w:sz w:val="20"/>
                <w:szCs w:val="20"/>
              </w:rPr>
            </w:pPr>
            <w:r w:rsidRPr="00433DB0">
              <w:rPr>
                <w:rFonts w:ascii="Cambria" w:eastAsia="Batang" w:hAnsi="Cambria" w:cs="Times New Roman"/>
                <w:sz w:val="20"/>
                <w:szCs w:val="20"/>
              </w:rPr>
              <w:t>Numéro de séquence</w:t>
            </w:r>
          </w:p>
        </w:tc>
        <w:tc>
          <w:tcPr>
            <w:tcW w:w="1060" w:type="dxa"/>
            <w:shd w:val="clear" w:color="auto" w:fill="auto"/>
          </w:tcPr>
          <w:p w14:paraId="687BA95E" w14:textId="77777777" w:rsidR="00AD0DEF" w:rsidRPr="00433DB0" w:rsidRDefault="00AD0DEF" w:rsidP="00AD0DEF">
            <w:pPr>
              <w:tabs>
                <w:tab w:val="left" w:pos="340"/>
              </w:tabs>
              <w:jc w:val="center"/>
              <w:rPr>
                <w:rFonts w:ascii="Cambria" w:eastAsia="Batang" w:hAnsi="Cambria" w:cs="Times New Roman"/>
                <w:sz w:val="20"/>
                <w:szCs w:val="20"/>
              </w:rPr>
            </w:pPr>
            <w:r w:rsidRPr="00433DB0">
              <w:rPr>
                <w:rFonts w:ascii="Cambria" w:eastAsia="Batang" w:hAnsi="Cambria" w:cs="Times New Roman"/>
                <w:sz w:val="20"/>
                <w:szCs w:val="20"/>
              </w:rPr>
              <w:t>SQ</w:t>
            </w:r>
          </w:p>
        </w:tc>
        <w:tc>
          <w:tcPr>
            <w:tcW w:w="1538" w:type="dxa"/>
            <w:shd w:val="clear" w:color="auto" w:fill="auto"/>
          </w:tcPr>
          <w:p w14:paraId="6B1D652B" w14:textId="77777777" w:rsidR="00AD0DEF" w:rsidRPr="00433DB0" w:rsidRDefault="00AD0DEF" w:rsidP="00AD0DEF">
            <w:pPr>
              <w:tabs>
                <w:tab w:val="left" w:pos="340"/>
              </w:tabs>
              <w:jc w:val="center"/>
              <w:rPr>
                <w:rFonts w:ascii="Cambria" w:eastAsia="Batang" w:hAnsi="Cambria" w:cs="Times New Roman"/>
                <w:sz w:val="20"/>
                <w:szCs w:val="20"/>
              </w:rPr>
            </w:pPr>
            <w:r w:rsidRPr="00433DB0">
              <w:rPr>
                <w:rFonts w:ascii="Cambria" w:eastAsia="Batang" w:hAnsi="Cambria" w:cs="Times New Roman"/>
                <w:sz w:val="20"/>
                <w:szCs w:val="20"/>
              </w:rPr>
              <w:t>M</w:t>
            </w:r>
            <w:r w:rsidRPr="00433DB0">
              <w:rPr>
                <w:rFonts w:ascii="Cambria" w:eastAsia="Batang" w:hAnsi="Cambria" w:cs="Times New Roman"/>
                <w:sz w:val="20"/>
                <w:szCs w:val="20"/>
                <w:vertAlign w:val="superscript"/>
              </w:rPr>
              <w:t>1</w:t>
            </w:r>
          </w:p>
        </w:tc>
        <w:tc>
          <w:tcPr>
            <w:tcW w:w="4336" w:type="dxa"/>
            <w:shd w:val="clear" w:color="auto" w:fill="auto"/>
          </w:tcPr>
          <w:p w14:paraId="61BF23A5" w14:textId="77777777" w:rsidR="00AD0DEF" w:rsidRPr="00433DB0" w:rsidRDefault="00AD0DEF" w:rsidP="00AD0DEF">
            <w:pPr>
              <w:tabs>
                <w:tab w:val="left" w:pos="340"/>
              </w:tabs>
              <w:jc w:val="both"/>
              <w:rPr>
                <w:rFonts w:ascii="Cambria" w:eastAsia="Batang" w:hAnsi="Cambria" w:cs="Times New Roman"/>
                <w:sz w:val="20"/>
                <w:szCs w:val="20"/>
              </w:rPr>
            </w:pPr>
            <w:r w:rsidRPr="00433DB0">
              <w:rPr>
                <w:rFonts w:ascii="Cambria" w:eastAsia="Batang" w:hAnsi="Cambria" w:cs="Times New Roman"/>
                <w:sz w:val="20"/>
                <w:szCs w:val="20"/>
              </w:rPr>
              <w:t>Détail du message ; numéro de série du message de l’année en cours.</w:t>
            </w:r>
          </w:p>
        </w:tc>
      </w:tr>
      <w:tr w:rsidR="00AD0DEF" w:rsidRPr="00433DB0" w14:paraId="20B146C5" w14:textId="77777777" w:rsidTr="00DF7B1C">
        <w:tc>
          <w:tcPr>
            <w:tcW w:w="2126" w:type="dxa"/>
            <w:shd w:val="clear" w:color="auto" w:fill="auto"/>
          </w:tcPr>
          <w:p w14:paraId="0915F816" w14:textId="77777777" w:rsidR="00AD0DEF" w:rsidRPr="00433DB0" w:rsidRDefault="00AD0DEF" w:rsidP="00AD0DEF">
            <w:pPr>
              <w:tabs>
                <w:tab w:val="left" w:pos="340"/>
              </w:tabs>
              <w:jc w:val="both"/>
              <w:rPr>
                <w:rFonts w:ascii="Cambria" w:eastAsia="Batang" w:hAnsi="Cambria" w:cs="Times New Roman"/>
                <w:sz w:val="20"/>
                <w:szCs w:val="20"/>
              </w:rPr>
            </w:pPr>
            <w:r w:rsidRPr="00433DB0">
              <w:rPr>
                <w:rFonts w:ascii="Cambria" w:eastAsia="Batang" w:hAnsi="Cambria" w:cs="Times New Roman"/>
                <w:sz w:val="20"/>
                <w:szCs w:val="20"/>
              </w:rPr>
              <w:t>Type de message</w:t>
            </w:r>
          </w:p>
        </w:tc>
        <w:tc>
          <w:tcPr>
            <w:tcW w:w="1060" w:type="dxa"/>
            <w:shd w:val="clear" w:color="auto" w:fill="auto"/>
          </w:tcPr>
          <w:p w14:paraId="2ADB07E2" w14:textId="77777777" w:rsidR="00AD0DEF" w:rsidRPr="00433DB0" w:rsidRDefault="00AD0DEF" w:rsidP="00AD0DEF">
            <w:pPr>
              <w:tabs>
                <w:tab w:val="left" w:pos="340"/>
              </w:tabs>
              <w:jc w:val="center"/>
              <w:rPr>
                <w:rFonts w:ascii="Cambria" w:eastAsia="Batang" w:hAnsi="Cambria" w:cs="Times New Roman"/>
                <w:sz w:val="20"/>
                <w:szCs w:val="20"/>
              </w:rPr>
            </w:pPr>
            <w:r w:rsidRPr="00433DB0">
              <w:rPr>
                <w:rFonts w:ascii="Cambria" w:eastAsia="Batang" w:hAnsi="Cambria" w:cs="Times New Roman"/>
                <w:sz w:val="20"/>
                <w:szCs w:val="20"/>
              </w:rPr>
              <w:t>TM</w:t>
            </w:r>
            <w:r w:rsidRPr="00433DB0">
              <w:rPr>
                <w:rFonts w:ascii="Cambria" w:eastAsia="Batang" w:hAnsi="Cambria" w:cs="Times New Roman"/>
                <w:sz w:val="20"/>
                <w:szCs w:val="20"/>
                <w:vertAlign w:val="superscript"/>
              </w:rPr>
              <w:t>2</w:t>
            </w:r>
          </w:p>
        </w:tc>
        <w:tc>
          <w:tcPr>
            <w:tcW w:w="1538" w:type="dxa"/>
            <w:shd w:val="clear" w:color="auto" w:fill="auto"/>
          </w:tcPr>
          <w:p w14:paraId="2FCA432B" w14:textId="77777777" w:rsidR="00AD0DEF" w:rsidRPr="00433DB0" w:rsidRDefault="00AD0DEF" w:rsidP="00AD0DEF">
            <w:pPr>
              <w:tabs>
                <w:tab w:val="left" w:pos="340"/>
              </w:tabs>
              <w:jc w:val="center"/>
              <w:rPr>
                <w:rFonts w:ascii="Cambria" w:eastAsia="Batang" w:hAnsi="Cambria" w:cs="Times New Roman"/>
                <w:sz w:val="20"/>
                <w:szCs w:val="20"/>
              </w:rPr>
            </w:pPr>
            <w:r w:rsidRPr="00433DB0">
              <w:rPr>
                <w:rFonts w:ascii="Cambria" w:eastAsia="Batang" w:hAnsi="Cambria" w:cs="Times New Roman"/>
                <w:sz w:val="20"/>
                <w:szCs w:val="20"/>
              </w:rPr>
              <w:t>M</w:t>
            </w:r>
          </w:p>
        </w:tc>
        <w:tc>
          <w:tcPr>
            <w:tcW w:w="4336" w:type="dxa"/>
            <w:shd w:val="clear" w:color="auto" w:fill="auto"/>
          </w:tcPr>
          <w:p w14:paraId="7D7F88D5" w14:textId="77777777" w:rsidR="00AD0DEF" w:rsidRPr="00433DB0" w:rsidRDefault="00AD0DEF" w:rsidP="00AD0DEF">
            <w:pPr>
              <w:tabs>
                <w:tab w:val="left" w:pos="340"/>
              </w:tabs>
              <w:jc w:val="both"/>
              <w:rPr>
                <w:rFonts w:ascii="Cambria" w:eastAsia="Batang" w:hAnsi="Cambria" w:cs="Times New Roman"/>
                <w:sz w:val="20"/>
                <w:szCs w:val="20"/>
              </w:rPr>
            </w:pPr>
            <w:r w:rsidRPr="00433DB0">
              <w:rPr>
                <w:rFonts w:ascii="Cambria" w:eastAsia="Batang" w:hAnsi="Cambria" w:cs="Times New Roman"/>
                <w:sz w:val="20"/>
                <w:szCs w:val="20"/>
              </w:rPr>
              <w:t>Détail du message ; « POS » tel que message de position devant être communiqué par VMS ou tout autre moyen par les navires dont le dispositif de suivi par satellite est défectueux.</w:t>
            </w:r>
          </w:p>
        </w:tc>
      </w:tr>
      <w:tr w:rsidR="00AD0DEF" w:rsidRPr="00433DB0" w14:paraId="22DF10F2" w14:textId="77777777" w:rsidTr="00DF7B1C">
        <w:tc>
          <w:tcPr>
            <w:tcW w:w="2126" w:type="dxa"/>
            <w:shd w:val="clear" w:color="auto" w:fill="auto"/>
          </w:tcPr>
          <w:p w14:paraId="4BF4C2EA" w14:textId="77777777" w:rsidR="00AD0DEF" w:rsidRPr="00433DB0" w:rsidRDefault="00AD0DEF" w:rsidP="00AD0DEF">
            <w:pPr>
              <w:tabs>
                <w:tab w:val="left" w:pos="340"/>
              </w:tabs>
              <w:jc w:val="both"/>
              <w:rPr>
                <w:rFonts w:ascii="Cambria" w:eastAsia="Batang" w:hAnsi="Cambria" w:cs="Times New Roman"/>
                <w:sz w:val="20"/>
                <w:szCs w:val="20"/>
              </w:rPr>
            </w:pPr>
            <w:r w:rsidRPr="00433DB0">
              <w:rPr>
                <w:rFonts w:ascii="Cambria" w:eastAsia="Batang" w:hAnsi="Cambria" w:cs="Times New Roman"/>
                <w:sz w:val="20"/>
                <w:szCs w:val="20"/>
              </w:rPr>
              <w:t>Indicatif d’appel radio</w:t>
            </w:r>
          </w:p>
        </w:tc>
        <w:tc>
          <w:tcPr>
            <w:tcW w:w="1060" w:type="dxa"/>
            <w:shd w:val="clear" w:color="auto" w:fill="auto"/>
          </w:tcPr>
          <w:p w14:paraId="07E67290" w14:textId="77777777" w:rsidR="00AD0DEF" w:rsidRPr="00433DB0" w:rsidRDefault="00AD0DEF" w:rsidP="00AD0DEF">
            <w:pPr>
              <w:tabs>
                <w:tab w:val="left" w:pos="340"/>
              </w:tabs>
              <w:jc w:val="center"/>
              <w:rPr>
                <w:rFonts w:ascii="Cambria" w:eastAsia="Batang" w:hAnsi="Cambria" w:cs="Times New Roman"/>
                <w:sz w:val="20"/>
                <w:szCs w:val="20"/>
              </w:rPr>
            </w:pPr>
            <w:r w:rsidRPr="00433DB0">
              <w:rPr>
                <w:rFonts w:ascii="Cambria" w:eastAsia="Batang" w:hAnsi="Cambria" w:cs="Times New Roman"/>
                <w:sz w:val="20"/>
                <w:szCs w:val="20"/>
              </w:rPr>
              <w:t>RC</w:t>
            </w:r>
          </w:p>
        </w:tc>
        <w:tc>
          <w:tcPr>
            <w:tcW w:w="1538" w:type="dxa"/>
            <w:shd w:val="clear" w:color="auto" w:fill="auto"/>
          </w:tcPr>
          <w:p w14:paraId="2EC5B2D7" w14:textId="77777777" w:rsidR="00AD0DEF" w:rsidRPr="00433DB0" w:rsidRDefault="00AD0DEF" w:rsidP="00AD0DEF">
            <w:pPr>
              <w:tabs>
                <w:tab w:val="left" w:pos="340"/>
              </w:tabs>
              <w:jc w:val="center"/>
              <w:rPr>
                <w:rFonts w:ascii="Cambria" w:eastAsia="Batang" w:hAnsi="Cambria" w:cs="Times New Roman"/>
                <w:sz w:val="20"/>
                <w:szCs w:val="20"/>
              </w:rPr>
            </w:pPr>
            <w:r w:rsidRPr="00433DB0">
              <w:rPr>
                <w:rFonts w:ascii="Cambria" w:eastAsia="Batang" w:hAnsi="Cambria" w:cs="Times New Roman"/>
                <w:sz w:val="20"/>
                <w:szCs w:val="20"/>
              </w:rPr>
              <w:t>M</w:t>
            </w:r>
          </w:p>
        </w:tc>
        <w:tc>
          <w:tcPr>
            <w:tcW w:w="4336" w:type="dxa"/>
            <w:shd w:val="clear" w:color="auto" w:fill="auto"/>
          </w:tcPr>
          <w:p w14:paraId="716AA23E" w14:textId="77777777" w:rsidR="00AD0DEF" w:rsidRPr="00433DB0" w:rsidRDefault="00AD0DEF" w:rsidP="00AD0DEF">
            <w:pPr>
              <w:tabs>
                <w:tab w:val="left" w:pos="340"/>
              </w:tabs>
              <w:jc w:val="both"/>
              <w:rPr>
                <w:rFonts w:ascii="Cambria" w:eastAsia="Batang" w:hAnsi="Cambria" w:cs="Times New Roman"/>
                <w:sz w:val="20"/>
                <w:szCs w:val="20"/>
              </w:rPr>
            </w:pPr>
            <w:r w:rsidRPr="00433DB0">
              <w:rPr>
                <w:rFonts w:ascii="Cambria" w:eastAsia="Batang" w:hAnsi="Cambria" w:cs="Times New Roman"/>
                <w:sz w:val="20"/>
                <w:szCs w:val="20"/>
              </w:rPr>
              <w:t>Détail d’immatriculation du navire ; indicatif international d’appel radio du navire.</w:t>
            </w:r>
          </w:p>
        </w:tc>
      </w:tr>
      <w:tr w:rsidR="00AD0DEF" w:rsidRPr="00433DB0" w14:paraId="12816546" w14:textId="77777777" w:rsidTr="00DF7B1C">
        <w:tc>
          <w:tcPr>
            <w:tcW w:w="2126" w:type="dxa"/>
            <w:shd w:val="clear" w:color="auto" w:fill="auto"/>
          </w:tcPr>
          <w:p w14:paraId="6299E775" w14:textId="77777777" w:rsidR="00AD0DEF" w:rsidRPr="00433DB0" w:rsidRDefault="00AD0DEF" w:rsidP="00AD0DEF">
            <w:pPr>
              <w:tabs>
                <w:tab w:val="left" w:pos="340"/>
              </w:tabs>
              <w:jc w:val="both"/>
              <w:rPr>
                <w:rFonts w:ascii="Cambria" w:eastAsia="Batang" w:hAnsi="Cambria" w:cs="Times New Roman"/>
                <w:sz w:val="20"/>
                <w:szCs w:val="20"/>
              </w:rPr>
            </w:pPr>
            <w:r w:rsidRPr="00433DB0">
              <w:rPr>
                <w:rFonts w:ascii="Cambria" w:eastAsia="Batang" w:hAnsi="Cambria" w:cs="Times New Roman"/>
                <w:sz w:val="20"/>
                <w:szCs w:val="20"/>
              </w:rPr>
              <w:t>Numéro de sortie en mer</w:t>
            </w:r>
          </w:p>
        </w:tc>
        <w:tc>
          <w:tcPr>
            <w:tcW w:w="1060" w:type="dxa"/>
            <w:shd w:val="clear" w:color="auto" w:fill="auto"/>
          </w:tcPr>
          <w:p w14:paraId="455161A6" w14:textId="77777777" w:rsidR="00AD0DEF" w:rsidRPr="00433DB0" w:rsidRDefault="00AD0DEF" w:rsidP="00AD0DEF">
            <w:pPr>
              <w:tabs>
                <w:tab w:val="left" w:pos="340"/>
              </w:tabs>
              <w:jc w:val="center"/>
              <w:rPr>
                <w:rFonts w:ascii="Cambria" w:eastAsia="Batang" w:hAnsi="Cambria" w:cs="Times New Roman"/>
                <w:sz w:val="20"/>
                <w:szCs w:val="20"/>
              </w:rPr>
            </w:pPr>
            <w:r w:rsidRPr="00433DB0">
              <w:rPr>
                <w:rFonts w:ascii="Cambria" w:eastAsia="Batang" w:hAnsi="Cambria" w:cs="Times New Roman"/>
                <w:sz w:val="20"/>
                <w:szCs w:val="20"/>
              </w:rPr>
              <w:t>TN</w:t>
            </w:r>
          </w:p>
        </w:tc>
        <w:tc>
          <w:tcPr>
            <w:tcW w:w="1538" w:type="dxa"/>
            <w:shd w:val="clear" w:color="auto" w:fill="auto"/>
          </w:tcPr>
          <w:p w14:paraId="5E1BF797" w14:textId="77777777" w:rsidR="00AD0DEF" w:rsidRPr="00433DB0" w:rsidRDefault="00AD0DEF" w:rsidP="00AD0DEF">
            <w:pPr>
              <w:tabs>
                <w:tab w:val="left" w:pos="340"/>
              </w:tabs>
              <w:jc w:val="center"/>
              <w:rPr>
                <w:rFonts w:ascii="Cambria" w:eastAsia="Batang" w:hAnsi="Cambria" w:cs="Times New Roman"/>
                <w:sz w:val="20"/>
                <w:szCs w:val="20"/>
              </w:rPr>
            </w:pPr>
            <w:r w:rsidRPr="00433DB0">
              <w:rPr>
                <w:rFonts w:ascii="Cambria" w:eastAsia="Batang" w:hAnsi="Cambria" w:cs="Times New Roman"/>
                <w:sz w:val="20"/>
                <w:szCs w:val="20"/>
              </w:rPr>
              <w:t>O</w:t>
            </w:r>
          </w:p>
        </w:tc>
        <w:tc>
          <w:tcPr>
            <w:tcW w:w="4336" w:type="dxa"/>
            <w:shd w:val="clear" w:color="auto" w:fill="auto"/>
          </w:tcPr>
          <w:p w14:paraId="71F65756" w14:textId="77777777" w:rsidR="00AD0DEF" w:rsidRPr="00433DB0" w:rsidRDefault="00AD0DEF" w:rsidP="00AD0DEF">
            <w:pPr>
              <w:tabs>
                <w:tab w:val="left" w:pos="340"/>
              </w:tabs>
              <w:jc w:val="both"/>
              <w:rPr>
                <w:rFonts w:ascii="Cambria" w:eastAsia="Batang" w:hAnsi="Cambria" w:cs="Times New Roman"/>
                <w:sz w:val="20"/>
                <w:szCs w:val="20"/>
              </w:rPr>
            </w:pPr>
            <w:r w:rsidRPr="00433DB0">
              <w:rPr>
                <w:rFonts w:ascii="Cambria" w:eastAsia="Batang" w:hAnsi="Cambria" w:cs="Times New Roman"/>
                <w:sz w:val="20"/>
                <w:szCs w:val="20"/>
              </w:rPr>
              <w:t>Détail des activités ; numéro de série de la sortie de pêche de l’année en cours.</w:t>
            </w:r>
          </w:p>
        </w:tc>
      </w:tr>
      <w:tr w:rsidR="008E7B86" w:rsidRPr="00433DB0" w14:paraId="66DA546D" w14:textId="77777777" w:rsidTr="00DF7B1C">
        <w:tc>
          <w:tcPr>
            <w:tcW w:w="2126" w:type="dxa"/>
            <w:shd w:val="clear" w:color="auto" w:fill="auto"/>
          </w:tcPr>
          <w:p w14:paraId="6144A21E" w14:textId="672B195E" w:rsidR="008E7B86" w:rsidRPr="00433DB0" w:rsidRDefault="008E7B86" w:rsidP="00AD0DEF">
            <w:pPr>
              <w:tabs>
                <w:tab w:val="left" w:pos="340"/>
              </w:tabs>
              <w:jc w:val="both"/>
              <w:rPr>
                <w:rFonts w:ascii="Cambria" w:eastAsia="Batang" w:hAnsi="Cambria" w:cs="Times New Roman"/>
                <w:sz w:val="20"/>
                <w:szCs w:val="20"/>
              </w:rPr>
            </w:pPr>
            <w:r w:rsidRPr="00433DB0">
              <w:rPr>
                <w:rFonts w:ascii="Cambria" w:eastAsia="Batang" w:hAnsi="Cambria" w:cs="Times New Roman"/>
                <w:sz w:val="20"/>
                <w:szCs w:val="20"/>
              </w:rPr>
              <w:t xml:space="preserve">Provenance </w:t>
            </w:r>
          </w:p>
        </w:tc>
        <w:tc>
          <w:tcPr>
            <w:tcW w:w="1060" w:type="dxa"/>
            <w:shd w:val="clear" w:color="auto" w:fill="auto"/>
          </w:tcPr>
          <w:p w14:paraId="210C39C8" w14:textId="719AF7B6" w:rsidR="008E7B86" w:rsidRPr="00433DB0" w:rsidRDefault="008E7B86" w:rsidP="00AD0DEF">
            <w:pPr>
              <w:tabs>
                <w:tab w:val="left" w:pos="340"/>
              </w:tabs>
              <w:jc w:val="center"/>
              <w:rPr>
                <w:rFonts w:ascii="Cambria" w:eastAsia="Batang" w:hAnsi="Cambria" w:cs="Times New Roman"/>
                <w:sz w:val="20"/>
                <w:szCs w:val="20"/>
              </w:rPr>
            </w:pPr>
            <w:r w:rsidRPr="00433DB0">
              <w:rPr>
                <w:rFonts w:ascii="Cambria" w:eastAsia="Batang" w:hAnsi="Cambria" w:cs="Times New Roman"/>
                <w:sz w:val="20"/>
                <w:szCs w:val="20"/>
              </w:rPr>
              <w:t>FR</w:t>
            </w:r>
          </w:p>
        </w:tc>
        <w:tc>
          <w:tcPr>
            <w:tcW w:w="1538" w:type="dxa"/>
            <w:shd w:val="clear" w:color="auto" w:fill="auto"/>
          </w:tcPr>
          <w:p w14:paraId="6D11822C" w14:textId="611DF16F" w:rsidR="008E7B86" w:rsidRPr="00433DB0" w:rsidRDefault="008E7B86" w:rsidP="00AD0DEF">
            <w:pPr>
              <w:tabs>
                <w:tab w:val="left" w:pos="340"/>
              </w:tabs>
              <w:jc w:val="center"/>
              <w:rPr>
                <w:rFonts w:ascii="Cambria" w:eastAsia="Batang" w:hAnsi="Cambria" w:cs="Times New Roman"/>
                <w:sz w:val="20"/>
                <w:szCs w:val="20"/>
              </w:rPr>
            </w:pPr>
            <w:r w:rsidRPr="00433DB0">
              <w:rPr>
                <w:rFonts w:ascii="Cambria" w:eastAsia="Batang" w:hAnsi="Cambria" w:cs="Times New Roman"/>
                <w:sz w:val="20"/>
                <w:szCs w:val="20"/>
              </w:rPr>
              <w:t>M</w:t>
            </w:r>
          </w:p>
        </w:tc>
        <w:tc>
          <w:tcPr>
            <w:tcW w:w="4336" w:type="dxa"/>
            <w:shd w:val="clear" w:color="auto" w:fill="auto"/>
          </w:tcPr>
          <w:p w14:paraId="53BBCDFD" w14:textId="3C6EF662" w:rsidR="008E7B86" w:rsidRPr="00433DB0" w:rsidRDefault="008E7B86" w:rsidP="00AD0DEF">
            <w:pPr>
              <w:tabs>
                <w:tab w:val="left" w:pos="340"/>
              </w:tabs>
              <w:jc w:val="both"/>
              <w:rPr>
                <w:rFonts w:ascii="Cambria" w:eastAsia="Batang" w:hAnsi="Cambria" w:cs="Times New Roman"/>
                <w:sz w:val="20"/>
                <w:szCs w:val="20"/>
              </w:rPr>
            </w:pPr>
            <w:r w:rsidRPr="00433DB0">
              <w:rPr>
                <w:rFonts w:ascii="Cambria" w:eastAsia="Batang" w:hAnsi="Cambria" w:cs="Times New Roman"/>
                <w:sz w:val="20"/>
                <w:szCs w:val="20"/>
              </w:rPr>
              <w:t>Détail concernant l’origine des messages VMS : code alpha du pays</w:t>
            </w:r>
          </w:p>
        </w:tc>
      </w:tr>
      <w:tr w:rsidR="008E7B86" w:rsidRPr="00433DB0" w14:paraId="584CD177" w14:textId="77777777" w:rsidTr="00DF7B1C">
        <w:tc>
          <w:tcPr>
            <w:tcW w:w="2126" w:type="dxa"/>
            <w:shd w:val="clear" w:color="auto" w:fill="auto"/>
          </w:tcPr>
          <w:p w14:paraId="12A99213" w14:textId="5D84851E" w:rsidR="008E7B86" w:rsidRPr="00433DB0" w:rsidRDefault="008E7B86" w:rsidP="00AD0DEF">
            <w:pPr>
              <w:tabs>
                <w:tab w:val="left" w:pos="340"/>
              </w:tabs>
              <w:jc w:val="both"/>
              <w:rPr>
                <w:rFonts w:ascii="Cambria" w:eastAsia="Batang" w:hAnsi="Cambria" w:cs="Times New Roman"/>
                <w:sz w:val="20"/>
                <w:szCs w:val="20"/>
              </w:rPr>
            </w:pPr>
            <w:r w:rsidRPr="00433DB0">
              <w:rPr>
                <w:rFonts w:ascii="Cambria" w:eastAsia="Batang" w:hAnsi="Cambria" w:cs="Times New Roman"/>
                <w:sz w:val="20"/>
                <w:szCs w:val="20"/>
              </w:rPr>
              <w:t>État de pavillon</w:t>
            </w:r>
          </w:p>
        </w:tc>
        <w:tc>
          <w:tcPr>
            <w:tcW w:w="1060" w:type="dxa"/>
            <w:shd w:val="clear" w:color="auto" w:fill="auto"/>
          </w:tcPr>
          <w:p w14:paraId="0E5595A2" w14:textId="028CC049" w:rsidR="008E7B86" w:rsidRPr="00433DB0" w:rsidRDefault="008E7B86" w:rsidP="00AD0DEF">
            <w:pPr>
              <w:tabs>
                <w:tab w:val="left" w:pos="340"/>
              </w:tabs>
              <w:jc w:val="center"/>
              <w:rPr>
                <w:rFonts w:ascii="Cambria" w:eastAsia="Batang" w:hAnsi="Cambria" w:cs="Times New Roman"/>
                <w:sz w:val="20"/>
                <w:szCs w:val="20"/>
              </w:rPr>
            </w:pPr>
            <w:r w:rsidRPr="00433DB0">
              <w:rPr>
                <w:rFonts w:ascii="Cambria" w:eastAsia="Batang" w:hAnsi="Cambria" w:cs="Times New Roman"/>
                <w:sz w:val="20"/>
                <w:szCs w:val="20"/>
              </w:rPr>
              <w:t>FS</w:t>
            </w:r>
          </w:p>
        </w:tc>
        <w:tc>
          <w:tcPr>
            <w:tcW w:w="1538" w:type="dxa"/>
            <w:shd w:val="clear" w:color="auto" w:fill="auto"/>
          </w:tcPr>
          <w:p w14:paraId="045A1A35" w14:textId="6CB94F9D" w:rsidR="008E7B86" w:rsidRPr="00433DB0" w:rsidRDefault="008E7B86" w:rsidP="00AD0DEF">
            <w:pPr>
              <w:tabs>
                <w:tab w:val="left" w:pos="340"/>
              </w:tabs>
              <w:jc w:val="center"/>
              <w:rPr>
                <w:rFonts w:ascii="Cambria" w:eastAsia="Batang" w:hAnsi="Cambria" w:cs="Times New Roman"/>
                <w:sz w:val="20"/>
                <w:szCs w:val="20"/>
              </w:rPr>
            </w:pPr>
            <w:r w:rsidRPr="00433DB0">
              <w:rPr>
                <w:rFonts w:ascii="Cambria" w:eastAsia="Batang" w:hAnsi="Cambria" w:cs="Times New Roman"/>
                <w:sz w:val="20"/>
                <w:szCs w:val="20"/>
              </w:rPr>
              <w:t>M</w:t>
            </w:r>
          </w:p>
        </w:tc>
        <w:tc>
          <w:tcPr>
            <w:tcW w:w="4336" w:type="dxa"/>
            <w:shd w:val="clear" w:color="auto" w:fill="auto"/>
          </w:tcPr>
          <w:p w14:paraId="0FAC1921" w14:textId="35D743E8" w:rsidR="008E7B86" w:rsidRPr="00433DB0" w:rsidRDefault="008E7B86" w:rsidP="00AD0DEF">
            <w:pPr>
              <w:tabs>
                <w:tab w:val="left" w:pos="340"/>
              </w:tabs>
              <w:jc w:val="both"/>
              <w:rPr>
                <w:rFonts w:ascii="Cambria" w:eastAsia="Batang" w:hAnsi="Cambria" w:cs="Times New Roman"/>
                <w:sz w:val="20"/>
                <w:szCs w:val="20"/>
              </w:rPr>
            </w:pPr>
            <w:r w:rsidRPr="00433DB0">
              <w:rPr>
                <w:rFonts w:ascii="Cambria" w:eastAsia="Batang" w:hAnsi="Cambria" w:cs="Times New Roman"/>
                <w:sz w:val="20"/>
                <w:szCs w:val="20"/>
              </w:rPr>
              <w:t>Détail concernant l’origine des messages VMS : code de l'État du pavillon</w:t>
            </w:r>
          </w:p>
        </w:tc>
      </w:tr>
      <w:tr w:rsidR="008E7B86" w:rsidRPr="00433DB0" w14:paraId="7EA581A3" w14:textId="77777777" w:rsidTr="00DF7B1C">
        <w:tc>
          <w:tcPr>
            <w:tcW w:w="2126" w:type="dxa"/>
            <w:shd w:val="clear" w:color="auto" w:fill="auto"/>
          </w:tcPr>
          <w:p w14:paraId="3BDB1552" w14:textId="5A575151" w:rsidR="008E7B86" w:rsidRPr="00433DB0" w:rsidRDefault="008E7B86" w:rsidP="00AD0DEF">
            <w:pPr>
              <w:tabs>
                <w:tab w:val="left" w:pos="340"/>
              </w:tabs>
              <w:jc w:val="both"/>
              <w:rPr>
                <w:rFonts w:ascii="Cambria" w:eastAsia="Batang" w:hAnsi="Cambria" w:cs="Times New Roman"/>
                <w:sz w:val="20"/>
                <w:szCs w:val="20"/>
              </w:rPr>
            </w:pPr>
            <w:bookmarkStart w:id="2" w:name="_Hlk85698662"/>
            <w:r w:rsidRPr="00433DB0">
              <w:rPr>
                <w:rFonts w:ascii="Cambria" w:eastAsia="Batang" w:hAnsi="Cambria" w:cs="Times New Roman"/>
                <w:sz w:val="20"/>
                <w:szCs w:val="20"/>
              </w:rPr>
              <w:t>Numéro de référence interne</w:t>
            </w:r>
          </w:p>
        </w:tc>
        <w:tc>
          <w:tcPr>
            <w:tcW w:w="1060" w:type="dxa"/>
            <w:shd w:val="clear" w:color="auto" w:fill="auto"/>
          </w:tcPr>
          <w:p w14:paraId="5ECDC72D" w14:textId="326C6C84" w:rsidR="008E7B86" w:rsidRPr="00433DB0" w:rsidRDefault="008E7B86" w:rsidP="00AD0DEF">
            <w:pPr>
              <w:tabs>
                <w:tab w:val="left" w:pos="340"/>
              </w:tabs>
              <w:jc w:val="center"/>
              <w:rPr>
                <w:rFonts w:ascii="Cambria" w:eastAsia="Batang" w:hAnsi="Cambria" w:cs="Times New Roman"/>
                <w:sz w:val="20"/>
                <w:szCs w:val="20"/>
              </w:rPr>
            </w:pPr>
            <w:r w:rsidRPr="00433DB0">
              <w:rPr>
                <w:rFonts w:ascii="Cambria" w:eastAsia="Batang" w:hAnsi="Cambria" w:cs="Times New Roman"/>
                <w:sz w:val="20"/>
                <w:szCs w:val="20"/>
              </w:rPr>
              <w:t>IR</w:t>
            </w:r>
          </w:p>
        </w:tc>
        <w:tc>
          <w:tcPr>
            <w:tcW w:w="1538" w:type="dxa"/>
            <w:shd w:val="clear" w:color="auto" w:fill="auto"/>
          </w:tcPr>
          <w:p w14:paraId="175EE1C4" w14:textId="536E398D" w:rsidR="008E7B86" w:rsidRPr="00433DB0" w:rsidRDefault="006D12B1" w:rsidP="00AD0DEF">
            <w:pPr>
              <w:tabs>
                <w:tab w:val="left" w:pos="340"/>
              </w:tabs>
              <w:jc w:val="center"/>
              <w:rPr>
                <w:rFonts w:ascii="Cambria" w:eastAsia="Batang" w:hAnsi="Cambria" w:cs="Times New Roman"/>
                <w:sz w:val="20"/>
                <w:szCs w:val="20"/>
              </w:rPr>
            </w:pPr>
            <w:r w:rsidRPr="00433DB0">
              <w:rPr>
                <w:rFonts w:ascii="Cambria" w:eastAsia="Batang" w:hAnsi="Cambria" w:cs="Times New Roman"/>
                <w:sz w:val="20"/>
                <w:szCs w:val="20"/>
              </w:rPr>
              <w:t>O</w:t>
            </w:r>
          </w:p>
        </w:tc>
        <w:tc>
          <w:tcPr>
            <w:tcW w:w="4336" w:type="dxa"/>
            <w:shd w:val="clear" w:color="auto" w:fill="auto"/>
          </w:tcPr>
          <w:p w14:paraId="2E07DC91" w14:textId="21297AE3" w:rsidR="008E7B86" w:rsidRPr="00433DB0" w:rsidRDefault="008E7B86" w:rsidP="00AD0DEF">
            <w:pPr>
              <w:tabs>
                <w:tab w:val="left" w:pos="340"/>
              </w:tabs>
              <w:jc w:val="both"/>
              <w:rPr>
                <w:rFonts w:ascii="Cambria" w:eastAsia="Batang" w:hAnsi="Cambria" w:cs="Times New Roman"/>
                <w:sz w:val="20"/>
                <w:szCs w:val="20"/>
              </w:rPr>
            </w:pPr>
            <w:r w:rsidRPr="00433DB0">
              <w:rPr>
                <w:rFonts w:ascii="Cambria" w:eastAsia="Batang" w:hAnsi="Cambria" w:cs="Times New Roman"/>
                <w:sz w:val="20"/>
                <w:szCs w:val="20"/>
              </w:rPr>
              <w:t>Détail concernant l'immatriculation du navire ; référence interne du navire</w:t>
            </w:r>
          </w:p>
        </w:tc>
      </w:tr>
      <w:bookmarkEnd w:id="2"/>
      <w:tr w:rsidR="00AD0DEF" w:rsidRPr="00433DB0" w14:paraId="7BFEC358" w14:textId="77777777" w:rsidTr="00DF7B1C">
        <w:tc>
          <w:tcPr>
            <w:tcW w:w="2126" w:type="dxa"/>
            <w:shd w:val="clear" w:color="auto" w:fill="auto"/>
          </w:tcPr>
          <w:p w14:paraId="0916D89E" w14:textId="77777777" w:rsidR="00AD0DEF" w:rsidRPr="00433DB0" w:rsidRDefault="00AD0DEF" w:rsidP="00AD0DEF">
            <w:pPr>
              <w:tabs>
                <w:tab w:val="left" w:pos="340"/>
              </w:tabs>
              <w:jc w:val="both"/>
              <w:rPr>
                <w:rFonts w:ascii="Cambria" w:eastAsia="Batang" w:hAnsi="Cambria" w:cs="Times New Roman"/>
                <w:sz w:val="20"/>
                <w:szCs w:val="20"/>
              </w:rPr>
            </w:pPr>
            <w:r w:rsidRPr="00433DB0">
              <w:rPr>
                <w:rFonts w:ascii="Cambria" w:eastAsia="Batang" w:hAnsi="Cambria" w:cs="Times New Roman"/>
                <w:sz w:val="20"/>
                <w:szCs w:val="20"/>
              </w:rPr>
              <w:t>Nom du navire</w:t>
            </w:r>
          </w:p>
        </w:tc>
        <w:tc>
          <w:tcPr>
            <w:tcW w:w="1060" w:type="dxa"/>
            <w:shd w:val="clear" w:color="auto" w:fill="auto"/>
          </w:tcPr>
          <w:p w14:paraId="4C80E2FD" w14:textId="77777777" w:rsidR="00AD0DEF" w:rsidRPr="00433DB0" w:rsidRDefault="00AD0DEF" w:rsidP="00AD0DEF">
            <w:pPr>
              <w:tabs>
                <w:tab w:val="left" w:pos="340"/>
              </w:tabs>
              <w:jc w:val="center"/>
              <w:rPr>
                <w:rFonts w:ascii="Cambria" w:eastAsia="Batang" w:hAnsi="Cambria" w:cs="Times New Roman"/>
                <w:sz w:val="20"/>
                <w:szCs w:val="20"/>
              </w:rPr>
            </w:pPr>
            <w:r w:rsidRPr="00433DB0">
              <w:rPr>
                <w:rFonts w:ascii="Cambria" w:eastAsia="Batang" w:hAnsi="Cambria" w:cs="Times New Roman"/>
                <w:sz w:val="20"/>
                <w:szCs w:val="20"/>
              </w:rPr>
              <w:t>NA</w:t>
            </w:r>
          </w:p>
        </w:tc>
        <w:tc>
          <w:tcPr>
            <w:tcW w:w="1538" w:type="dxa"/>
            <w:shd w:val="clear" w:color="auto" w:fill="auto"/>
          </w:tcPr>
          <w:p w14:paraId="0790E997" w14:textId="77777777" w:rsidR="00AD0DEF" w:rsidRPr="00433DB0" w:rsidRDefault="00AD0DEF" w:rsidP="00AD0DEF">
            <w:pPr>
              <w:tabs>
                <w:tab w:val="left" w:pos="340"/>
              </w:tabs>
              <w:jc w:val="center"/>
              <w:rPr>
                <w:rFonts w:ascii="Cambria" w:eastAsia="Batang" w:hAnsi="Cambria" w:cs="Times New Roman"/>
                <w:sz w:val="20"/>
                <w:szCs w:val="20"/>
              </w:rPr>
            </w:pPr>
            <w:r w:rsidRPr="00433DB0">
              <w:rPr>
                <w:rFonts w:ascii="Cambria" w:eastAsia="Batang" w:hAnsi="Cambria" w:cs="Times New Roman"/>
                <w:sz w:val="20"/>
                <w:szCs w:val="20"/>
              </w:rPr>
              <w:t>O</w:t>
            </w:r>
          </w:p>
        </w:tc>
        <w:tc>
          <w:tcPr>
            <w:tcW w:w="4336" w:type="dxa"/>
            <w:shd w:val="clear" w:color="auto" w:fill="auto"/>
          </w:tcPr>
          <w:p w14:paraId="5D5E0BFD" w14:textId="77777777" w:rsidR="00AD0DEF" w:rsidRPr="00433DB0" w:rsidRDefault="00AD0DEF" w:rsidP="00AD0DEF">
            <w:pPr>
              <w:tabs>
                <w:tab w:val="left" w:pos="340"/>
              </w:tabs>
              <w:jc w:val="both"/>
              <w:rPr>
                <w:rFonts w:ascii="Cambria" w:eastAsia="Batang" w:hAnsi="Cambria" w:cs="Times New Roman"/>
                <w:sz w:val="20"/>
                <w:szCs w:val="20"/>
              </w:rPr>
            </w:pPr>
            <w:r w:rsidRPr="00433DB0">
              <w:rPr>
                <w:rFonts w:ascii="Cambria" w:eastAsia="Batang" w:hAnsi="Cambria" w:cs="Times New Roman"/>
                <w:sz w:val="20"/>
                <w:szCs w:val="20"/>
              </w:rPr>
              <w:t>Détail d’immatriculation du navire ; nom du navire.</w:t>
            </w:r>
          </w:p>
        </w:tc>
      </w:tr>
      <w:tr w:rsidR="00AD0DEF" w:rsidRPr="00433DB0" w14:paraId="15CC624E" w14:textId="77777777" w:rsidTr="00DF7B1C">
        <w:tc>
          <w:tcPr>
            <w:tcW w:w="2126" w:type="dxa"/>
            <w:shd w:val="clear" w:color="auto" w:fill="auto"/>
          </w:tcPr>
          <w:p w14:paraId="77991062" w14:textId="77777777" w:rsidR="00AD0DEF" w:rsidRPr="00433DB0" w:rsidRDefault="00AD0DEF" w:rsidP="00AD0DEF">
            <w:pPr>
              <w:tabs>
                <w:tab w:val="left" w:pos="340"/>
              </w:tabs>
              <w:jc w:val="both"/>
              <w:rPr>
                <w:rFonts w:ascii="Cambria" w:eastAsia="Batang" w:hAnsi="Cambria" w:cs="Times New Roman"/>
                <w:sz w:val="20"/>
                <w:szCs w:val="20"/>
              </w:rPr>
            </w:pPr>
            <w:r w:rsidRPr="00433DB0">
              <w:rPr>
                <w:rFonts w:ascii="Cambria" w:eastAsia="Batang" w:hAnsi="Cambria" w:cs="Times New Roman"/>
                <w:sz w:val="20"/>
                <w:szCs w:val="20"/>
              </w:rPr>
              <w:t>Numéro de référence interne de la Partie contractante</w:t>
            </w:r>
          </w:p>
        </w:tc>
        <w:tc>
          <w:tcPr>
            <w:tcW w:w="1060" w:type="dxa"/>
            <w:shd w:val="clear" w:color="auto" w:fill="auto"/>
          </w:tcPr>
          <w:p w14:paraId="461684E6" w14:textId="77777777" w:rsidR="00AD0DEF" w:rsidRPr="00433DB0" w:rsidRDefault="00AD0DEF" w:rsidP="00AD0DEF">
            <w:pPr>
              <w:tabs>
                <w:tab w:val="left" w:pos="340"/>
              </w:tabs>
              <w:jc w:val="center"/>
              <w:rPr>
                <w:rFonts w:ascii="Cambria" w:eastAsia="Batang" w:hAnsi="Cambria" w:cs="Times New Roman"/>
                <w:sz w:val="20"/>
                <w:szCs w:val="20"/>
              </w:rPr>
            </w:pPr>
            <w:r w:rsidRPr="00433DB0">
              <w:rPr>
                <w:rFonts w:ascii="Cambria" w:eastAsia="Batang" w:hAnsi="Cambria" w:cs="Times New Roman"/>
                <w:sz w:val="20"/>
                <w:szCs w:val="20"/>
              </w:rPr>
              <w:t>IR</w:t>
            </w:r>
          </w:p>
        </w:tc>
        <w:tc>
          <w:tcPr>
            <w:tcW w:w="1538" w:type="dxa"/>
            <w:shd w:val="clear" w:color="auto" w:fill="auto"/>
          </w:tcPr>
          <w:p w14:paraId="68F54AC9" w14:textId="77777777" w:rsidR="00AD0DEF" w:rsidRPr="00433DB0" w:rsidRDefault="00AD0DEF" w:rsidP="00AD0DEF">
            <w:pPr>
              <w:tabs>
                <w:tab w:val="left" w:pos="340"/>
              </w:tabs>
              <w:jc w:val="center"/>
              <w:rPr>
                <w:rFonts w:ascii="Cambria" w:eastAsia="Batang" w:hAnsi="Cambria" w:cs="Times New Roman"/>
                <w:sz w:val="20"/>
                <w:szCs w:val="20"/>
              </w:rPr>
            </w:pPr>
            <w:r w:rsidRPr="00433DB0">
              <w:rPr>
                <w:rFonts w:ascii="Cambria" w:eastAsia="Batang" w:hAnsi="Cambria" w:cs="Times New Roman"/>
                <w:sz w:val="20"/>
                <w:szCs w:val="20"/>
              </w:rPr>
              <w:t>O</w:t>
            </w:r>
          </w:p>
        </w:tc>
        <w:tc>
          <w:tcPr>
            <w:tcW w:w="4336" w:type="dxa"/>
            <w:shd w:val="clear" w:color="auto" w:fill="auto"/>
          </w:tcPr>
          <w:p w14:paraId="2542FC0E" w14:textId="5A58177B" w:rsidR="00AD0DEF" w:rsidRPr="00433DB0" w:rsidRDefault="00AD0DEF" w:rsidP="00AD0DEF">
            <w:pPr>
              <w:tabs>
                <w:tab w:val="left" w:pos="340"/>
              </w:tabs>
              <w:jc w:val="both"/>
              <w:rPr>
                <w:rFonts w:ascii="Cambria" w:eastAsia="Batang" w:hAnsi="Cambria" w:cs="Times New Roman"/>
                <w:sz w:val="20"/>
                <w:szCs w:val="20"/>
              </w:rPr>
            </w:pPr>
            <w:r w:rsidRPr="00433DB0">
              <w:rPr>
                <w:rFonts w:ascii="Cambria" w:eastAsia="Batang" w:hAnsi="Cambria" w:cs="Times New Roman"/>
                <w:sz w:val="20"/>
                <w:szCs w:val="20"/>
              </w:rPr>
              <w:t>Détail d’immatriculation du navire ; numéro unique du navire de la Partie contractante, tel que le code du pays composé de 3 lettres de l’</w:t>
            </w:r>
            <w:r w:rsidR="00DF7B1C" w:rsidRPr="00433DB0">
              <w:rPr>
                <w:rFonts w:ascii="Cambria" w:eastAsia="Batang" w:hAnsi="Cambria" w:cs="Times New Roman"/>
                <w:sz w:val="20"/>
                <w:szCs w:val="20"/>
              </w:rPr>
              <w:t>É</w:t>
            </w:r>
            <w:r w:rsidRPr="00433DB0">
              <w:rPr>
                <w:rFonts w:ascii="Cambria" w:eastAsia="Batang" w:hAnsi="Cambria" w:cs="Times New Roman"/>
                <w:sz w:val="20"/>
                <w:szCs w:val="20"/>
              </w:rPr>
              <w:t>tat de pavillon, suivi du numéro.</w:t>
            </w:r>
          </w:p>
        </w:tc>
      </w:tr>
      <w:tr w:rsidR="00AD0DEF" w:rsidRPr="00433DB0" w14:paraId="2261AC28" w14:textId="77777777" w:rsidTr="00DF7B1C">
        <w:tc>
          <w:tcPr>
            <w:tcW w:w="2126" w:type="dxa"/>
            <w:shd w:val="clear" w:color="auto" w:fill="auto"/>
          </w:tcPr>
          <w:p w14:paraId="5CE40D2C" w14:textId="77777777" w:rsidR="00AD0DEF" w:rsidRPr="00433DB0" w:rsidRDefault="00AD0DEF" w:rsidP="00AD0DEF">
            <w:pPr>
              <w:tabs>
                <w:tab w:val="left" w:pos="340"/>
              </w:tabs>
              <w:jc w:val="both"/>
              <w:rPr>
                <w:rFonts w:ascii="Cambria" w:eastAsia="Batang" w:hAnsi="Cambria" w:cs="Times New Roman"/>
                <w:sz w:val="20"/>
                <w:szCs w:val="20"/>
              </w:rPr>
            </w:pPr>
            <w:r w:rsidRPr="00433DB0">
              <w:rPr>
                <w:rFonts w:ascii="Cambria" w:eastAsia="Batang" w:hAnsi="Cambria" w:cs="Times New Roman"/>
                <w:sz w:val="20"/>
                <w:szCs w:val="20"/>
              </w:rPr>
              <w:t>Numéro d’immatriculation externe</w:t>
            </w:r>
          </w:p>
        </w:tc>
        <w:tc>
          <w:tcPr>
            <w:tcW w:w="1060" w:type="dxa"/>
            <w:shd w:val="clear" w:color="auto" w:fill="auto"/>
          </w:tcPr>
          <w:p w14:paraId="33DA2BB9" w14:textId="77777777" w:rsidR="00AD0DEF" w:rsidRPr="00433DB0" w:rsidRDefault="00AD0DEF" w:rsidP="00AD0DEF">
            <w:pPr>
              <w:tabs>
                <w:tab w:val="left" w:pos="340"/>
              </w:tabs>
              <w:jc w:val="center"/>
              <w:rPr>
                <w:rFonts w:ascii="Cambria" w:eastAsia="Batang" w:hAnsi="Cambria" w:cs="Times New Roman"/>
                <w:sz w:val="20"/>
                <w:szCs w:val="20"/>
              </w:rPr>
            </w:pPr>
            <w:r w:rsidRPr="00433DB0">
              <w:rPr>
                <w:rFonts w:ascii="Cambria" w:eastAsia="Batang" w:hAnsi="Cambria" w:cs="Times New Roman"/>
                <w:sz w:val="20"/>
                <w:szCs w:val="20"/>
              </w:rPr>
              <w:t>XR</w:t>
            </w:r>
          </w:p>
        </w:tc>
        <w:tc>
          <w:tcPr>
            <w:tcW w:w="1538" w:type="dxa"/>
            <w:shd w:val="clear" w:color="auto" w:fill="auto"/>
          </w:tcPr>
          <w:p w14:paraId="53CC30C5" w14:textId="4794FD58" w:rsidR="00AD0DEF" w:rsidRPr="00433DB0" w:rsidRDefault="006D12B1" w:rsidP="00AD0DEF">
            <w:pPr>
              <w:tabs>
                <w:tab w:val="left" w:pos="340"/>
              </w:tabs>
              <w:jc w:val="center"/>
              <w:rPr>
                <w:rFonts w:ascii="Cambria" w:eastAsia="Batang" w:hAnsi="Cambria" w:cs="Times New Roman"/>
                <w:sz w:val="20"/>
                <w:szCs w:val="20"/>
              </w:rPr>
            </w:pPr>
            <w:r w:rsidRPr="00433DB0">
              <w:rPr>
                <w:rFonts w:ascii="Cambria" w:eastAsia="Batang" w:hAnsi="Cambria" w:cs="Times New Roman"/>
                <w:sz w:val="20"/>
                <w:szCs w:val="20"/>
              </w:rPr>
              <w:t>O</w:t>
            </w:r>
          </w:p>
        </w:tc>
        <w:tc>
          <w:tcPr>
            <w:tcW w:w="4336" w:type="dxa"/>
            <w:shd w:val="clear" w:color="auto" w:fill="auto"/>
          </w:tcPr>
          <w:p w14:paraId="5B77EA3A" w14:textId="180E228F" w:rsidR="00AD0DEF" w:rsidRPr="00433DB0" w:rsidRDefault="00AD0DEF" w:rsidP="00AD0DEF">
            <w:pPr>
              <w:tabs>
                <w:tab w:val="left" w:pos="340"/>
              </w:tabs>
              <w:jc w:val="both"/>
              <w:rPr>
                <w:rFonts w:ascii="Cambria" w:eastAsia="Batang" w:hAnsi="Cambria" w:cs="Times New Roman"/>
                <w:sz w:val="20"/>
                <w:szCs w:val="20"/>
              </w:rPr>
            </w:pPr>
            <w:r w:rsidRPr="00433DB0">
              <w:rPr>
                <w:rFonts w:ascii="Cambria" w:eastAsia="Batang" w:hAnsi="Cambria" w:cs="Times New Roman"/>
                <w:sz w:val="20"/>
                <w:szCs w:val="20"/>
              </w:rPr>
              <w:t>Détail d’immatriculation du navire ; numéro du navire figurant sur le flanc du navire ou numéro OMI en l’absence du numéro figurant sur le flanc du navire.</w:t>
            </w:r>
          </w:p>
        </w:tc>
      </w:tr>
      <w:tr w:rsidR="00AD0DEF" w:rsidRPr="00433DB0" w14:paraId="331780B3" w14:textId="77777777" w:rsidTr="00DF7B1C">
        <w:tc>
          <w:tcPr>
            <w:tcW w:w="2126" w:type="dxa"/>
            <w:shd w:val="clear" w:color="auto" w:fill="auto"/>
          </w:tcPr>
          <w:p w14:paraId="18164264" w14:textId="77777777" w:rsidR="00AD0DEF" w:rsidRPr="00433DB0" w:rsidRDefault="00AD0DEF" w:rsidP="00AD0DEF">
            <w:pPr>
              <w:tabs>
                <w:tab w:val="left" w:pos="340"/>
              </w:tabs>
              <w:jc w:val="both"/>
              <w:rPr>
                <w:rFonts w:ascii="Cambria" w:eastAsia="Batang" w:hAnsi="Cambria" w:cs="Times New Roman"/>
                <w:sz w:val="20"/>
                <w:szCs w:val="20"/>
              </w:rPr>
            </w:pPr>
            <w:r w:rsidRPr="00433DB0">
              <w:rPr>
                <w:rFonts w:ascii="Cambria" w:eastAsia="Batang" w:hAnsi="Cambria" w:cs="Times New Roman"/>
                <w:sz w:val="20"/>
                <w:szCs w:val="20"/>
              </w:rPr>
              <w:t>Latitude</w:t>
            </w:r>
          </w:p>
        </w:tc>
        <w:tc>
          <w:tcPr>
            <w:tcW w:w="1060" w:type="dxa"/>
            <w:shd w:val="clear" w:color="auto" w:fill="auto"/>
          </w:tcPr>
          <w:p w14:paraId="28FDB139" w14:textId="77777777" w:rsidR="00AD0DEF" w:rsidRPr="00433DB0" w:rsidRDefault="00AD0DEF" w:rsidP="00AD0DEF">
            <w:pPr>
              <w:tabs>
                <w:tab w:val="left" w:pos="340"/>
              </w:tabs>
              <w:jc w:val="center"/>
              <w:rPr>
                <w:rFonts w:ascii="Cambria" w:eastAsia="Batang" w:hAnsi="Cambria" w:cs="Times New Roman"/>
                <w:sz w:val="20"/>
                <w:szCs w:val="20"/>
              </w:rPr>
            </w:pPr>
            <w:r w:rsidRPr="00433DB0">
              <w:rPr>
                <w:rFonts w:ascii="Cambria" w:eastAsia="Batang" w:hAnsi="Cambria" w:cs="Times New Roman"/>
                <w:sz w:val="20"/>
                <w:szCs w:val="20"/>
              </w:rPr>
              <w:t>LA</w:t>
            </w:r>
          </w:p>
        </w:tc>
        <w:tc>
          <w:tcPr>
            <w:tcW w:w="1538" w:type="dxa"/>
            <w:shd w:val="clear" w:color="auto" w:fill="auto"/>
          </w:tcPr>
          <w:p w14:paraId="2784A8B5" w14:textId="77777777" w:rsidR="00AD0DEF" w:rsidRPr="00433DB0" w:rsidRDefault="00AD0DEF" w:rsidP="00AD0DEF">
            <w:pPr>
              <w:tabs>
                <w:tab w:val="left" w:pos="340"/>
              </w:tabs>
              <w:jc w:val="center"/>
              <w:rPr>
                <w:rFonts w:ascii="Cambria" w:eastAsia="Batang" w:hAnsi="Cambria" w:cs="Times New Roman"/>
                <w:sz w:val="20"/>
                <w:szCs w:val="20"/>
              </w:rPr>
            </w:pPr>
            <w:r w:rsidRPr="00433DB0">
              <w:rPr>
                <w:rFonts w:ascii="Cambria" w:eastAsia="Batang" w:hAnsi="Cambria" w:cs="Times New Roman"/>
                <w:sz w:val="20"/>
                <w:szCs w:val="20"/>
              </w:rPr>
              <w:t>M</w:t>
            </w:r>
            <w:r w:rsidRPr="00433DB0">
              <w:rPr>
                <w:rFonts w:ascii="Cambria" w:eastAsia="Batang" w:hAnsi="Cambria" w:cs="Times New Roman"/>
                <w:sz w:val="20"/>
                <w:szCs w:val="20"/>
                <w:vertAlign w:val="superscript"/>
              </w:rPr>
              <w:t>3</w:t>
            </w:r>
          </w:p>
        </w:tc>
        <w:tc>
          <w:tcPr>
            <w:tcW w:w="4336" w:type="dxa"/>
            <w:shd w:val="clear" w:color="auto" w:fill="auto"/>
          </w:tcPr>
          <w:p w14:paraId="2748E8CB" w14:textId="77777777" w:rsidR="00AD0DEF" w:rsidRPr="00433DB0" w:rsidRDefault="00AD0DEF" w:rsidP="00AD0DEF">
            <w:pPr>
              <w:tabs>
                <w:tab w:val="left" w:pos="340"/>
              </w:tabs>
              <w:jc w:val="both"/>
              <w:rPr>
                <w:rFonts w:ascii="Cambria" w:eastAsia="Batang" w:hAnsi="Cambria" w:cs="Times New Roman"/>
                <w:sz w:val="20"/>
                <w:szCs w:val="20"/>
              </w:rPr>
            </w:pPr>
            <w:r w:rsidRPr="00433DB0">
              <w:rPr>
                <w:rFonts w:ascii="Cambria" w:eastAsia="Batang" w:hAnsi="Cambria" w:cs="Times New Roman"/>
                <w:sz w:val="20"/>
                <w:szCs w:val="20"/>
              </w:rPr>
              <w:t>Détail des activités ; position au moment de la transmission.</w:t>
            </w:r>
          </w:p>
        </w:tc>
      </w:tr>
      <w:tr w:rsidR="00AD0DEF" w:rsidRPr="00433DB0" w14:paraId="23633CF7" w14:textId="77777777" w:rsidTr="00DF7B1C">
        <w:tc>
          <w:tcPr>
            <w:tcW w:w="2126" w:type="dxa"/>
            <w:shd w:val="clear" w:color="auto" w:fill="auto"/>
          </w:tcPr>
          <w:p w14:paraId="27B11B69" w14:textId="77777777" w:rsidR="00AD0DEF" w:rsidRPr="00433DB0" w:rsidRDefault="00AD0DEF" w:rsidP="00AD0DEF">
            <w:pPr>
              <w:tabs>
                <w:tab w:val="left" w:pos="340"/>
              </w:tabs>
              <w:jc w:val="both"/>
              <w:rPr>
                <w:rFonts w:ascii="Cambria" w:eastAsia="Batang" w:hAnsi="Cambria" w:cs="Times New Roman"/>
                <w:sz w:val="20"/>
                <w:szCs w:val="20"/>
              </w:rPr>
            </w:pPr>
            <w:r w:rsidRPr="00433DB0">
              <w:rPr>
                <w:rFonts w:ascii="Cambria" w:eastAsia="Batang" w:hAnsi="Cambria" w:cs="Times New Roman"/>
                <w:sz w:val="20"/>
                <w:szCs w:val="20"/>
              </w:rPr>
              <w:t>Longitude</w:t>
            </w:r>
          </w:p>
        </w:tc>
        <w:tc>
          <w:tcPr>
            <w:tcW w:w="1060" w:type="dxa"/>
            <w:shd w:val="clear" w:color="auto" w:fill="auto"/>
          </w:tcPr>
          <w:p w14:paraId="50755074" w14:textId="77777777" w:rsidR="00AD0DEF" w:rsidRPr="00433DB0" w:rsidRDefault="00AD0DEF" w:rsidP="00AD0DEF">
            <w:pPr>
              <w:tabs>
                <w:tab w:val="left" w:pos="340"/>
              </w:tabs>
              <w:jc w:val="center"/>
              <w:rPr>
                <w:rFonts w:ascii="Cambria" w:eastAsia="Batang" w:hAnsi="Cambria" w:cs="Times New Roman"/>
                <w:sz w:val="20"/>
                <w:szCs w:val="20"/>
              </w:rPr>
            </w:pPr>
            <w:r w:rsidRPr="00433DB0">
              <w:rPr>
                <w:rFonts w:ascii="Cambria" w:eastAsia="Batang" w:hAnsi="Cambria" w:cs="Times New Roman"/>
                <w:sz w:val="20"/>
                <w:szCs w:val="20"/>
              </w:rPr>
              <w:t>LO</w:t>
            </w:r>
          </w:p>
        </w:tc>
        <w:tc>
          <w:tcPr>
            <w:tcW w:w="1538" w:type="dxa"/>
            <w:shd w:val="clear" w:color="auto" w:fill="auto"/>
          </w:tcPr>
          <w:p w14:paraId="3F9C4CA8" w14:textId="77777777" w:rsidR="00AD0DEF" w:rsidRPr="00433DB0" w:rsidRDefault="00AD0DEF" w:rsidP="00AD0DEF">
            <w:pPr>
              <w:tabs>
                <w:tab w:val="left" w:pos="340"/>
              </w:tabs>
              <w:jc w:val="center"/>
              <w:rPr>
                <w:rFonts w:ascii="Cambria" w:eastAsia="Batang" w:hAnsi="Cambria" w:cs="Times New Roman"/>
                <w:sz w:val="20"/>
                <w:szCs w:val="20"/>
              </w:rPr>
            </w:pPr>
            <w:r w:rsidRPr="00433DB0">
              <w:rPr>
                <w:rFonts w:ascii="Cambria" w:eastAsia="Batang" w:hAnsi="Cambria" w:cs="Times New Roman"/>
                <w:sz w:val="20"/>
                <w:szCs w:val="20"/>
              </w:rPr>
              <w:t>M</w:t>
            </w:r>
            <w:r w:rsidRPr="00433DB0">
              <w:rPr>
                <w:rFonts w:ascii="Cambria" w:eastAsia="Batang" w:hAnsi="Cambria" w:cs="Times New Roman"/>
                <w:sz w:val="20"/>
                <w:szCs w:val="20"/>
                <w:vertAlign w:val="superscript"/>
              </w:rPr>
              <w:t>3</w:t>
            </w:r>
          </w:p>
        </w:tc>
        <w:tc>
          <w:tcPr>
            <w:tcW w:w="4336" w:type="dxa"/>
            <w:shd w:val="clear" w:color="auto" w:fill="auto"/>
          </w:tcPr>
          <w:p w14:paraId="6A358CB0" w14:textId="77777777" w:rsidR="00AD0DEF" w:rsidRPr="00433DB0" w:rsidRDefault="00AD0DEF" w:rsidP="00AD0DEF">
            <w:pPr>
              <w:tabs>
                <w:tab w:val="left" w:pos="340"/>
              </w:tabs>
              <w:jc w:val="both"/>
              <w:rPr>
                <w:rFonts w:ascii="Cambria" w:eastAsia="Batang" w:hAnsi="Cambria" w:cs="Times New Roman"/>
                <w:sz w:val="20"/>
                <w:szCs w:val="20"/>
              </w:rPr>
            </w:pPr>
            <w:r w:rsidRPr="00433DB0">
              <w:rPr>
                <w:rFonts w:ascii="Cambria" w:eastAsia="Batang" w:hAnsi="Cambria" w:cs="Times New Roman"/>
                <w:sz w:val="20"/>
                <w:szCs w:val="20"/>
              </w:rPr>
              <w:t>Détail des activités ; position au moment de la transmission.</w:t>
            </w:r>
          </w:p>
        </w:tc>
      </w:tr>
      <w:tr w:rsidR="00AD0DEF" w:rsidRPr="00433DB0" w14:paraId="2141F275" w14:textId="77777777" w:rsidTr="00DF7B1C">
        <w:tc>
          <w:tcPr>
            <w:tcW w:w="2126" w:type="dxa"/>
            <w:shd w:val="clear" w:color="auto" w:fill="auto"/>
          </w:tcPr>
          <w:p w14:paraId="3126A154" w14:textId="77777777" w:rsidR="00AD0DEF" w:rsidRPr="00433DB0" w:rsidRDefault="00AD0DEF" w:rsidP="00AD0DEF">
            <w:pPr>
              <w:tabs>
                <w:tab w:val="left" w:pos="340"/>
              </w:tabs>
              <w:jc w:val="both"/>
              <w:rPr>
                <w:rFonts w:ascii="Cambria" w:eastAsia="Batang" w:hAnsi="Cambria" w:cs="Times New Roman"/>
                <w:sz w:val="20"/>
                <w:szCs w:val="20"/>
              </w:rPr>
            </w:pPr>
            <w:r w:rsidRPr="00433DB0">
              <w:rPr>
                <w:rFonts w:ascii="Cambria" w:eastAsia="Batang" w:hAnsi="Cambria" w:cs="Times New Roman"/>
                <w:sz w:val="20"/>
                <w:szCs w:val="20"/>
              </w:rPr>
              <w:t>Latitude (décimales)</w:t>
            </w:r>
          </w:p>
        </w:tc>
        <w:tc>
          <w:tcPr>
            <w:tcW w:w="1060" w:type="dxa"/>
            <w:shd w:val="clear" w:color="auto" w:fill="auto"/>
          </w:tcPr>
          <w:p w14:paraId="3207E5F0" w14:textId="77777777" w:rsidR="00AD0DEF" w:rsidRPr="00433DB0" w:rsidRDefault="00AD0DEF" w:rsidP="00AD0DEF">
            <w:pPr>
              <w:tabs>
                <w:tab w:val="left" w:pos="340"/>
              </w:tabs>
              <w:jc w:val="center"/>
              <w:rPr>
                <w:rFonts w:ascii="Cambria" w:eastAsia="Batang" w:hAnsi="Cambria" w:cs="Times New Roman"/>
                <w:sz w:val="20"/>
                <w:szCs w:val="20"/>
              </w:rPr>
            </w:pPr>
            <w:r w:rsidRPr="00433DB0">
              <w:rPr>
                <w:rFonts w:ascii="Cambria" w:eastAsia="Batang" w:hAnsi="Cambria" w:cs="Times New Roman"/>
                <w:sz w:val="20"/>
                <w:szCs w:val="20"/>
              </w:rPr>
              <w:t>LT</w:t>
            </w:r>
          </w:p>
        </w:tc>
        <w:tc>
          <w:tcPr>
            <w:tcW w:w="1538" w:type="dxa"/>
            <w:shd w:val="clear" w:color="auto" w:fill="auto"/>
          </w:tcPr>
          <w:p w14:paraId="740CFA88" w14:textId="77777777" w:rsidR="00AD0DEF" w:rsidRPr="00433DB0" w:rsidRDefault="00AD0DEF" w:rsidP="00AD0DEF">
            <w:pPr>
              <w:tabs>
                <w:tab w:val="left" w:pos="340"/>
              </w:tabs>
              <w:jc w:val="center"/>
              <w:rPr>
                <w:rFonts w:ascii="Cambria" w:eastAsia="Batang" w:hAnsi="Cambria" w:cs="Times New Roman"/>
                <w:sz w:val="20"/>
                <w:szCs w:val="20"/>
              </w:rPr>
            </w:pPr>
            <w:r w:rsidRPr="00433DB0">
              <w:rPr>
                <w:rFonts w:ascii="Cambria" w:eastAsia="Batang" w:hAnsi="Cambria" w:cs="Times New Roman"/>
                <w:sz w:val="20"/>
                <w:szCs w:val="20"/>
              </w:rPr>
              <w:t>M</w:t>
            </w:r>
            <w:r w:rsidRPr="00433DB0">
              <w:rPr>
                <w:rFonts w:ascii="Cambria" w:eastAsia="Batang" w:hAnsi="Cambria" w:cs="Times New Roman"/>
                <w:sz w:val="20"/>
                <w:szCs w:val="20"/>
                <w:vertAlign w:val="superscript"/>
              </w:rPr>
              <w:t>4</w:t>
            </w:r>
          </w:p>
        </w:tc>
        <w:tc>
          <w:tcPr>
            <w:tcW w:w="4336" w:type="dxa"/>
            <w:shd w:val="clear" w:color="auto" w:fill="auto"/>
          </w:tcPr>
          <w:p w14:paraId="30F42526" w14:textId="77777777" w:rsidR="00AD0DEF" w:rsidRPr="00433DB0" w:rsidRDefault="00AD0DEF" w:rsidP="00AD0DEF">
            <w:pPr>
              <w:tabs>
                <w:tab w:val="left" w:pos="340"/>
              </w:tabs>
              <w:jc w:val="both"/>
              <w:rPr>
                <w:rFonts w:ascii="Cambria" w:eastAsia="Batang" w:hAnsi="Cambria" w:cs="Times New Roman"/>
                <w:sz w:val="20"/>
                <w:szCs w:val="20"/>
              </w:rPr>
            </w:pPr>
            <w:r w:rsidRPr="00433DB0">
              <w:rPr>
                <w:rFonts w:ascii="Cambria" w:eastAsia="Batang" w:hAnsi="Cambria" w:cs="Times New Roman"/>
                <w:sz w:val="20"/>
                <w:szCs w:val="20"/>
              </w:rPr>
              <w:t>Détail des activités ; position au moment de la transmission.</w:t>
            </w:r>
          </w:p>
        </w:tc>
      </w:tr>
      <w:tr w:rsidR="00AD0DEF" w:rsidRPr="00433DB0" w14:paraId="3214E460" w14:textId="77777777" w:rsidTr="00DF7B1C">
        <w:tc>
          <w:tcPr>
            <w:tcW w:w="2126" w:type="dxa"/>
            <w:shd w:val="clear" w:color="auto" w:fill="auto"/>
          </w:tcPr>
          <w:p w14:paraId="79FF2933" w14:textId="77777777" w:rsidR="00AD0DEF" w:rsidRPr="00433DB0" w:rsidRDefault="00AD0DEF" w:rsidP="00AD0DEF">
            <w:pPr>
              <w:tabs>
                <w:tab w:val="left" w:pos="340"/>
              </w:tabs>
              <w:jc w:val="both"/>
              <w:rPr>
                <w:rFonts w:ascii="Cambria" w:eastAsia="Batang" w:hAnsi="Cambria" w:cs="Times New Roman"/>
                <w:sz w:val="20"/>
                <w:szCs w:val="20"/>
              </w:rPr>
            </w:pPr>
            <w:r w:rsidRPr="00433DB0">
              <w:rPr>
                <w:rFonts w:ascii="Cambria" w:eastAsia="Batang" w:hAnsi="Cambria" w:cs="Times New Roman"/>
                <w:sz w:val="20"/>
                <w:szCs w:val="20"/>
              </w:rPr>
              <w:t>Longitude (décimales)</w:t>
            </w:r>
          </w:p>
        </w:tc>
        <w:tc>
          <w:tcPr>
            <w:tcW w:w="1060" w:type="dxa"/>
            <w:shd w:val="clear" w:color="auto" w:fill="auto"/>
          </w:tcPr>
          <w:p w14:paraId="4CDC7A4B" w14:textId="77777777" w:rsidR="00AD0DEF" w:rsidRPr="00433DB0" w:rsidRDefault="00AD0DEF" w:rsidP="00AD0DEF">
            <w:pPr>
              <w:tabs>
                <w:tab w:val="left" w:pos="340"/>
              </w:tabs>
              <w:jc w:val="center"/>
              <w:rPr>
                <w:rFonts w:ascii="Cambria" w:eastAsia="Batang" w:hAnsi="Cambria" w:cs="Times New Roman"/>
                <w:sz w:val="20"/>
                <w:szCs w:val="20"/>
              </w:rPr>
            </w:pPr>
            <w:r w:rsidRPr="00433DB0">
              <w:rPr>
                <w:rFonts w:ascii="Cambria" w:eastAsia="Batang" w:hAnsi="Cambria" w:cs="Times New Roman"/>
                <w:sz w:val="20"/>
                <w:szCs w:val="20"/>
              </w:rPr>
              <w:t>LG</w:t>
            </w:r>
          </w:p>
        </w:tc>
        <w:tc>
          <w:tcPr>
            <w:tcW w:w="1538" w:type="dxa"/>
            <w:shd w:val="clear" w:color="auto" w:fill="auto"/>
          </w:tcPr>
          <w:p w14:paraId="414C7752" w14:textId="77777777" w:rsidR="00AD0DEF" w:rsidRPr="00433DB0" w:rsidRDefault="00AD0DEF" w:rsidP="00AD0DEF">
            <w:pPr>
              <w:tabs>
                <w:tab w:val="left" w:pos="340"/>
              </w:tabs>
              <w:jc w:val="center"/>
              <w:rPr>
                <w:rFonts w:ascii="Cambria" w:eastAsia="Batang" w:hAnsi="Cambria" w:cs="Times New Roman"/>
                <w:sz w:val="20"/>
                <w:szCs w:val="20"/>
              </w:rPr>
            </w:pPr>
            <w:r w:rsidRPr="00433DB0">
              <w:rPr>
                <w:rFonts w:ascii="Cambria" w:eastAsia="Batang" w:hAnsi="Cambria" w:cs="Times New Roman"/>
                <w:sz w:val="20"/>
                <w:szCs w:val="20"/>
              </w:rPr>
              <w:t>M</w:t>
            </w:r>
            <w:r w:rsidRPr="00433DB0">
              <w:rPr>
                <w:rFonts w:ascii="Cambria" w:eastAsia="Batang" w:hAnsi="Cambria" w:cs="Times New Roman"/>
                <w:sz w:val="20"/>
                <w:szCs w:val="20"/>
                <w:vertAlign w:val="superscript"/>
              </w:rPr>
              <w:t>4</w:t>
            </w:r>
          </w:p>
        </w:tc>
        <w:tc>
          <w:tcPr>
            <w:tcW w:w="4336" w:type="dxa"/>
            <w:shd w:val="clear" w:color="auto" w:fill="auto"/>
          </w:tcPr>
          <w:p w14:paraId="2D8A6A18" w14:textId="77777777" w:rsidR="00AD0DEF" w:rsidRPr="00433DB0" w:rsidRDefault="00AD0DEF" w:rsidP="00AD0DEF">
            <w:pPr>
              <w:tabs>
                <w:tab w:val="left" w:pos="340"/>
              </w:tabs>
              <w:jc w:val="both"/>
              <w:rPr>
                <w:rFonts w:ascii="Cambria" w:eastAsia="Batang" w:hAnsi="Cambria" w:cs="Times New Roman"/>
                <w:sz w:val="20"/>
                <w:szCs w:val="20"/>
              </w:rPr>
            </w:pPr>
            <w:r w:rsidRPr="00433DB0">
              <w:rPr>
                <w:rFonts w:ascii="Cambria" w:eastAsia="Batang" w:hAnsi="Cambria" w:cs="Times New Roman"/>
                <w:sz w:val="20"/>
                <w:szCs w:val="20"/>
              </w:rPr>
              <w:t>Détail des activités ; position au moment de la transmission.</w:t>
            </w:r>
          </w:p>
        </w:tc>
      </w:tr>
      <w:tr w:rsidR="00AD0DEF" w:rsidRPr="00433DB0" w14:paraId="1044ED9A" w14:textId="77777777" w:rsidTr="00DF7B1C">
        <w:tc>
          <w:tcPr>
            <w:tcW w:w="2126" w:type="dxa"/>
            <w:shd w:val="clear" w:color="auto" w:fill="auto"/>
          </w:tcPr>
          <w:p w14:paraId="6689FF8E" w14:textId="77777777" w:rsidR="00AD0DEF" w:rsidRPr="00433DB0" w:rsidRDefault="00AD0DEF" w:rsidP="00AD0DEF">
            <w:pPr>
              <w:tabs>
                <w:tab w:val="left" w:pos="340"/>
              </w:tabs>
              <w:jc w:val="both"/>
              <w:rPr>
                <w:rFonts w:ascii="Cambria" w:eastAsia="Batang" w:hAnsi="Cambria" w:cs="Times New Roman"/>
                <w:sz w:val="20"/>
                <w:szCs w:val="20"/>
              </w:rPr>
            </w:pPr>
            <w:r w:rsidRPr="00433DB0">
              <w:rPr>
                <w:rFonts w:ascii="Cambria" w:eastAsia="Batang" w:hAnsi="Cambria" w:cs="Times New Roman"/>
                <w:sz w:val="20"/>
                <w:szCs w:val="20"/>
              </w:rPr>
              <w:t>Date</w:t>
            </w:r>
          </w:p>
        </w:tc>
        <w:tc>
          <w:tcPr>
            <w:tcW w:w="1060" w:type="dxa"/>
            <w:shd w:val="clear" w:color="auto" w:fill="auto"/>
          </w:tcPr>
          <w:p w14:paraId="571DCBC4" w14:textId="77777777" w:rsidR="00AD0DEF" w:rsidRPr="00433DB0" w:rsidRDefault="00AD0DEF" w:rsidP="00AD0DEF">
            <w:pPr>
              <w:tabs>
                <w:tab w:val="left" w:pos="340"/>
              </w:tabs>
              <w:jc w:val="center"/>
              <w:rPr>
                <w:rFonts w:ascii="Cambria" w:eastAsia="Batang" w:hAnsi="Cambria" w:cs="Times New Roman"/>
                <w:sz w:val="20"/>
                <w:szCs w:val="20"/>
              </w:rPr>
            </w:pPr>
            <w:r w:rsidRPr="00433DB0">
              <w:rPr>
                <w:rFonts w:ascii="Cambria" w:eastAsia="Batang" w:hAnsi="Cambria" w:cs="Times New Roman"/>
                <w:sz w:val="20"/>
                <w:szCs w:val="20"/>
              </w:rPr>
              <w:t>DA</w:t>
            </w:r>
          </w:p>
        </w:tc>
        <w:tc>
          <w:tcPr>
            <w:tcW w:w="1538" w:type="dxa"/>
            <w:shd w:val="clear" w:color="auto" w:fill="auto"/>
          </w:tcPr>
          <w:p w14:paraId="2D1F0E99" w14:textId="77777777" w:rsidR="00AD0DEF" w:rsidRPr="00433DB0" w:rsidRDefault="00AD0DEF" w:rsidP="00AD0DEF">
            <w:pPr>
              <w:tabs>
                <w:tab w:val="left" w:pos="340"/>
              </w:tabs>
              <w:jc w:val="center"/>
              <w:rPr>
                <w:rFonts w:ascii="Cambria" w:eastAsia="Batang" w:hAnsi="Cambria" w:cs="Times New Roman"/>
                <w:sz w:val="20"/>
                <w:szCs w:val="20"/>
              </w:rPr>
            </w:pPr>
            <w:r w:rsidRPr="00433DB0">
              <w:rPr>
                <w:rFonts w:ascii="Cambria" w:eastAsia="Batang" w:hAnsi="Cambria" w:cs="Times New Roman"/>
                <w:sz w:val="20"/>
                <w:szCs w:val="20"/>
              </w:rPr>
              <w:t>M</w:t>
            </w:r>
          </w:p>
        </w:tc>
        <w:tc>
          <w:tcPr>
            <w:tcW w:w="4336" w:type="dxa"/>
            <w:shd w:val="clear" w:color="auto" w:fill="auto"/>
          </w:tcPr>
          <w:p w14:paraId="1B7FC8BE" w14:textId="77777777" w:rsidR="00AD0DEF" w:rsidRPr="00433DB0" w:rsidRDefault="00AD0DEF" w:rsidP="00AD0DEF">
            <w:pPr>
              <w:tabs>
                <w:tab w:val="left" w:pos="340"/>
              </w:tabs>
              <w:jc w:val="both"/>
              <w:rPr>
                <w:rFonts w:ascii="Cambria" w:eastAsia="Batang" w:hAnsi="Cambria" w:cs="Times New Roman"/>
                <w:sz w:val="20"/>
                <w:szCs w:val="20"/>
              </w:rPr>
            </w:pPr>
            <w:r w:rsidRPr="00433DB0">
              <w:rPr>
                <w:rFonts w:ascii="Cambria" w:eastAsia="Batang" w:hAnsi="Cambria" w:cs="Times New Roman"/>
                <w:sz w:val="20"/>
                <w:szCs w:val="20"/>
              </w:rPr>
              <w:t>Détail du message ; date de transmission.</w:t>
            </w:r>
          </w:p>
        </w:tc>
      </w:tr>
      <w:tr w:rsidR="00AD0DEF" w:rsidRPr="00433DB0" w14:paraId="25F43D2A" w14:textId="77777777" w:rsidTr="00DF7B1C">
        <w:tc>
          <w:tcPr>
            <w:tcW w:w="2126" w:type="dxa"/>
            <w:shd w:val="clear" w:color="auto" w:fill="auto"/>
          </w:tcPr>
          <w:p w14:paraId="3F5BF8D9" w14:textId="77777777" w:rsidR="00AD0DEF" w:rsidRPr="00433DB0" w:rsidRDefault="00AD0DEF" w:rsidP="00AD0DEF">
            <w:pPr>
              <w:tabs>
                <w:tab w:val="left" w:pos="340"/>
              </w:tabs>
              <w:jc w:val="both"/>
              <w:rPr>
                <w:rFonts w:ascii="Cambria" w:eastAsia="Batang" w:hAnsi="Cambria" w:cs="Times New Roman"/>
                <w:sz w:val="20"/>
                <w:szCs w:val="20"/>
              </w:rPr>
            </w:pPr>
            <w:r w:rsidRPr="00433DB0">
              <w:rPr>
                <w:rFonts w:ascii="Cambria" w:eastAsia="Batang" w:hAnsi="Cambria" w:cs="Times New Roman"/>
                <w:sz w:val="20"/>
                <w:szCs w:val="20"/>
              </w:rPr>
              <w:t>Heure</w:t>
            </w:r>
          </w:p>
        </w:tc>
        <w:tc>
          <w:tcPr>
            <w:tcW w:w="1060" w:type="dxa"/>
            <w:shd w:val="clear" w:color="auto" w:fill="auto"/>
          </w:tcPr>
          <w:p w14:paraId="466676BF" w14:textId="77777777" w:rsidR="00AD0DEF" w:rsidRPr="00433DB0" w:rsidRDefault="00AD0DEF" w:rsidP="00AD0DEF">
            <w:pPr>
              <w:tabs>
                <w:tab w:val="left" w:pos="340"/>
              </w:tabs>
              <w:jc w:val="center"/>
              <w:rPr>
                <w:rFonts w:ascii="Cambria" w:eastAsia="Batang" w:hAnsi="Cambria" w:cs="Times New Roman"/>
                <w:sz w:val="20"/>
                <w:szCs w:val="20"/>
              </w:rPr>
            </w:pPr>
            <w:r w:rsidRPr="00433DB0">
              <w:rPr>
                <w:rFonts w:ascii="Cambria" w:eastAsia="Batang" w:hAnsi="Cambria" w:cs="Times New Roman"/>
                <w:sz w:val="20"/>
                <w:szCs w:val="20"/>
              </w:rPr>
              <w:t>TI</w:t>
            </w:r>
          </w:p>
        </w:tc>
        <w:tc>
          <w:tcPr>
            <w:tcW w:w="1538" w:type="dxa"/>
            <w:shd w:val="clear" w:color="auto" w:fill="auto"/>
          </w:tcPr>
          <w:p w14:paraId="63E65606" w14:textId="77777777" w:rsidR="00AD0DEF" w:rsidRPr="00433DB0" w:rsidRDefault="00AD0DEF" w:rsidP="00AD0DEF">
            <w:pPr>
              <w:tabs>
                <w:tab w:val="left" w:pos="340"/>
              </w:tabs>
              <w:jc w:val="center"/>
              <w:rPr>
                <w:rFonts w:ascii="Cambria" w:eastAsia="Batang" w:hAnsi="Cambria" w:cs="Times New Roman"/>
                <w:sz w:val="20"/>
                <w:szCs w:val="20"/>
              </w:rPr>
            </w:pPr>
            <w:r w:rsidRPr="00433DB0">
              <w:rPr>
                <w:rFonts w:ascii="Cambria" w:eastAsia="Batang" w:hAnsi="Cambria" w:cs="Times New Roman"/>
                <w:sz w:val="20"/>
                <w:szCs w:val="20"/>
              </w:rPr>
              <w:t>M</w:t>
            </w:r>
          </w:p>
        </w:tc>
        <w:tc>
          <w:tcPr>
            <w:tcW w:w="4336" w:type="dxa"/>
            <w:shd w:val="clear" w:color="auto" w:fill="auto"/>
          </w:tcPr>
          <w:p w14:paraId="167F1FD0" w14:textId="77777777" w:rsidR="00AD0DEF" w:rsidRPr="00433DB0" w:rsidRDefault="00AD0DEF" w:rsidP="00AD0DEF">
            <w:pPr>
              <w:tabs>
                <w:tab w:val="left" w:pos="340"/>
              </w:tabs>
              <w:jc w:val="both"/>
              <w:rPr>
                <w:rFonts w:ascii="Cambria" w:eastAsia="Batang" w:hAnsi="Cambria" w:cs="Times New Roman"/>
                <w:sz w:val="20"/>
                <w:szCs w:val="20"/>
              </w:rPr>
            </w:pPr>
            <w:r w:rsidRPr="00433DB0">
              <w:rPr>
                <w:rFonts w:ascii="Cambria" w:eastAsia="Batang" w:hAnsi="Cambria" w:cs="Times New Roman"/>
                <w:sz w:val="20"/>
                <w:szCs w:val="20"/>
              </w:rPr>
              <w:t>Détail du message ; heure de transmission.</w:t>
            </w:r>
          </w:p>
        </w:tc>
      </w:tr>
      <w:tr w:rsidR="00AD0DEF" w:rsidRPr="00433DB0" w14:paraId="56C56C78" w14:textId="77777777" w:rsidTr="00DF7B1C">
        <w:tc>
          <w:tcPr>
            <w:tcW w:w="2126" w:type="dxa"/>
            <w:shd w:val="clear" w:color="auto" w:fill="auto"/>
          </w:tcPr>
          <w:p w14:paraId="25DB3C7E" w14:textId="77777777" w:rsidR="00AD0DEF" w:rsidRPr="00433DB0" w:rsidRDefault="00AD0DEF" w:rsidP="00AD0DEF">
            <w:pPr>
              <w:tabs>
                <w:tab w:val="left" w:pos="340"/>
              </w:tabs>
              <w:jc w:val="both"/>
              <w:rPr>
                <w:rFonts w:ascii="Cambria" w:eastAsia="Batang" w:hAnsi="Cambria" w:cs="Times New Roman"/>
                <w:sz w:val="20"/>
                <w:szCs w:val="20"/>
              </w:rPr>
            </w:pPr>
            <w:r w:rsidRPr="00433DB0">
              <w:rPr>
                <w:rFonts w:ascii="Cambria" w:eastAsia="Batang" w:hAnsi="Cambria" w:cs="Times New Roman"/>
                <w:sz w:val="20"/>
                <w:szCs w:val="20"/>
              </w:rPr>
              <w:t>Fin de l’enregistrement</w:t>
            </w:r>
          </w:p>
        </w:tc>
        <w:tc>
          <w:tcPr>
            <w:tcW w:w="1060" w:type="dxa"/>
            <w:shd w:val="clear" w:color="auto" w:fill="auto"/>
          </w:tcPr>
          <w:p w14:paraId="66AC6525" w14:textId="77777777" w:rsidR="00AD0DEF" w:rsidRPr="00433DB0" w:rsidRDefault="00AD0DEF" w:rsidP="00AD0DEF">
            <w:pPr>
              <w:tabs>
                <w:tab w:val="left" w:pos="340"/>
              </w:tabs>
              <w:jc w:val="center"/>
              <w:rPr>
                <w:rFonts w:ascii="Cambria" w:eastAsia="Batang" w:hAnsi="Cambria" w:cs="Times New Roman"/>
                <w:sz w:val="20"/>
                <w:szCs w:val="20"/>
              </w:rPr>
            </w:pPr>
            <w:r w:rsidRPr="00433DB0">
              <w:rPr>
                <w:rFonts w:ascii="Cambria" w:eastAsia="Batang" w:hAnsi="Cambria" w:cs="Times New Roman"/>
                <w:sz w:val="20"/>
                <w:szCs w:val="20"/>
              </w:rPr>
              <w:t>ER</w:t>
            </w:r>
          </w:p>
        </w:tc>
        <w:tc>
          <w:tcPr>
            <w:tcW w:w="1538" w:type="dxa"/>
            <w:shd w:val="clear" w:color="auto" w:fill="auto"/>
          </w:tcPr>
          <w:p w14:paraId="7EB11F32" w14:textId="77777777" w:rsidR="00AD0DEF" w:rsidRPr="00433DB0" w:rsidRDefault="00AD0DEF" w:rsidP="00AD0DEF">
            <w:pPr>
              <w:tabs>
                <w:tab w:val="left" w:pos="340"/>
              </w:tabs>
              <w:jc w:val="center"/>
              <w:rPr>
                <w:rFonts w:ascii="Cambria" w:eastAsia="Batang" w:hAnsi="Cambria" w:cs="Times New Roman"/>
                <w:sz w:val="20"/>
                <w:szCs w:val="20"/>
              </w:rPr>
            </w:pPr>
            <w:r w:rsidRPr="00433DB0">
              <w:rPr>
                <w:rFonts w:ascii="Cambria" w:eastAsia="Batang" w:hAnsi="Cambria" w:cs="Times New Roman"/>
                <w:sz w:val="20"/>
                <w:szCs w:val="20"/>
              </w:rPr>
              <w:t>M</w:t>
            </w:r>
          </w:p>
        </w:tc>
        <w:tc>
          <w:tcPr>
            <w:tcW w:w="4336" w:type="dxa"/>
            <w:shd w:val="clear" w:color="auto" w:fill="auto"/>
          </w:tcPr>
          <w:p w14:paraId="6C06AA70" w14:textId="77777777" w:rsidR="00AD0DEF" w:rsidRPr="00433DB0" w:rsidRDefault="00AD0DEF" w:rsidP="00AD0DEF">
            <w:pPr>
              <w:tabs>
                <w:tab w:val="left" w:pos="340"/>
              </w:tabs>
              <w:jc w:val="both"/>
              <w:rPr>
                <w:rFonts w:ascii="Cambria" w:eastAsia="Batang" w:hAnsi="Cambria" w:cs="Times New Roman"/>
                <w:sz w:val="20"/>
                <w:szCs w:val="20"/>
              </w:rPr>
            </w:pPr>
            <w:r w:rsidRPr="00433DB0">
              <w:rPr>
                <w:rFonts w:ascii="Cambria" w:eastAsia="Batang" w:hAnsi="Cambria" w:cs="Times New Roman"/>
                <w:sz w:val="20"/>
                <w:szCs w:val="20"/>
              </w:rPr>
              <w:t>Détail du système ; indique la fin de l’enregistrement.</w:t>
            </w:r>
          </w:p>
        </w:tc>
      </w:tr>
    </w:tbl>
    <w:p w14:paraId="6EDF1314" w14:textId="77777777" w:rsidR="00AD0DEF" w:rsidRPr="00234997" w:rsidRDefault="00AD0DEF" w:rsidP="00AD0DEF">
      <w:pPr>
        <w:tabs>
          <w:tab w:val="left" w:pos="340"/>
        </w:tabs>
        <w:rPr>
          <w:rFonts w:ascii="Cambria" w:eastAsia="Batang" w:hAnsi="Cambria" w:cs="Times New Roman"/>
          <w:sz w:val="16"/>
          <w:szCs w:val="16"/>
        </w:rPr>
      </w:pPr>
      <w:r w:rsidRPr="00234997">
        <w:rPr>
          <w:rFonts w:ascii="Cambria" w:eastAsia="Batang" w:hAnsi="Cambria" w:cs="Times New Roman"/>
          <w:sz w:val="16"/>
          <w:szCs w:val="16"/>
          <w:vertAlign w:val="superscript"/>
        </w:rPr>
        <w:t>1</w:t>
      </w:r>
      <w:r w:rsidRPr="00234997">
        <w:rPr>
          <w:rFonts w:ascii="Cambria" w:eastAsia="Batang" w:hAnsi="Cambria" w:cs="Times New Roman"/>
          <w:sz w:val="16"/>
          <w:szCs w:val="16"/>
        </w:rPr>
        <w:tab/>
        <w:t>Facultatif en cas de message VMS.</w:t>
      </w:r>
    </w:p>
    <w:p w14:paraId="7EEBDE26" w14:textId="77777777" w:rsidR="00AD0DEF" w:rsidRPr="00234997" w:rsidRDefault="00AD0DEF" w:rsidP="00AD0DEF">
      <w:pPr>
        <w:tabs>
          <w:tab w:val="left" w:pos="340"/>
        </w:tabs>
        <w:ind w:left="340" w:hanging="340"/>
        <w:rPr>
          <w:rFonts w:ascii="Cambria" w:eastAsia="Batang" w:hAnsi="Cambria" w:cs="Times New Roman"/>
          <w:sz w:val="16"/>
          <w:szCs w:val="16"/>
        </w:rPr>
      </w:pPr>
      <w:r w:rsidRPr="00234997">
        <w:rPr>
          <w:rFonts w:ascii="Cambria" w:eastAsia="Batang" w:hAnsi="Cambria" w:cs="Times New Roman"/>
          <w:sz w:val="16"/>
          <w:szCs w:val="16"/>
          <w:vertAlign w:val="superscript"/>
        </w:rPr>
        <w:t>2</w:t>
      </w:r>
      <w:r w:rsidRPr="00234997">
        <w:rPr>
          <w:rFonts w:ascii="Cambria" w:eastAsia="Batang" w:hAnsi="Cambria" w:cs="Times New Roman"/>
          <w:sz w:val="16"/>
          <w:szCs w:val="16"/>
        </w:rPr>
        <w:tab/>
        <w:t>Le type de message devra être « ENT » pour le premier message VMS provenant de la zone de la Convention, tel que détecté par le FMC de la Partie contractante.</w:t>
      </w:r>
    </w:p>
    <w:p w14:paraId="39B6499F" w14:textId="77777777" w:rsidR="00AD0DEF" w:rsidRPr="00234997" w:rsidRDefault="00AD0DEF" w:rsidP="00AD0DEF">
      <w:pPr>
        <w:tabs>
          <w:tab w:val="left" w:pos="340"/>
        </w:tabs>
        <w:ind w:left="340"/>
        <w:rPr>
          <w:rFonts w:ascii="Cambria" w:eastAsia="Batang" w:hAnsi="Cambria" w:cs="Times New Roman"/>
          <w:sz w:val="16"/>
          <w:szCs w:val="16"/>
        </w:rPr>
      </w:pPr>
      <w:r w:rsidRPr="00234997">
        <w:rPr>
          <w:rFonts w:ascii="Cambria" w:eastAsia="Batang" w:hAnsi="Cambria" w:cs="Times New Roman"/>
          <w:sz w:val="16"/>
          <w:szCs w:val="16"/>
        </w:rPr>
        <w:t>Le type de message devra être « EXI » pour le premier message VMS provenant de l’extérieur de la zone de la Convention, tel que détecté par le FMC de la Partie contractante, et les valeurs pour la latitude et la longitude sont, dans ce type de message, facultatives.</w:t>
      </w:r>
    </w:p>
    <w:p w14:paraId="21332F4E" w14:textId="77777777" w:rsidR="00AD0DEF" w:rsidRPr="00234997" w:rsidRDefault="00AD0DEF" w:rsidP="00AD0DEF">
      <w:pPr>
        <w:tabs>
          <w:tab w:val="left" w:pos="340"/>
        </w:tabs>
        <w:ind w:left="340"/>
        <w:rPr>
          <w:rFonts w:ascii="Cambria" w:eastAsia="Batang" w:hAnsi="Cambria" w:cs="Times New Roman"/>
          <w:sz w:val="16"/>
          <w:szCs w:val="16"/>
        </w:rPr>
      </w:pPr>
      <w:r w:rsidRPr="00234997">
        <w:rPr>
          <w:rFonts w:ascii="Cambria" w:eastAsia="Batang" w:hAnsi="Cambria" w:cs="Times New Roman"/>
          <w:sz w:val="16"/>
          <w:szCs w:val="16"/>
        </w:rPr>
        <w:t>Le type de message devra être « MAN » pour les rapports communiqués par les navires ayant un dispositif de suivi par satellite défectueux.</w:t>
      </w:r>
    </w:p>
    <w:p w14:paraId="43AA954F" w14:textId="77777777" w:rsidR="00AD0DEF" w:rsidRPr="00234997" w:rsidRDefault="00AD0DEF" w:rsidP="00AD0DEF">
      <w:pPr>
        <w:tabs>
          <w:tab w:val="left" w:pos="340"/>
        </w:tabs>
        <w:rPr>
          <w:rFonts w:ascii="Cambria" w:eastAsia="Batang" w:hAnsi="Cambria" w:cs="Times New Roman"/>
          <w:sz w:val="16"/>
          <w:szCs w:val="16"/>
        </w:rPr>
      </w:pPr>
      <w:r w:rsidRPr="00234997">
        <w:rPr>
          <w:rFonts w:ascii="Cambria" w:eastAsia="Batang" w:hAnsi="Cambria" w:cs="Times New Roman"/>
          <w:sz w:val="16"/>
          <w:szCs w:val="16"/>
          <w:vertAlign w:val="superscript"/>
        </w:rPr>
        <w:t>3</w:t>
      </w:r>
      <w:r w:rsidRPr="00234997">
        <w:rPr>
          <w:rFonts w:ascii="Cambria" w:eastAsia="Batang" w:hAnsi="Cambria" w:cs="Times New Roman"/>
          <w:sz w:val="16"/>
          <w:szCs w:val="16"/>
        </w:rPr>
        <w:tab/>
        <w:t>Obligatoire pour les messages manuels.</w:t>
      </w:r>
    </w:p>
    <w:p w14:paraId="3BF72417" w14:textId="13306C30" w:rsidR="00DF7B1C" w:rsidRPr="00433DB0" w:rsidRDefault="00AD0DEF" w:rsidP="00DF7B1C">
      <w:pPr>
        <w:tabs>
          <w:tab w:val="left" w:pos="340"/>
        </w:tabs>
        <w:rPr>
          <w:rFonts w:ascii="Cambria" w:eastAsia="Batang" w:hAnsi="Cambria" w:cs="Times New Roman"/>
          <w:b/>
          <w:i/>
          <w:sz w:val="20"/>
          <w:szCs w:val="20"/>
        </w:rPr>
      </w:pPr>
      <w:r w:rsidRPr="00234997">
        <w:rPr>
          <w:rFonts w:ascii="Cambria" w:eastAsia="Batang" w:hAnsi="Cambria" w:cs="Times New Roman"/>
          <w:sz w:val="16"/>
          <w:szCs w:val="16"/>
          <w:vertAlign w:val="superscript"/>
        </w:rPr>
        <w:t>4</w:t>
      </w:r>
      <w:r w:rsidRPr="00234997">
        <w:rPr>
          <w:rFonts w:ascii="Cambria" w:eastAsia="Batang" w:hAnsi="Cambria" w:cs="Times New Roman"/>
          <w:sz w:val="16"/>
          <w:szCs w:val="16"/>
        </w:rPr>
        <w:tab/>
        <w:t>Obligatoire pour les messages VMS.</w:t>
      </w:r>
      <w:r w:rsidR="00DF7B1C" w:rsidRPr="00433DB0">
        <w:rPr>
          <w:rFonts w:ascii="Cambria" w:eastAsia="Batang" w:hAnsi="Cambria" w:cs="Times New Roman"/>
          <w:b/>
          <w:i/>
          <w:sz w:val="20"/>
          <w:szCs w:val="20"/>
        </w:rPr>
        <w:br w:type="page"/>
      </w:r>
    </w:p>
    <w:p w14:paraId="40037CB2" w14:textId="7150987F" w:rsidR="00AD0DEF" w:rsidRPr="00433DB0" w:rsidRDefault="00AD0DEF" w:rsidP="00433DB0">
      <w:pPr>
        <w:numPr>
          <w:ilvl w:val="0"/>
          <w:numId w:val="1"/>
        </w:numPr>
        <w:tabs>
          <w:tab w:val="left" w:pos="340"/>
        </w:tabs>
        <w:spacing w:after="160" w:line="259" w:lineRule="auto"/>
        <w:ind w:hanging="720"/>
        <w:jc w:val="both"/>
        <w:rPr>
          <w:rFonts w:ascii="Cambria" w:eastAsia="Batang" w:hAnsi="Cambria" w:cs="Times New Roman"/>
          <w:b/>
          <w:i/>
          <w:sz w:val="20"/>
          <w:szCs w:val="20"/>
        </w:rPr>
      </w:pPr>
      <w:r w:rsidRPr="00433DB0">
        <w:rPr>
          <w:rFonts w:ascii="Cambria" w:eastAsia="Batang" w:hAnsi="Cambria" w:cs="Times New Roman"/>
          <w:b/>
          <w:i/>
          <w:sz w:val="20"/>
          <w:szCs w:val="20"/>
        </w:rPr>
        <w:lastRenderedPageBreak/>
        <w:t>Structure du message de position</w:t>
      </w:r>
    </w:p>
    <w:p w14:paraId="2E801DDB" w14:textId="77777777" w:rsidR="00AD0DEF" w:rsidRPr="00433DB0" w:rsidRDefault="00AD0DEF" w:rsidP="00924B7E">
      <w:pPr>
        <w:tabs>
          <w:tab w:val="left" w:pos="340"/>
        </w:tabs>
        <w:contextualSpacing/>
        <w:rPr>
          <w:rFonts w:ascii="Cambria" w:eastAsia="Batang" w:hAnsi="Cambria" w:cs="Times New Roman"/>
          <w:sz w:val="20"/>
          <w:szCs w:val="20"/>
        </w:rPr>
      </w:pPr>
      <w:r w:rsidRPr="00433DB0">
        <w:rPr>
          <w:rFonts w:ascii="Cambria" w:eastAsia="Batang" w:hAnsi="Cambria" w:cs="Times New Roman"/>
          <w:sz w:val="20"/>
          <w:szCs w:val="20"/>
        </w:rPr>
        <w:t>Chaque transmission de données est structurée comme ci-après :</w:t>
      </w:r>
    </w:p>
    <w:p w14:paraId="0406366D" w14:textId="77777777" w:rsidR="00AD0DEF" w:rsidRPr="00433DB0" w:rsidRDefault="00AD0DEF" w:rsidP="00924B7E">
      <w:pPr>
        <w:tabs>
          <w:tab w:val="left" w:pos="340"/>
        </w:tabs>
        <w:contextualSpacing/>
        <w:rPr>
          <w:rFonts w:ascii="Cambria" w:eastAsia="Batang" w:hAnsi="Cambria" w:cs="Times New Roman"/>
          <w:sz w:val="20"/>
          <w:szCs w:val="20"/>
        </w:rPr>
      </w:pPr>
    </w:p>
    <w:p w14:paraId="7D629B3B" w14:textId="1B8E82E3" w:rsidR="00AD0DEF" w:rsidRPr="00433DB0" w:rsidRDefault="00AD0DEF" w:rsidP="00433DB0">
      <w:pPr>
        <w:numPr>
          <w:ilvl w:val="0"/>
          <w:numId w:val="2"/>
        </w:numPr>
        <w:tabs>
          <w:tab w:val="clear" w:pos="720"/>
        </w:tabs>
        <w:spacing w:after="160" w:line="259" w:lineRule="auto"/>
        <w:ind w:left="851" w:hanging="425"/>
        <w:jc w:val="both"/>
        <w:rPr>
          <w:rFonts w:ascii="Cambria" w:eastAsia="Batang" w:hAnsi="Cambria" w:cs="Times New Roman"/>
          <w:sz w:val="20"/>
          <w:szCs w:val="20"/>
        </w:rPr>
      </w:pPr>
      <w:r w:rsidRPr="00433DB0">
        <w:rPr>
          <w:rFonts w:ascii="Cambria" w:eastAsia="Batang" w:hAnsi="Cambria" w:cs="Times New Roman"/>
          <w:sz w:val="20"/>
          <w:szCs w:val="20"/>
        </w:rPr>
        <w:t>Une double barre oblique (//) et les caractères « SR » indiquent le début du message</w:t>
      </w:r>
      <w:r w:rsidR="00924B7E" w:rsidRPr="00433DB0">
        <w:rPr>
          <w:rFonts w:ascii="Cambria" w:eastAsia="Batang" w:hAnsi="Cambria" w:cs="Times New Roman"/>
          <w:sz w:val="20"/>
          <w:szCs w:val="20"/>
        </w:rPr>
        <w:t>.</w:t>
      </w:r>
    </w:p>
    <w:p w14:paraId="4AEA2A02" w14:textId="453FECD8" w:rsidR="00AD0DEF" w:rsidRPr="00433DB0" w:rsidRDefault="00AD0DEF" w:rsidP="00433DB0">
      <w:pPr>
        <w:numPr>
          <w:ilvl w:val="0"/>
          <w:numId w:val="2"/>
        </w:numPr>
        <w:tabs>
          <w:tab w:val="clear" w:pos="720"/>
        </w:tabs>
        <w:spacing w:after="160" w:line="259" w:lineRule="auto"/>
        <w:ind w:left="851" w:hanging="425"/>
        <w:jc w:val="both"/>
        <w:rPr>
          <w:rFonts w:ascii="Cambria" w:eastAsia="Batang" w:hAnsi="Cambria" w:cs="Times New Roman"/>
          <w:sz w:val="20"/>
          <w:szCs w:val="20"/>
        </w:rPr>
      </w:pPr>
      <w:r w:rsidRPr="00433DB0">
        <w:rPr>
          <w:rFonts w:ascii="Cambria" w:eastAsia="Batang" w:hAnsi="Cambria" w:cs="Times New Roman"/>
          <w:sz w:val="20"/>
          <w:szCs w:val="20"/>
        </w:rPr>
        <w:t>Une double barre oblique (//) et le code de champ indiquent le début de l’élément de données</w:t>
      </w:r>
      <w:r w:rsidR="00924B7E" w:rsidRPr="00433DB0">
        <w:rPr>
          <w:rFonts w:ascii="Cambria" w:eastAsia="Batang" w:hAnsi="Cambria" w:cs="Times New Roman"/>
          <w:sz w:val="20"/>
          <w:szCs w:val="20"/>
        </w:rPr>
        <w:t>.</w:t>
      </w:r>
    </w:p>
    <w:p w14:paraId="145A6712" w14:textId="406E0504" w:rsidR="00AD0DEF" w:rsidRPr="00433DB0" w:rsidRDefault="00AD0DEF" w:rsidP="00433DB0">
      <w:pPr>
        <w:numPr>
          <w:ilvl w:val="0"/>
          <w:numId w:val="2"/>
        </w:numPr>
        <w:tabs>
          <w:tab w:val="clear" w:pos="720"/>
        </w:tabs>
        <w:spacing w:after="160" w:line="259" w:lineRule="auto"/>
        <w:ind w:left="851" w:hanging="425"/>
        <w:jc w:val="both"/>
        <w:rPr>
          <w:rFonts w:ascii="Cambria" w:eastAsia="Batang" w:hAnsi="Cambria" w:cs="Times New Roman"/>
          <w:sz w:val="20"/>
          <w:szCs w:val="20"/>
        </w:rPr>
      </w:pPr>
      <w:r w:rsidRPr="00433DB0">
        <w:rPr>
          <w:rFonts w:ascii="Cambria" w:eastAsia="Batang" w:hAnsi="Cambria" w:cs="Times New Roman"/>
          <w:sz w:val="20"/>
          <w:szCs w:val="20"/>
        </w:rPr>
        <w:t>Une seule barre oblique (/) sépare le code de champ et les données</w:t>
      </w:r>
      <w:r w:rsidR="00924B7E" w:rsidRPr="00433DB0">
        <w:rPr>
          <w:rFonts w:ascii="Cambria" w:eastAsia="Batang" w:hAnsi="Cambria" w:cs="Times New Roman"/>
          <w:sz w:val="20"/>
          <w:szCs w:val="20"/>
        </w:rPr>
        <w:t>.</w:t>
      </w:r>
    </w:p>
    <w:p w14:paraId="6B30D6EF" w14:textId="6FC7965C" w:rsidR="00AD0DEF" w:rsidRPr="00433DB0" w:rsidRDefault="00AD0DEF" w:rsidP="00433DB0">
      <w:pPr>
        <w:numPr>
          <w:ilvl w:val="0"/>
          <w:numId w:val="2"/>
        </w:numPr>
        <w:tabs>
          <w:tab w:val="clear" w:pos="720"/>
        </w:tabs>
        <w:spacing w:after="160" w:line="259" w:lineRule="auto"/>
        <w:ind w:left="851" w:hanging="425"/>
        <w:jc w:val="both"/>
        <w:rPr>
          <w:rFonts w:ascii="Cambria" w:eastAsia="Batang" w:hAnsi="Cambria" w:cs="Times New Roman"/>
          <w:sz w:val="20"/>
          <w:szCs w:val="20"/>
        </w:rPr>
      </w:pPr>
      <w:r w:rsidRPr="00433DB0">
        <w:rPr>
          <w:rFonts w:ascii="Cambria" w:eastAsia="Batang" w:hAnsi="Cambria" w:cs="Times New Roman"/>
          <w:sz w:val="20"/>
          <w:szCs w:val="20"/>
        </w:rPr>
        <w:t>Les paires de données sont séparées par un espace</w:t>
      </w:r>
      <w:r w:rsidR="00924B7E" w:rsidRPr="00433DB0">
        <w:rPr>
          <w:rFonts w:ascii="Cambria" w:eastAsia="Batang" w:hAnsi="Cambria" w:cs="Times New Roman"/>
          <w:sz w:val="20"/>
          <w:szCs w:val="20"/>
        </w:rPr>
        <w:t>.</w:t>
      </w:r>
    </w:p>
    <w:p w14:paraId="4BB26DE8" w14:textId="77777777" w:rsidR="00AD0DEF" w:rsidRPr="00433DB0" w:rsidRDefault="00AD0DEF" w:rsidP="00433DB0">
      <w:pPr>
        <w:numPr>
          <w:ilvl w:val="0"/>
          <w:numId w:val="2"/>
        </w:numPr>
        <w:tabs>
          <w:tab w:val="clear" w:pos="720"/>
        </w:tabs>
        <w:spacing w:after="160" w:line="259" w:lineRule="auto"/>
        <w:ind w:left="851" w:hanging="425"/>
        <w:jc w:val="both"/>
        <w:rPr>
          <w:rFonts w:ascii="Cambria" w:eastAsia="Batang" w:hAnsi="Cambria" w:cs="Times New Roman"/>
          <w:sz w:val="20"/>
          <w:szCs w:val="20"/>
        </w:rPr>
      </w:pPr>
      <w:r w:rsidRPr="00433DB0">
        <w:rPr>
          <w:rFonts w:ascii="Cambria" w:eastAsia="Batang" w:hAnsi="Cambria" w:cs="Times New Roman"/>
          <w:sz w:val="20"/>
          <w:szCs w:val="20"/>
        </w:rPr>
        <w:t>Les caractères « ER » et une double barre oblique (//) indiquent la fin d’un enregistrement.</w:t>
      </w:r>
    </w:p>
    <w:sectPr w:rsidR="00AD0DEF" w:rsidRPr="00433DB0" w:rsidSect="00AD0DEF">
      <w:footerReference w:type="default" r:id="rId7"/>
      <w:pgSz w:w="11906" w:h="16838" w:code="9"/>
      <w:pgMar w:top="1418" w:right="1418" w:bottom="1418" w:left="1418" w:header="85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81086" w14:textId="77777777" w:rsidR="00337EB8" w:rsidRDefault="00337EB8" w:rsidP="00985E9A">
      <w:r>
        <w:separator/>
      </w:r>
    </w:p>
  </w:endnote>
  <w:endnote w:type="continuationSeparator" w:id="0">
    <w:p w14:paraId="3D312A92" w14:textId="77777777" w:rsidR="00337EB8" w:rsidRDefault="00337EB8" w:rsidP="00985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ZWAdobeF">
    <w:panose1 w:val="00000000000000000000"/>
    <w:charset w:val="00"/>
    <w:family w:val="auto"/>
    <w:pitch w:val="variable"/>
    <w:sig w:usb0="20002A87" w:usb1="00000000" w:usb2="00000000"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21643"/>
      <w:docPartObj>
        <w:docPartGallery w:val="Page Numbers (Bottom of Page)"/>
        <w:docPartUnique/>
      </w:docPartObj>
    </w:sdtPr>
    <w:sdtEndPr>
      <w:rPr>
        <w:rFonts w:ascii="Cambria" w:hAnsi="Cambria"/>
        <w:noProof/>
        <w:sz w:val="20"/>
        <w:szCs w:val="20"/>
      </w:rPr>
    </w:sdtEndPr>
    <w:sdtContent>
      <w:p w14:paraId="08BDB20E" w14:textId="7B5F678E" w:rsidR="00985E9A" w:rsidRPr="005228FC" w:rsidRDefault="005228FC" w:rsidP="005228FC">
        <w:pPr>
          <w:pStyle w:val="Footer"/>
          <w:jc w:val="center"/>
          <w:rPr>
            <w:rFonts w:ascii="Cambria" w:hAnsi="Cambria"/>
            <w:sz w:val="20"/>
            <w:szCs w:val="20"/>
          </w:rPr>
        </w:pPr>
        <w:r w:rsidRPr="005228FC">
          <w:rPr>
            <w:rFonts w:ascii="Cambria" w:hAnsi="Cambria"/>
            <w:sz w:val="20"/>
            <w:szCs w:val="20"/>
          </w:rPr>
          <w:fldChar w:fldCharType="begin"/>
        </w:r>
        <w:r w:rsidRPr="005228FC">
          <w:rPr>
            <w:rFonts w:ascii="Cambria" w:hAnsi="Cambria"/>
            <w:sz w:val="20"/>
            <w:szCs w:val="20"/>
          </w:rPr>
          <w:instrText xml:space="preserve"> PAGE   \* MERGEFORMAT </w:instrText>
        </w:r>
        <w:r w:rsidRPr="005228FC">
          <w:rPr>
            <w:rFonts w:ascii="Cambria" w:hAnsi="Cambria"/>
            <w:sz w:val="20"/>
            <w:szCs w:val="20"/>
          </w:rPr>
          <w:fldChar w:fldCharType="separate"/>
        </w:r>
        <w:r w:rsidRPr="005228FC">
          <w:rPr>
            <w:rFonts w:ascii="Cambria" w:hAnsi="Cambria"/>
            <w:noProof/>
            <w:sz w:val="20"/>
            <w:szCs w:val="20"/>
          </w:rPr>
          <w:t>2</w:t>
        </w:r>
        <w:r w:rsidRPr="005228FC">
          <w:rPr>
            <w:rFonts w:ascii="Cambria" w:hAnsi="Cambria"/>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DEED8" w14:textId="77777777" w:rsidR="00337EB8" w:rsidRDefault="00337EB8" w:rsidP="00985E9A">
      <w:r>
        <w:separator/>
      </w:r>
    </w:p>
  </w:footnote>
  <w:footnote w:type="continuationSeparator" w:id="0">
    <w:p w14:paraId="628A0DF6" w14:textId="77777777" w:rsidR="00337EB8" w:rsidRDefault="00337EB8" w:rsidP="00985E9A">
      <w:r>
        <w:continuationSeparator/>
      </w:r>
    </w:p>
  </w:footnote>
  <w:footnote w:id="1">
    <w:p w14:paraId="77CD8B3E" w14:textId="77777777" w:rsidR="00CA7F7C" w:rsidRPr="00A45D20" w:rsidRDefault="00CA7F7C" w:rsidP="00CA7F7C">
      <w:pPr>
        <w:pStyle w:val="FootnoteText"/>
      </w:pPr>
      <w:r w:rsidRPr="00A45D20">
        <w:rPr>
          <w:rStyle w:val="FootnoteReference"/>
        </w:rPr>
        <w:footnoteRef/>
      </w:r>
      <w:r w:rsidRPr="00A45D20">
        <w:t xml:space="preserve"> </w:t>
      </w:r>
      <w:r w:rsidRPr="00A45D20">
        <w:rPr>
          <w:rFonts w:ascii="Cambria" w:hAnsi="Cambria"/>
          <w:sz w:val="16"/>
          <w:szCs w:val="16"/>
        </w:rPr>
        <w:t>Cette mesure a été abrogée et remplacée successivement par les Recommandations 22-08 et 24-05</w:t>
      </w:r>
      <w:r w:rsidRPr="00A45D20">
        <w:rPr>
          <w:rFonts w:ascii="Cambria" w:hAnsi="Cambria"/>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935523"/>
    <w:multiLevelType w:val="hybridMultilevel"/>
    <w:tmpl w:val="02E44622"/>
    <w:lvl w:ilvl="0" w:tplc="FFFFFFFF">
      <w:start w:val="4"/>
      <w:numFmt w:val="bullet"/>
      <w:lvlText w:val="-"/>
      <w:lvlJc w:val="left"/>
      <w:pPr>
        <w:tabs>
          <w:tab w:val="num" w:pos="720"/>
        </w:tabs>
        <w:ind w:left="720" w:hanging="360"/>
      </w:pPr>
      <w:rPr>
        <w:rFonts w:ascii="Times New Roman" w:eastAsia="Batang"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65216BC"/>
    <w:multiLevelType w:val="hybridMultilevel"/>
    <w:tmpl w:val="8E3E42D4"/>
    <w:lvl w:ilvl="0" w:tplc="8A2AF838">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91196311">
    <w:abstractNumId w:val="1"/>
  </w:num>
  <w:num w:numId="2" w16cid:durableId="2140948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493"/>
    <w:rsid w:val="000123D1"/>
    <w:rsid w:val="00021593"/>
    <w:rsid w:val="00026826"/>
    <w:rsid w:val="0004520E"/>
    <w:rsid w:val="00074301"/>
    <w:rsid w:val="000D4DAD"/>
    <w:rsid w:val="00163CB4"/>
    <w:rsid w:val="00180547"/>
    <w:rsid w:val="001A10DF"/>
    <w:rsid w:val="001B02F4"/>
    <w:rsid w:val="001B3946"/>
    <w:rsid w:val="001B6FDC"/>
    <w:rsid w:val="001F7BD4"/>
    <w:rsid w:val="0020135A"/>
    <w:rsid w:val="00234997"/>
    <w:rsid w:val="00297493"/>
    <w:rsid w:val="002B543C"/>
    <w:rsid w:val="0030080E"/>
    <w:rsid w:val="00337EB8"/>
    <w:rsid w:val="00347872"/>
    <w:rsid w:val="003963A1"/>
    <w:rsid w:val="003B2DD4"/>
    <w:rsid w:val="003E4E3A"/>
    <w:rsid w:val="00410100"/>
    <w:rsid w:val="00433DB0"/>
    <w:rsid w:val="004D314B"/>
    <w:rsid w:val="004E310E"/>
    <w:rsid w:val="004E77EB"/>
    <w:rsid w:val="00511E5D"/>
    <w:rsid w:val="005228FC"/>
    <w:rsid w:val="005856C2"/>
    <w:rsid w:val="00585CA9"/>
    <w:rsid w:val="00591886"/>
    <w:rsid w:val="00592A94"/>
    <w:rsid w:val="005B0497"/>
    <w:rsid w:val="00603896"/>
    <w:rsid w:val="00631B84"/>
    <w:rsid w:val="006525E4"/>
    <w:rsid w:val="0068098E"/>
    <w:rsid w:val="006A0215"/>
    <w:rsid w:val="006A21F7"/>
    <w:rsid w:val="006D12B1"/>
    <w:rsid w:val="006E0B86"/>
    <w:rsid w:val="006F462D"/>
    <w:rsid w:val="0070173B"/>
    <w:rsid w:val="00713B96"/>
    <w:rsid w:val="007432B2"/>
    <w:rsid w:val="007661B5"/>
    <w:rsid w:val="007A26B2"/>
    <w:rsid w:val="007A5C0E"/>
    <w:rsid w:val="008C7421"/>
    <w:rsid w:val="008E7B86"/>
    <w:rsid w:val="0090428F"/>
    <w:rsid w:val="00913FAC"/>
    <w:rsid w:val="0091719B"/>
    <w:rsid w:val="00924B7E"/>
    <w:rsid w:val="0093262C"/>
    <w:rsid w:val="0095260B"/>
    <w:rsid w:val="00985E9A"/>
    <w:rsid w:val="00997F96"/>
    <w:rsid w:val="009C2B46"/>
    <w:rsid w:val="00A10364"/>
    <w:rsid w:val="00A5610A"/>
    <w:rsid w:val="00A66837"/>
    <w:rsid w:val="00AB2136"/>
    <w:rsid w:val="00AB5265"/>
    <w:rsid w:val="00AD0DEF"/>
    <w:rsid w:val="00AD0F6B"/>
    <w:rsid w:val="00B0316B"/>
    <w:rsid w:val="00B12CBA"/>
    <w:rsid w:val="00B23E7F"/>
    <w:rsid w:val="00BB6366"/>
    <w:rsid w:val="00BC1E6A"/>
    <w:rsid w:val="00BF29A7"/>
    <w:rsid w:val="00C43B53"/>
    <w:rsid w:val="00C605AB"/>
    <w:rsid w:val="00C97B4D"/>
    <w:rsid w:val="00CA7F7C"/>
    <w:rsid w:val="00CC4640"/>
    <w:rsid w:val="00CE2F2F"/>
    <w:rsid w:val="00D42D47"/>
    <w:rsid w:val="00D663F6"/>
    <w:rsid w:val="00DC36D8"/>
    <w:rsid w:val="00DD3264"/>
    <w:rsid w:val="00DD7822"/>
    <w:rsid w:val="00DF56F3"/>
    <w:rsid w:val="00DF7B1C"/>
    <w:rsid w:val="00E0027C"/>
    <w:rsid w:val="00E4242D"/>
    <w:rsid w:val="00E552DF"/>
    <w:rsid w:val="00E62E5C"/>
    <w:rsid w:val="00E83833"/>
    <w:rsid w:val="00EB10FC"/>
    <w:rsid w:val="00EC32A5"/>
    <w:rsid w:val="00ED40BB"/>
    <w:rsid w:val="00ED697F"/>
    <w:rsid w:val="00FF12F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44EA21"/>
  <w15:chartTrackingRefBased/>
  <w15:docId w15:val="{90CFEECD-8EF5-4A13-B51F-7F3073D7B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49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5E9A"/>
    <w:pPr>
      <w:tabs>
        <w:tab w:val="center" w:pos="4513"/>
        <w:tab w:val="right" w:pos="9026"/>
      </w:tabs>
    </w:pPr>
  </w:style>
  <w:style w:type="character" w:customStyle="1" w:styleId="HeaderChar">
    <w:name w:val="Header Char"/>
    <w:basedOn w:val="DefaultParagraphFont"/>
    <w:link w:val="Header"/>
    <w:uiPriority w:val="99"/>
    <w:rsid w:val="00985E9A"/>
    <w:rPr>
      <w:rFonts w:ascii="Calibri" w:hAnsi="Calibri" w:cs="Calibri"/>
    </w:rPr>
  </w:style>
  <w:style w:type="paragraph" w:styleId="Footer">
    <w:name w:val="footer"/>
    <w:basedOn w:val="Normal"/>
    <w:link w:val="FooterChar"/>
    <w:uiPriority w:val="99"/>
    <w:unhideWhenUsed/>
    <w:rsid w:val="00985E9A"/>
    <w:pPr>
      <w:tabs>
        <w:tab w:val="center" w:pos="4513"/>
        <w:tab w:val="right" w:pos="9026"/>
      </w:tabs>
    </w:pPr>
  </w:style>
  <w:style w:type="character" w:customStyle="1" w:styleId="FooterChar">
    <w:name w:val="Footer Char"/>
    <w:basedOn w:val="DefaultParagraphFont"/>
    <w:link w:val="Footer"/>
    <w:uiPriority w:val="99"/>
    <w:rsid w:val="00985E9A"/>
    <w:rPr>
      <w:rFonts w:ascii="Calibri" w:hAnsi="Calibri" w:cs="Calibri"/>
    </w:rPr>
  </w:style>
  <w:style w:type="paragraph" w:styleId="FootnoteText">
    <w:name w:val="footnote text"/>
    <w:aliases w:val="ft"/>
    <w:basedOn w:val="Normal"/>
    <w:link w:val="FootnoteTextChar"/>
    <w:uiPriority w:val="99"/>
    <w:qFormat/>
    <w:rsid w:val="00AD0DEF"/>
    <w:rPr>
      <w:rFonts w:ascii="Times New Roman" w:eastAsia="Times New Roman" w:hAnsi="Times New Roman" w:cs="Times New Roman"/>
      <w:sz w:val="20"/>
      <w:szCs w:val="20"/>
    </w:rPr>
  </w:style>
  <w:style w:type="character" w:customStyle="1" w:styleId="FootnoteTextChar">
    <w:name w:val="Footnote Text Char"/>
    <w:aliases w:val="ft Char"/>
    <w:basedOn w:val="DefaultParagraphFont"/>
    <w:link w:val="FootnoteText"/>
    <w:uiPriority w:val="99"/>
    <w:rsid w:val="00AD0DEF"/>
    <w:rPr>
      <w:rFonts w:ascii="Times New Roman" w:eastAsia="Times New Roman" w:hAnsi="Times New Roman" w:cs="Times New Roman"/>
      <w:sz w:val="20"/>
      <w:szCs w:val="20"/>
    </w:rPr>
  </w:style>
  <w:style w:type="character" w:styleId="FootnoteReference">
    <w:name w:val="footnote reference"/>
    <w:aliases w:val="Footnote Text Char1,fr,ft Char1"/>
    <w:uiPriority w:val="99"/>
    <w:rsid w:val="00AD0D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532217">
      <w:bodyDiv w:val="1"/>
      <w:marLeft w:val="0"/>
      <w:marRight w:val="0"/>
      <w:marTop w:val="0"/>
      <w:marBottom w:val="0"/>
      <w:divBdr>
        <w:top w:val="none" w:sz="0" w:space="0" w:color="auto"/>
        <w:left w:val="none" w:sz="0" w:space="0" w:color="auto"/>
        <w:bottom w:val="none" w:sz="0" w:space="0" w:color="auto"/>
        <w:right w:val="none" w:sz="0" w:space="0" w:color="auto"/>
      </w:divBdr>
    </w:div>
    <w:div w:id="866017169">
      <w:bodyDiv w:val="1"/>
      <w:marLeft w:val="0"/>
      <w:marRight w:val="0"/>
      <w:marTop w:val="0"/>
      <w:marBottom w:val="0"/>
      <w:divBdr>
        <w:top w:val="none" w:sz="0" w:space="0" w:color="auto"/>
        <w:left w:val="none" w:sz="0" w:space="0" w:color="auto"/>
        <w:bottom w:val="none" w:sz="0" w:space="0" w:color="auto"/>
        <w:right w:val="none" w:sz="0" w:space="0" w:color="auto"/>
      </w:divBdr>
    </w:div>
    <w:div w:id="1756978799">
      <w:bodyDiv w:val="1"/>
      <w:marLeft w:val="0"/>
      <w:marRight w:val="0"/>
      <w:marTop w:val="0"/>
      <w:marBottom w:val="0"/>
      <w:divBdr>
        <w:top w:val="none" w:sz="0" w:space="0" w:color="auto"/>
        <w:left w:val="none" w:sz="0" w:space="0" w:color="auto"/>
        <w:bottom w:val="none" w:sz="0" w:space="0" w:color="auto"/>
        <w:right w:val="none" w:sz="0" w:space="0" w:color="auto"/>
      </w:divBdr>
    </w:div>
    <w:div w:id="212568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4</Pages>
  <Words>1270</Words>
  <Characters>6414</Characters>
  <Application>Microsoft Office Word</Application>
  <DocSecurity>0</DocSecurity>
  <Lines>213</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Samedy</dc:creator>
  <cp:keywords/>
  <dc:description/>
  <cp:lastModifiedBy>Dorothee Pinet</cp:lastModifiedBy>
  <cp:revision>40</cp:revision>
  <dcterms:created xsi:type="dcterms:W3CDTF">2021-05-20T13:17:00Z</dcterms:created>
  <dcterms:modified xsi:type="dcterms:W3CDTF">2025-06-18T08:56:00Z</dcterms:modified>
</cp:coreProperties>
</file>