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C02B" w14:textId="77777777" w:rsidR="00A62F74" w:rsidRPr="00A62F74" w:rsidRDefault="00A62F74" w:rsidP="00E230E9">
      <w:pPr>
        <w:widowControl/>
        <w:pBdr>
          <w:top w:val="double" w:sz="4" w:space="1" w:color="auto"/>
          <w:left w:val="double" w:sz="4" w:space="4" w:color="auto"/>
          <w:bottom w:val="double" w:sz="4" w:space="1" w:color="auto"/>
          <w:right w:val="double" w:sz="4" w:space="4" w:color="auto"/>
        </w:pBdr>
        <w:tabs>
          <w:tab w:val="left" w:pos="180"/>
          <w:tab w:val="left" w:pos="1980"/>
          <w:tab w:val="center" w:pos="4500"/>
          <w:tab w:val="right" w:pos="8820"/>
          <w:tab w:val="left" w:pos="9951"/>
        </w:tabs>
        <w:spacing w:line="264" w:lineRule="auto"/>
        <w:rPr>
          <w:rFonts w:ascii="Cambria" w:eastAsia="Calibri" w:hAnsi="Cambria" w:cs="Arial"/>
          <w:b/>
          <w:bCs/>
          <w:kern w:val="0"/>
          <w:sz w:val="10"/>
          <w:szCs w:val="10"/>
          <w:lang w:val="es-ES_tradnl" w:eastAsia="en-US"/>
        </w:rPr>
      </w:pPr>
    </w:p>
    <w:p w14:paraId="3D449D50" w14:textId="4DDF89D6" w:rsidR="00E230E9" w:rsidRDefault="00E230E9" w:rsidP="00E230E9">
      <w:pPr>
        <w:widowControl/>
        <w:pBdr>
          <w:top w:val="double" w:sz="4" w:space="1" w:color="auto"/>
          <w:left w:val="double" w:sz="4" w:space="4" w:color="auto"/>
          <w:bottom w:val="double" w:sz="4" w:space="1" w:color="auto"/>
          <w:right w:val="double" w:sz="4" w:space="4" w:color="auto"/>
        </w:pBdr>
        <w:tabs>
          <w:tab w:val="left" w:pos="180"/>
          <w:tab w:val="left" w:pos="1980"/>
          <w:tab w:val="center" w:pos="4500"/>
          <w:tab w:val="right" w:pos="8820"/>
          <w:tab w:val="left" w:pos="9951"/>
        </w:tabs>
        <w:spacing w:line="264" w:lineRule="auto"/>
        <w:rPr>
          <w:rFonts w:ascii="Cambria" w:eastAsia="Calibri" w:hAnsi="Cambria" w:cs="Arial"/>
          <w:b/>
          <w:bCs/>
          <w:kern w:val="0"/>
          <w:sz w:val="20"/>
          <w:szCs w:val="20"/>
          <w:lang w:val="es-ES_tradnl" w:eastAsia="en-US"/>
        </w:rPr>
      </w:pPr>
      <w:r>
        <w:rPr>
          <w:rFonts w:ascii="Cambria" w:eastAsia="Calibri" w:hAnsi="Cambria" w:cs="Arial"/>
          <w:b/>
          <w:bCs/>
          <w:kern w:val="0"/>
          <w:sz w:val="20"/>
          <w:szCs w:val="20"/>
          <w:lang w:val="es-ES_tradnl" w:eastAsia="en-US"/>
        </w:rPr>
        <w:t>21-</w:t>
      </w:r>
      <w:r w:rsidR="00A75FAE">
        <w:rPr>
          <w:rFonts w:ascii="Cambria" w:eastAsia="Calibri" w:hAnsi="Cambria" w:cs="Arial"/>
          <w:b/>
          <w:bCs/>
          <w:kern w:val="0"/>
          <w:sz w:val="20"/>
          <w:szCs w:val="20"/>
          <w:lang w:val="es-ES_tradnl" w:eastAsia="en-US"/>
        </w:rPr>
        <w:t>14</w:t>
      </w:r>
      <w:r w:rsidR="00A75FAE">
        <w:rPr>
          <w:rFonts w:ascii="Cambria" w:eastAsia="Calibri" w:hAnsi="Cambria" w:cs="Arial"/>
          <w:b/>
          <w:bCs/>
          <w:kern w:val="0"/>
          <w:sz w:val="20"/>
          <w:szCs w:val="20"/>
          <w:lang w:val="es-ES_tradnl" w:eastAsia="en-US"/>
        </w:rPr>
        <w:tab/>
      </w:r>
      <w:r w:rsidR="00A75FAE">
        <w:rPr>
          <w:rFonts w:ascii="Cambria" w:eastAsia="Calibri" w:hAnsi="Cambria" w:cs="Arial"/>
          <w:b/>
          <w:bCs/>
          <w:kern w:val="0"/>
          <w:sz w:val="20"/>
          <w:szCs w:val="20"/>
          <w:lang w:val="es-ES_tradnl" w:eastAsia="en-US"/>
        </w:rPr>
        <w:tab/>
      </w:r>
      <w:r w:rsidR="00A75FAE">
        <w:rPr>
          <w:rFonts w:ascii="Cambria" w:eastAsia="Calibri" w:hAnsi="Cambria" w:cs="Arial"/>
          <w:b/>
          <w:bCs/>
          <w:kern w:val="0"/>
          <w:sz w:val="20"/>
          <w:szCs w:val="20"/>
          <w:lang w:val="es-ES_tradnl" w:eastAsia="en-US"/>
        </w:rPr>
        <w:tab/>
        <w:t>GEN</w:t>
      </w:r>
    </w:p>
    <w:p w14:paraId="233D3B88" w14:textId="4E392CBD" w:rsidR="00A75FAE" w:rsidRDefault="005F62FF" w:rsidP="00744892">
      <w:pPr>
        <w:widowControl/>
        <w:pBdr>
          <w:top w:val="double" w:sz="4" w:space="1" w:color="auto"/>
          <w:left w:val="double" w:sz="4" w:space="4" w:color="auto"/>
          <w:bottom w:val="double" w:sz="4" w:space="1" w:color="auto"/>
          <w:right w:val="double" w:sz="4" w:space="4" w:color="auto"/>
        </w:pBdr>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B975C0">
        <w:rPr>
          <w:rFonts w:ascii="Cambria" w:eastAsia="Calibri" w:hAnsi="Cambria" w:cs="Arial"/>
          <w:b/>
          <w:bCs/>
          <w:kern w:val="0"/>
          <w:sz w:val="20"/>
          <w:szCs w:val="20"/>
          <w:lang w:val="es-ES_tradnl" w:eastAsia="en-US"/>
        </w:rPr>
        <w:t xml:space="preserve">RECOMENDACIÓN </w:t>
      </w:r>
      <w:r w:rsidR="008A5A0C">
        <w:rPr>
          <w:rFonts w:ascii="Cambria" w:eastAsia="Calibri" w:hAnsi="Cambria" w:cs="Arial"/>
          <w:b/>
          <w:bCs/>
          <w:kern w:val="0"/>
          <w:sz w:val="20"/>
          <w:szCs w:val="20"/>
          <w:lang w:val="es-ES_tradnl" w:eastAsia="en-US"/>
        </w:rPr>
        <w:t xml:space="preserve">DE ICCAT </w:t>
      </w:r>
      <w:r w:rsidR="00B21D97">
        <w:rPr>
          <w:rFonts w:ascii="Cambria" w:eastAsia="Calibri" w:hAnsi="Cambria" w:cs="Arial"/>
          <w:b/>
          <w:bCs/>
          <w:kern w:val="0"/>
          <w:sz w:val="20"/>
          <w:szCs w:val="20"/>
          <w:lang w:val="es-ES_tradnl" w:eastAsia="en-US"/>
        </w:rPr>
        <w:t>QUE ENMIENDA</w:t>
      </w:r>
      <w:r w:rsidRPr="00B975C0">
        <w:rPr>
          <w:rFonts w:ascii="Cambria" w:eastAsia="Calibri" w:hAnsi="Cambria" w:cs="Arial"/>
          <w:b/>
          <w:bCs/>
          <w:kern w:val="0"/>
          <w:sz w:val="20"/>
          <w:szCs w:val="20"/>
          <w:lang w:val="es-ES_tradnl" w:eastAsia="en-US"/>
        </w:rPr>
        <w:t xml:space="preserve"> LA RECOMENDACIÓN</w:t>
      </w:r>
      <w:r w:rsidR="00710168" w:rsidRPr="00B975C0">
        <w:rPr>
          <w:rFonts w:ascii="Cambria" w:eastAsia="Calibri" w:hAnsi="Cambria" w:cs="Arial"/>
          <w:b/>
          <w:bCs/>
          <w:kern w:val="0"/>
          <w:sz w:val="20"/>
          <w:szCs w:val="20"/>
          <w:lang w:val="es-ES_tradnl" w:eastAsia="en-US"/>
        </w:rPr>
        <w:t xml:space="preserve"> 13-13</w:t>
      </w:r>
      <w:r w:rsidRPr="00B975C0">
        <w:rPr>
          <w:rFonts w:ascii="Cambria" w:eastAsia="Calibri" w:hAnsi="Cambria" w:cs="Arial"/>
          <w:b/>
          <w:bCs/>
          <w:kern w:val="0"/>
          <w:sz w:val="20"/>
          <w:szCs w:val="20"/>
          <w:lang w:val="es-ES_tradnl" w:eastAsia="en-US"/>
        </w:rPr>
        <w:t xml:space="preserve"> SOBRE</w:t>
      </w:r>
    </w:p>
    <w:p w14:paraId="242034CC" w14:textId="77777777" w:rsidR="00A75FAE" w:rsidRDefault="005F62FF" w:rsidP="00744892">
      <w:pPr>
        <w:widowControl/>
        <w:pBdr>
          <w:top w:val="double" w:sz="4" w:space="1" w:color="auto"/>
          <w:left w:val="double" w:sz="4" w:space="4" w:color="auto"/>
          <w:bottom w:val="double" w:sz="4" w:space="1" w:color="auto"/>
          <w:right w:val="double" w:sz="4" w:space="4" w:color="auto"/>
        </w:pBdr>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B975C0">
        <w:rPr>
          <w:rFonts w:ascii="Cambria" w:eastAsia="Calibri" w:hAnsi="Cambria" w:cs="Arial"/>
          <w:b/>
          <w:bCs/>
          <w:kern w:val="0"/>
          <w:sz w:val="20"/>
          <w:szCs w:val="20"/>
          <w:lang w:val="es-ES_tradnl" w:eastAsia="en-US"/>
        </w:rPr>
        <w:t xml:space="preserve"> EL ESTABLECIMIENTO DE UN REGISTRO ICCAT</w:t>
      </w:r>
      <w:r w:rsidR="008C0995">
        <w:rPr>
          <w:rFonts w:ascii="Cambria" w:eastAsia="Calibri" w:hAnsi="Cambria" w:cs="Arial"/>
          <w:b/>
          <w:bCs/>
          <w:kern w:val="0"/>
          <w:sz w:val="20"/>
          <w:szCs w:val="20"/>
          <w:lang w:val="es-ES_tradnl" w:eastAsia="en-US"/>
        </w:rPr>
        <w:t xml:space="preserve"> </w:t>
      </w:r>
      <w:r w:rsidRPr="00B975C0">
        <w:rPr>
          <w:rFonts w:ascii="Cambria" w:eastAsia="Calibri" w:hAnsi="Cambria" w:cs="Arial"/>
          <w:b/>
          <w:bCs/>
          <w:kern w:val="0"/>
          <w:sz w:val="20"/>
          <w:szCs w:val="20"/>
          <w:lang w:val="es-ES_tradnl" w:eastAsia="en-US"/>
        </w:rPr>
        <w:t xml:space="preserve">DE BUQUES CON UNA </w:t>
      </w:r>
    </w:p>
    <w:p w14:paraId="49FA0E09" w14:textId="2EC70539" w:rsidR="00A75FAE" w:rsidRDefault="005F62FF" w:rsidP="00744892">
      <w:pPr>
        <w:widowControl/>
        <w:pBdr>
          <w:top w:val="double" w:sz="4" w:space="1" w:color="auto"/>
          <w:left w:val="double" w:sz="4" w:space="4" w:color="auto"/>
          <w:bottom w:val="double" w:sz="4" w:space="1" w:color="auto"/>
          <w:right w:val="double" w:sz="4" w:space="4" w:color="auto"/>
        </w:pBdr>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B975C0">
        <w:rPr>
          <w:rFonts w:ascii="Cambria" w:eastAsia="Calibri" w:hAnsi="Cambria" w:cs="Arial"/>
          <w:b/>
          <w:bCs/>
          <w:kern w:val="0"/>
          <w:sz w:val="20"/>
          <w:szCs w:val="20"/>
          <w:lang w:val="es-ES_tradnl" w:eastAsia="en-US"/>
        </w:rPr>
        <w:t xml:space="preserve">ESLORA TOTAL DE 20 METROS O SUPERIOR CON AUTORIZACIÓN </w:t>
      </w:r>
    </w:p>
    <w:p w14:paraId="7815A035" w14:textId="0B53FAE8" w:rsidR="005F62FF" w:rsidRDefault="005F62FF" w:rsidP="00744892">
      <w:pPr>
        <w:widowControl/>
        <w:pBdr>
          <w:top w:val="double" w:sz="4" w:space="1" w:color="auto"/>
          <w:left w:val="double" w:sz="4" w:space="4" w:color="auto"/>
          <w:bottom w:val="double" w:sz="4" w:space="1" w:color="auto"/>
          <w:right w:val="double" w:sz="4" w:space="4" w:color="auto"/>
        </w:pBdr>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B975C0">
        <w:rPr>
          <w:rFonts w:ascii="Cambria" w:eastAsia="Calibri" w:hAnsi="Cambria" w:cs="Arial"/>
          <w:b/>
          <w:bCs/>
          <w:kern w:val="0"/>
          <w:sz w:val="20"/>
          <w:szCs w:val="20"/>
          <w:lang w:val="es-ES_tradnl" w:eastAsia="en-US"/>
        </w:rPr>
        <w:t xml:space="preserve">PARA OPERAR EN LA ZONA DEL CONVENIO </w:t>
      </w:r>
    </w:p>
    <w:p w14:paraId="2FCD3C1F" w14:textId="77777777" w:rsidR="00A62F74" w:rsidRPr="00A62F74" w:rsidRDefault="00A62F74" w:rsidP="00744892">
      <w:pPr>
        <w:widowControl/>
        <w:pBdr>
          <w:top w:val="double" w:sz="4" w:space="1" w:color="auto"/>
          <w:left w:val="double" w:sz="4" w:space="4" w:color="auto"/>
          <w:bottom w:val="double" w:sz="4" w:space="1" w:color="auto"/>
          <w:right w:val="double" w:sz="4" w:space="4" w:color="auto"/>
        </w:pBdr>
        <w:tabs>
          <w:tab w:val="left" w:pos="180"/>
          <w:tab w:val="left" w:pos="1980"/>
          <w:tab w:val="center" w:pos="4500"/>
          <w:tab w:val="right" w:pos="8820"/>
          <w:tab w:val="left" w:pos="9951"/>
        </w:tabs>
        <w:spacing w:line="264" w:lineRule="auto"/>
        <w:jc w:val="center"/>
        <w:rPr>
          <w:rFonts w:ascii="Cambria" w:eastAsia="Calibri" w:hAnsi="Cambria" w:cs="Arial"/>
          <w:b/>
          <w:bCs/>
          <w:kern w:val="0"/>
          <w:sz w:val="8"/>
          <w:szCs w:val="8"/>
          <w:lang w:val="es-ES_tradnl" w:eastAsia="en-US"/>
        </w:rPr>
      </w:pPr>
    </w:p>
    <w:p w14:paraId="3D84CBC6" w14:textId="2A8A52C8" w:rsidR="005F62FF" w:rsidRPr="00B975C0" w:rsidRDefault="005F62FF" w:rsidP="005F62FF">
      <w:pPr>
        <w:widowControl/>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p>
    <w:p w14:paraId="18A910BE"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kern w:val="0"/>
          <w:sz w:val="22"/>
          <w:lang w:val="es-ES_tradnl" w:eastAsia="en-US"/>
        </w:rPr>
      </w:pPr>
    </w:p>
    <w:p w14:paraId="28F3FDDA" w14:textId="6963074E" w:rsidR="005F62FF" w:rsidRPr="00B975C0" w:rsidRDefault="005F62FF" w:rsidP="005F62FF">
      <w:pPr>
        <w:widowControl/>
        <w:tabs>
          <w:tab w:val="left" w:pos="340"/>
        </w:tabs>
        <w:spacing w:line="220" w:lineRule="exact"/>
        <w:ind w:firstLine="340"/>
        <w:jc w:val="both"/>
        <w:rPr>
          <w:rFonts w:ascii="Cambria" w:eastAsia="Calibri" w:hAnsi="Cambria" w:cs="Arial"/>
          <w:kern w:val="0"/>
          <w:sz w:val="20"/>
          <w:szCs w:val="16"/>
          <w:lang w:val="es-ES" w:eastAsia="es-ES"/>
        </w:rPr>
      </w:pPr>
      <w:r w:rsidRPr="00B975C0">
        <w:rPr>
          <w:rFonts w:ascii="Cambria" w:eastAsia="Calibri" w:hAnsi="Cambria" w:cs="Arial"/>
          <w:i/>
          <w:iCs/>
          <w:caps/>
          <w:kern w:val="0"/>
          <w:sz w:val="20"/>
          <w:szCs w:val="16"/>
          <w:lang w:val="es-ES" w:eastAsia="es-ES"/>
        </w:rPr>
        <w:t>Recordando</w:t>
      </w:r>
      <w:r w:rsidRPr="00B975C0">
        <w:rPr>
          <w:rFonts w:ascii="Cambria" w:eastAsia="Calibri" w:hAnsi="Cambria" w:cs="Arial"/>
          <w:kern w:val="0"/>
          <w:sz w:val="20"/>
          <w:szCs w:val="16"/>
          <w:lang w:val="es-ES" w:eastAsia="es-ES"/>
        </w:rPr>
        <w:t xml:space="preserve"> que ICCAT adoptó en su reunión de 2000 una </w:t>
      </w:r>
      <w:r w:rsidRPr="00B975C0">
        <w:rPr>
          <w:rFonts w:ascii="Cambria" w:eastAsia="Calibri" w:hAnsi="Cambria" w:cs="Arial"/>
          <w:i/>
          <w:iCs/>
          <w:kern w:val="0"/>
          <w:sz w:val="20"/>
          <w:szCs w:val="16"/>
          <w:lang w:val="es-ES" w:eastAsia="es-ES"/>
        </w:rPr>
        <w:t xml:space="preserve">Recomendación de ICCAT respecto al registro e intercambio de información sobre buques que pescan túnidos y especies afines en la zona del Convenio </w:t>
      </w:r>
      <w:r w:rsidR="00A75FAE">
        <w:rPr>
          <w:rFonts w:ascii="Cambria" w:eastAsia="Calibri" w:hAnsi="Cambria" w:cs="Arial"/>
          <w:kern w:val="0"/>
          <w:sz w:val="20"/>
          <w:szCs w:val="20"/>
          <w:lang w:val="es-ES_tradnl" w:eastAsia="es-ES"/>
        </w:rPr>
        <w:t>(</w:t>
      </w:r>
      <w:r w:rsidRPr="00B975C0">
        <w:rPr>
          <w:rFonts w:ascii="Cambria" w:eastAsia="Calibri" w:hAnsi="Cambria" w:cs="Arial"/>
          <w:kern w:val="0"/>
          <w:sz w:val="20"/>
          <w:szCs w:val="20"/>
          <w:lang w:val="es-ES_tradnl" w:eastAsia="es-ES"/>
        </w:rPr>
        <w:t>Rec. 00-17</w:t>
      </w:r>
      <w:r w:rsidR="00A75FAE">
        <w:rPr>
          <w:rFonts w:ascii="Cambria" w:eastAsia="Calibri" w:hAnsi="Cambria" w:cs="Arial"/>
          <w:kern w:val="0"/>
          <w:sz w:val="20"/>
          <w:szCs w:val="20"/>
          <w:lang w:val="es-ES_tradnl" w:eastAsia="es-ES"/>
        </w:rPr>
        <w:t>)</w:t>
      </w:r>
      <w:r w:rsidRPr="00B975C0">
        <w:rPr>
          <w:rFonts w:ascii="Cambria" w:eastAsia="Calibri" w:hAnsi="Cambria" w:cs="Arial"/>
          <w:kern w:val="0"/>
          <w:sz w:val="20"/>
          <w:szCs w:val="16"/>
          <w:lang w:val="es-ES" w:eastAsia="es-ES"/>
        </w:rPr>
        <w:t>;</w:t>
      </w:r>
    </w:p>
    <w:p w14:paraId="335E49D8" w14:textId="77777777" w:rsidR="005F62FF" w:rsidRPr="00B975C0" w:rsidRDefault="005F62FF" w:rsidP="005F62FF">
      <w:pPr>
        <w:widowControl/>
        <w:tabs>
          <w:tab w:val="left" w:pos="340"/>
        </w:tabs>
        <w:spacing w:line="220" w:lineRule="exact"/>
        <w:ind w:firstLine="340"/>
        <w:jc w:val="both"/>
        <w:rPr>
          <w:rFonts w:ascii="Cambria" w:eastAsia="Calibri" w:hAnsi="Cambria" w:cs="Arial"/>
          <w:kern w:val="0"/>
          <w:sz w:val="20"/>
          <w:szCs w:val="16"/>
          <w:lang w:val="es-ES" w:eastAsia="es-ES"/>
        </w:rPr>
      </w:pPr>
    </w:p>
    <w:p w14:paraId="4343BF68" w14:textId="6467DDC6"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i/>
          <w:iCs/>
          <w:kern w:val="0"/>
          <w:sz w:val="20"/>
          <w:lang w:val="es-ES_tradnl" w:eastAsia="en-US"/>
        </w:rPr>
      </w:pPr>
      <w:r w:rsidRPr="00B975C0">
        <w:rPr>
          <w:rFonts w:ascii="Cambria" w:eastAsia="Calibri" w:hAnsi="Cambria" w:cs="Arial"/>
          <w:i/>
          <w:iCs/>
          <w:caps/>
          <w:kern w:val="0"/>
          <w:sz w:val="20"/>
          <w:lang w:val="es-ES_tradnl" w:eastAsia="en-US"/>
        </w:rPr>
        <w:t>Recordando también</w:t>
      </w:r>
      <w:r w:rsidRPr="00B975C0">
        <w:rPr>
          <w:rFonts w:ascii="Cambria" w:eastAsia="Calibri" w:hAnsi="Cambria" w:cs="Arial"/>
          <w:kern w:val="0"/>
          <w:sz w:val="20"/>
          <w:lang w:val="es-ES_tradnl" w:eastAsia="en-US"/>
        </w:rPr>
        <w:t xml:space="preserve"> que ICCAT adoptó en su reunión de 1994 una </w:t>
      </w:r>
      <w:r w:rsidRPr="00B975C0">
        <w:rPr>
          <w:rFonts w:ascii="Cambria" w:eastAsia="Calibri" w:hAnsi="Cambria" w:cs="Arial"/>
          <w:i/>
          <w:iCs/>
          <w:kern w:val="0"/>
          <w:sz w:val="20"/>
          <w:lang w:val="es-ES_tradnl" w:eastAsia="en-US"/>
        </w:rPr>
        <w:t xml:space="preserve">Resolución de ICCAT referente al acuerdo para promover el cumplimiento de las medidas internacionales de ordenación y conservación por los buques de pesca en alta mar </w:t>
      </w:r>
      <w:r w:rsidR="00A75FAE">
        <w:rPr>
          <w:rFonts w:ascii="Cambria" w:eastAsia="Calibri" w:hAnsi="Cambria" w:cs="Arial"/>
          <w:iCs/>
          <w:kern w:val="0"/>
          <w:sz w:val="20"/>
          <w:lang w:val="es-ES_tradnl" w:eastAsia="en-US"/>
        </w:rPr>
        <w:t>(</w:t>
      </w:r>
      <w:r w:rsidRPr="00B975C0">
        <w:rPr>
          <w:rFonts w:ascii="Cambria" w:eastAsia="Calibri" w:hAnsi="Cambria" w:cs="Arial"/>
          <w:iCs/>
          <w:kern w:val="0"/>
          <w:sz w:val="20"/>
          <w:lang w:val="es-ES_tradnl" w:eastAsia="en-US"/>
        </w:rPr>
        <w:t>Res. 94-08</w:t>
      </w:r>
      <w:r w:rsidR="00A75FAE">
        <w:rPr>
          <w:rFonts w:ascii="Cambria" w:eastAsia="Calibri" w:hAnsi="Cambria" w:cs="Arial"/>
          <w:iCs/>
          <w:kern w:val="0"/>
          <w:sz w:val="20"/>
          <w:lang w:val="es-ES_tradnl" w:eastAsia="en-US"/>
        </w:rPr>
        <w:t>)</w:t>
      </w:r>
      <w:r w:rsidRPr="00B975C0">
        <w:rPr>
          <w:rFonts w:ascii="Cambria" w:eastAsia="Calibri" w:hAnsi="Cambria" w:cs="Arial"/>
          <w:iCs/>
          <w:kern w:val="0"/>
          <w:sz w:val="20"/>
          <w:lang w:val="es-ES_tradnl" w:eastAsia="en-US"/>
        </w:rPr>
        <w:t>;</w:t>
      </w:r>
    </w:p>
    <w:p w14:paraId="1912CDC1"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i/>
          <w:iCs/>
          <w:kern w:val="0"/>
          <w:sz w:val="20"/>
          <w:lang w:val="es-ES_tradnl" w:eastAsia="en-US"/>
        </w:rPr>
      </w:pPr>
    </w:p>
    <w:p w14:paraId="016C17D8"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r w:rsidRPr="00B975C0">
        <w:rPr>
          <w:rFonts w:ascii="Cambria" w:eastAsia="Calibri" w:hAnsi="Cambria" w:cs="Arial"/>
          <w:i/>
          <w:iCs/>
          <w:kern w:val="0"/>
          <w:sz w:val="20"/>
          <w:lang w:val="es-ES_tradnl" w:eastAsia="en-US"/>
        </w:rPr>
        <w:t xml:space="preserve">RECORDANDO TAMBIÉN </w:t>
      </w:r>
      <w:r w:rsidRPr="00B975C0">
        <w:rPr>
          <w:rFonts w:ascii="Cambria" w:eastAsia="Calibri" w:hAnsi="Cambria" w:cs="Arial"/>
          <w:kern w:val="0"/>
          <w:sz w:val="20"/>
          <w:lang w:val="es-ES_tradnl" w:eastAsia="en-US"/>
        </w:rPr>
        <w:t>que la Comisión ha emprendido varias medidas para prevenir, desalentar y eliminar</w:t>
      </w:r>
      <w:r w:rsidRPr="00B975C0">
        <w:rPr>
          <w:rFonts w:ascii="Cambria" w:eastAsia="Calibri" w:hAnsi="Cambria" w:cs="Arial"/>
          <w:i/>
          <w:iCs/>
          <w:kern w:val="0"/>
          <w:sz w:val="20"/>
          <w:lang w:val="es-ES_tradnl" w:eastAsia="en-US"/>
        </w:rPr>
        <w:t xml:space="preserve"> </w:t>
      </w:r>
      <w:r w:rsidRPr="00B975C0">
        <w:rPr>
          <w:rFonts w:ascii="Cambria" w:eastAsia="Calibri" w:hAnsi="Cambria" w:cs="Arial"/>
          <w:kern w:val="0"/>
          <w:sz w:val="20"/>
          <w:lang w:val="es-ES_tradnl" w:eastAsia="en-US"/>
        </w:rPr>
        <w:t>las actividades de pesca ilegal, no declarada y no reglamentada</w:t>
      </w:r>
      <w:r w:rsidRPr="00B975C0">
        <w:rPr>
          <w:rFonts w:ascii="Cambria" w:eastAsia="Calibri" w:hAnsi="Cambria" w:cs="Arial"/>
          <w:bCs/>
          <w:kern w:val="0"/>
          <w:sz w:val="20"/>
          <w:lang w:val="es-ES_tradnl" w:eastAsia="en-US"/>
        </w:rPr>
        <w:t xml:space="preserve"> </w:t>
      </w:r>
      <w:r w:rsidRPr="00B975C0">
        <w:rPr>
          <w:rFonts w:ascii="Cambria" w:eastAsia="Calibri" w:hAnsi="Cambria" w:cs="Arial"/>
          <w:kern w:val="0"/>
          <w:sz w:val="20"/>
          <w:lang w:val="es-ES_tradnl" w:eastAsia="en-US"/>
        </w:rPr>
        <w:t>(IUU) realizadas por grandes buques atuneros;</w:t>
      </w:r>
    </w:p>
    <w:p w14:paraId="2ADB6BD2"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p>
    <w:p w14:paraId="3EC43387"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r w:rsidRPr="00B975C0">
        <w:rPr>
          <w:rFonts w:ascii="Cambria" w:eastAsia="Calibri" w:hAnsi="Cambria" w:cs="Arial"/>
          <w:i/>
          <w:caps/>
          <w:kern w:val="0"/>
          <w:sz w:val="20"/>
          <w:lang w:val="es-ES_tradnl" w:eastAsia="en-US"/>
        </w:rPr>
        <w:t>Constatando</w:t>
      </w:r>
      <w:r w:rsidRPr="00B975C0">
        <w:rPr>
          <w:rFonts w:ascii="Cambria" w:eastAsia="Calibri" w:hAnsi="Cambria" w:cs="Arial"/>
          <w:kern w:val="0"/>
          <w:sz w:val="20"/>
          <w:lang w:val="es-ES_tradnl" w:eastAsia="en-US"/>
        </w:rPr>
        <w:t xml:space="preserve"> que los grandes buques de pesca tienen una gran movilidad y pueden cambiar fácilmente de caladeros de un océano a otro, y tienen un alto potencial para operar en la zona del Convenio sin un registro oportuno de la Comisión;</w:t>
      </w:r>
    </w:p>
    <w:p w14:paraId="07F99807"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p>
    <w:p w14:paraId="0D49F566"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r w:rsidRPr="00B975C0">
        <w:rPr>
          <w:rFonts w:ascii="Cambria" w:eastAsia="Calibri" w:hAnsi="Cambria" w:cs="Arial"/>
          <w:i/>
          <w:iCs/>
          <w:kern w:val="0"/>
          <w:sz w:val="20"/>
          <w:lang w:val="es-ES_tradnl" w:eastAsia="en-US"/>
        </w:rPr>
        <w:t>RECORDANDO</w:t>
      </w:r>
      <w:r w:rsidRPr="00B975C0">
        <w:rPr>
          <w:rFonts w:ascii="Cambria" w:eastAsia="Calibri" w:hAnsi="Cambria" w:cs="Arial"/>
          <w:kern w:val="0"/>
          <w:sz w:val="20"/>
          <w:lang w:val="es-ES_tradnl" w:eastAsia="en-US"/>
        </w:rPr>
        <w:t xml:space="preserve"> que el Consejo de la FAO adoptó el 23 de junio de 2001 un Plan de Acción Internacional (PAI) encaminado a prevenir, desalentar y eliminar la pesca ilegal, no declarada y no reglamentada, y que este plan estipula que las organizaciones regionales de ordenación pesquera (OROP) deben tomar medidas para reforzar y desarrollar modos innovadores, de conformidad con la legislación internacional, para impedir, desalentar y eliminar la pesca  IUU y, en particular, establecer registros de los buques autorizados y registros de los buques que realizan actividades de pesca IUU;</w:t>
      </w:r>
    </w:p>
    <w:p w14:paraId="69580E03"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p>
    <w:p w14:paraId="721E7FA0"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r w:rsidRPr="00B975C0">
        <w:rPr>
          <w:rFonts w:ascii="Cambria" w:eastAsia="Calibri" w:hAnsi="Cambria" w:cs="Arial"/>
          <w:i/>
          <w:kern w:val="0"/>
          <w:sz w:val="20"/>
          <w:lang w:val="es-ES_tradnl" w:eastAsia="en-US"/>
        </w:rPr>
        <w:t>RECORDANDO</w:t>
      </w:r>
      <w:r w:rsidRPr="00B975C0">
        <w:rPr>
          <w:rFonts w:ascii="Cambria" w:eastAsia="Calibri" w:hAnsi="Cambria" w:cs="Arial"/>
          <w:kern w:val="0"/>
          <w:sz w:val="20"/>
          <w:lang w:val="es-ES_tradnl" w:eastAsia="en-US"/>
        </w:rPr>
        <w:t xml:space="preserve"> </w:t>
      </w:r>
      <w:r w:rsidRPr="00B975C0">
        <w:rPr>
          <w:rFonts w:ascii="Cambria" w:eastAsia="Calibri" w:hAnsi="Cambria" w:cs="Arial"/>
          <w:i/>
          <w:kern w:val="0"/>
          <w:sz w:val="20"/>
          <w:lang w:val="es-ES_tradnl" w:eastAsia="en-US"/>
        </w:rPr>
        <w:t>TAMBIÉN</w:t>
      </w:r>
      <w:r w:rsidRPr="00B975C0">
        <w:rPr>
          <w:rFonts w:ascii="Cambria" w:eastAsia="Calibri" w:hAnsi="Cambria" w:cs="Arial"/>
          <w:kern w:val="0"/>
          <w:sz w:val="20"/>
          <w:lang w:val="es-ES_tradnl" w:eastAsia="en-US"/>
        </w:rPr>
        <w:t xml:space="preserve"> que la Comisión estableció, en 2002, un Registro ICCAT de buques con una eslora total de 24 m o superior y que, posteriormente, en 2009, amplió la lista para incluir todos los buques con una eslora total de 20 m o superior;</w:t>
      </w:r>
    </w:p>
    <w:p w14:paraId="1713049B"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p>
    <w:p w14:paraId="4FA45BF0" w14:textId="78E24AAC"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r w:rsidRPr="00B975C0">
        <w:rPr>
          <w:rFonts w:ascii="Cambria" w:eastAsia="Calibri" w:hAnsi="Cambria" w:cs="Arial"/>
          <w:i/>
          <w:kern w:val="0"/>
          <w:sz w:val="20"/>
          <w:lang w:val="es-ES_tradnl" w:eastAsia="en-US"/>
        </w:rPr>
        <w:t>OBSERVANDO ADEMÁS</w:t>
      </w:r>
      <w:r w:rsidRPr="00B975C0">
        <w:rPr>
          <w:rFonts w:ascii="Cambria" w:eastAsia="Calibri" w:hAnsi="Cambria" w:cs="Arial"/>
          <w:kern w:val="0"/>
          <w:sz w:val="20"/>
          <w:lang w:val="es-ES_tradnl" w:eastAsia="en-US"/>
        </w:rPr>
        <w:t xml:space="preserve"> que, en su 92ª reunión, el Comité de Seguridad Marítima de la Organización Marítima Internacional (OMI) aprobó enmiendas al Sistema de números de identificación de buques de la OMI que eliminan la exclusión de los buques únicamente dedicados a la pesca y que serán consideradas para su adopción final por la Asamblea de la OMI en su 28ª reunión en noviembre de 2013;</w:t>
      </w:r>
    </w:p>
    <w:p w14:paraId="1C57A05F" w14:textId="68B027F6"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p>
    <w:p w14:paraId="48FA0533" w14:textId="0CEDC49A" w:rsidR="005F62FF" w:rsidRPr="00E57712"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lang w:val="es-ES_tradnl" w:eastAsia="en-US"/>
        </w:rPr>
      </w:pPr>
      <w:r w:rsidRPr="00E57712">
        <w:rPr>
          <w:rFonts w:ascii="Cambria" w:eastAsia="Calibri" w:hAnsi="Cambria" w:cs="Arial"/>
          <w:i/>
          <w:iCs/>
          <w:kern w:val="0"/>
          <w:sz w:val="20"/>
          <w:lang w:val="es-ES_tradnl" w:eastAsia="en-US"/>
        </w:rPr>
        <w:t>RECONOCIENDO</w:t>
      </w:r>
      <w:r w:rsidRPr="00E57712">
        <w:rPr>
          <w:rFonts w:ascii="Cambria" w:eastAsia="Calibri" w:hAnsi="Cambria" w:cs="Arial"/>
          <w:kern w:val="0"/>
          <w:sz w:val="20"/>
          <w:lang w:val="es-ES_tradnl" w:eastAsia="en-US"/>
        </w:rPr>
        <w:t xml:space="preserve"> que en 2017 la Organización Marítima Internacional </w:t>
      </w:r>
      <w:r w:rsidR="00710168" w:rsidRPr="00E57712">
        <w:rPr>
          <w:rFonts w:ascii="Cambria" w:eastAsia="Calibri" w:hAnsi="Cambria" w:cs="Arial"/>
          <w:kern w:val="0"/>
          <w:sz w:val="20"/>
          <w:lang w:val="es-ES_tradnl" w:eastAsia="en-US"/>
        </w:rPr>
        <w:t>(OMI)</w:t>
      </w:r>
      <w:r w:rsidR="00B16496" w:rsidRPr="00E57712">
        <w:rPr>
          <w:rFonts w:ascii="Cambria" w:eastAsia="Calibri" w:hAnsi="Cambria" w:cs="Arial"/>
          <w:kern w:val="0"/>
          <w:sz w:val="20"/>
          <w:lang w:val="es-ES_tradnl" w:eastAsia="en-US"/>
        </w:rPr>
        <w:t xml:space="preserve"> </w:t>
      </w:r>
      <w:r w:rsidRPr="00E57712">
        <w:rPr>
          <w:rFonts w:ascii="Cambria" w:eastAsia="Calibri" w:hAnsi="Cambria" w:cs="Arial"/>
          <w:kern w:val="0"/>
          <w:sz w:val="20"/>
          <w:lang w:val="es-ES_tradnl" w:eastAsia="en-US"/>
        </w:rPr>
        <w:t xml:space="preserve">adoptó la Resolución A.1117(30), ampliando los criterios de elegibilidad del </w:t>
      </w:r>
      <w:r w:rsidR="00710168" w:rsidRPr="00E57712">
        <w:rPr>
          <w:rFonts w:ascii="Cambria" w:eastAsia="Calibri" w:hAnsi="Cambria" w:cs="Arial"/>
          <w:kern w:val="0"/>
          <w:sz w:val="20"/>
          <w:lang w:val="es-ES_tradnl" w:eastAsia="en-US"/>
        </w:rPr>
        <w:t xml:space="preserve">número </w:t>
      </w:r>
      <w:r w:rsidRPr="00E57712">
        <w:rPr>
          <w:rFonts w:ascii="Cambria" w:eastAsia="Calibri" w:hAnsi="Cambria" w:cs="Arial"/>
          <w:kern w:val="0"/>
          <w:sz w:val="20"/>
          <w:lang w:val="es-ES_tradnl" w:eastAsia="en-US"/>
        </w:rPr>
        <w:t xml:space="preserve">OMI a todos los buques pesqueros con motores intraborda, incluidos los de madera, con </w:t>
      </w:r>
      <w:r w:rsidR="008C0995" w:rsidRPr="00E57712">
        <w:rPr>
          <w:rFonts w:ascii="Cambria" w:eastAsia="Calibri" w:hAnsi="Cambria" w:cs="Arial"/>
          <w:kern w:val="0"/>
          <w:sz w:val="20"/>
          <w:lang w:val="es-ES_tradnl" w:eastAsia="en-US"/>
        </w:rPr>
        <w:t>una eslora total</w:t>
      </w:r>
      <w:r w:rsidRPr="00E57712">
        <w:rPr>
          <w:rFonts w:ascii="Cambria" w:eastAsia="Calibri" w:hAnsi="Cambria" w:cs="Arial"/>
          <w:kern w:val="0"/>
          <w:sz w:val="20"/>
          <w:lang w:val="es-ES_tradnl" w:eastAsia="en-US"/>
        </w:rPr>
        <w:t xml:space="preserve"> de 12 m como mínimo autorizados a operar fuera de las aguas bajo jurisdicción nacional del Estado de pabellón.</w:t>
      </w:r>
    </w:p>
    <w:p w14:paraId="6F67F7C7" w14:textId="77777777" w:rsidR="005F62FF" w:rsidRPr="00E57712"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lang w:val="es-ES_tradnl" w:eastAsia="en-US"/>
        </w:rPr>
      </w:pPr>
    </w:p>
    <w:p w14:paraId="02997539" w14:textId="3058E312" w:rsidR="005F62FF"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lang w:val="es-ES_tradnl" w:eastAsia="en-US"/>
        </w:rPr>
      </w:pPr>
      <w:r w:rsidRPr="00E57712">
        <w:rPr>
          <w:rFonts w:ascii="Cambria" w:eastAsia="Calibri" w:hAnsi="Cambria" w:cs="Arial"/>
          <w:kern w:val="0"/>
          <w:sz w:val="20"/>
          <w:lang w:val="es-ES_tradnl" w:eastAsia="en-US"/>
        </w:rPr>
        <w:tab/>
      </w:r>
      <w:r w:rsidRPr="00E57712">
        <w:rPr>
          <w:rFonts w:ascii="Cambria" w:eastAsia="Calibri" w:hAnsi="Cambria" w:cs="Arial"/>
          <w:i/>
          <w:kern w:val="0"/>
          <w:sz w:val="20"/>
          <w:lang w:val="es-ES_tradnl" w:eastAsia="en-US"/>
        </w:rPr>
        <w:t>RECONOCIENDO</w:t>
      </w:r>
      <w:r w:rsidRPr="00E57712">
        <w:rPr>
          <w:rFonts w:ascii="Cambria" w:eastAsia="Calibri" w:hAnsi="Cambria" w:cs="Arial"/>
          <w:kern w:val="0"/>
          <w:sz w:val="20"/>
          <w:lang w:val="es-ES_tradnl" w:eastAsia="en-US"/>
        </w:rPr>
        <w:t xml:space="preserve"> la utilidad y practicidad de utilizar números OMI como identificadores únicos de los buques (UVI) para los buques de pesca; </w:t>
      </w:r>
    </w:p>
    <w:p w14:paraId="5D0BFE35" w14:textId="77777777" w:rsidR="005D4224" w:rsidRPr="00E57712" w:rsidRDefault="005D4224"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lang w:val="es-ES_tradnl" w:eastAsia="en-US"/>
        </w:rPr>
      </w:pPr>
    </w:p>
    <w:p w14:paraId="5432BCC9" w14:textId="77777777" w:rsidR="005F62FF" w:rsidRPr="00E57712"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lang w:val="es-ES_tradnl" w:eastAsia="en-US"/>
        </w:rPr>
      </w:pPr>
    </w:p>
    <w:p w14:paraId="398143E3" w14:textId="77777777" w:rsidR="005F62FF" w:rsidRPr="00E57712"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lang w:val="es-ES_tradnl" w:eastAsia="en-US"/>
        </w:rPr>
      </w:pPr>
      <w:bookmarkStart w:id="0" w:name="_Hlk89089810"/>
      <w:r w:rsidRPr="00E57712">
        <w:rPr>
          <w:rFonts w:ascii="Cambria" w:eastAsia="Calibri" w:hAnsi="Cambria" w:cs="Arial"/>
          <w:kern w:val="0"/>
          <w:sz w:val="20"/>
          <w:lang w:val="es-ES_tradnl" w:eastAsia="en-US"/>
        </w:rPr>
        <w:t xml:space="preserve">LA COMISIÓN INTERNACIONAL PARA LA CONSERVACIÓN DEL ATÚN ATLÁNTICO (ICCAT) </w:t>
      </w:r>
    </w:p>
    <w:p w14:paraId="2F163647" w14:textId="77777777" w:rsidR="005F62FF" w:rsidRPr="00E57712"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lang w:val="es-ES_tradnl" w:eastAsia="en-US"/>
        </w:rPr>
      </w:pPr>
      <w:r w:rsidRPr="00E57712">
        <w:rPr>
          <w:rFonts w:ascii="Cambria" w:eastAsia="Calibri" w:hAnsi="Cambria" w:cs="Arial"/>
          <w:kern w:val="0"/>
          <w:sz w:val="20"/>
          <w:lang w:val="es-ES_tradnl" w:eastAsia="en-US"/>
        </w:rPr>
        <w:t>RECOMIENDA LO SIGUIENTE:</w:t>
      </w:r>
    </w:p>
    <w:bookmarkEnd w:id="0"/>
    <w:p w14:paraId="022D2155" w14:textId="77777777" w:rsidR="005F62FF" w:rsidRPr="00E57712"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lang w:val="es-ES_tradnl" w:eastAsia="en-US"/>
        </w:rPr>
      </w:pPr>
    </w:p>
    <w:p w14:paraId="18645DB3" w14:textId="4F507DA4" w:rsidR="005F62FF" w:rsidRPr="00E57712" w:rsidRDefault="005F62FF" w:rsidP="005F62FF">
      <w:pPr>
        <w:widowControl/>
        <w:numPr>
          <w:ilvl w:val="2"/>
          <w:numId w:val="38"/>
        </w:numPr>
        <w:tabs>
          <w:tab w:val="left" w:pos="-934"/>
          <w:tab w:val="left" w:pos="-720"/>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16"/>
          <w:lang w:val="es-ES_tradnl" w:eastAsia="es-ES"/>
        </w:rPr>
      </w:pPr>
      <w:r w:rsidRPr="00E57712">
        <w:rPr>
          <w:rFonts w:ascii="Cambria" w:eastAsia="Calibri" w:hAnsi="Cambria" w:cs="Arial"/>
          <w:kern w:val="0"/>
          <w:sz w:val="20"/>
          <w:szCs w:val="16"/>
          <w:lang w:val="es-ES_tradnl" w:eastAsia="es-ES"/>
        </w:rPr>
        <w:t xml:space="preserve">La Comisión establecerá y mantendrá un registro ICCAT de buques de pesca con una eslora total de 20 m o superior (denominados en lo sucesivo “grandes buques pesqueros” o “GBP”) con autorización para pescar túnidos y especies afines en la zona del Convenio. A efectos de esta Recomendación, se considerará que los GBP que no estén incluidos en el registro no estarán </w:t>
      </w:r>
      <w:proofErr w:type="gramStart"/>
      <w:r w:rsidRPr="00E57712">
        <w:rPr>
          <w:rFonts w:ascii="Cambria" w:eastAsia="Calibri" w:hAnsi="Cambria" w:cs="Arial"/>
          <w:kern w:val="0"/>
          <w:sz w:val="20"/>
          <w:szCs w:val="16"/>
          <w:lang w:val="es-ES_tradnl" w:eastAsia="es-ES"/>
        </w:rPr>
        <w:t>autorizados</w:t>
      </w:r>
      <w:proofErr w:type="gramEnd"/>
      <w:r w:rsidRPr="00E57712">
        <w:rPr>
          <w:rFonts w:ascii="Cambria" w:eastAsia="Calibri" w:hAnsi="Cambria" w:cs="Arial"/>
          <w:kern w:val="0"/>
          <w:sz w:val="20"/>
          <w:szCs w:val="16"/>
          <w:lang w:val="es-ES_tradnl" w:eastAsia="es-ES"/>
        </w:rPr>
        <w:t xml:space="preserve"> a pescar, retener a bordo, transbordar o desembarcar túnidos y especies afines</w:t>
      </w:r>
      <w:r w:rsidR="00B16496" w:rsidRPr="00E57712">
        <w:rPr>
          <w:rFonts w:ascii="Cambria" w:eastAsia="Calibri" w:hAnsi="Cambria" w:cs="Arial"/>
          <w:kern w:val="0"/>
          <w:sz w:val="20"/>
          <w:szCs w:val="16"/>
          <w:lang w:val="es-ES_tradnl" w:eastAsia="es-ES"/>
        </w:rPr>
        <w:t xml:space="preserve"> o especies capturadas en asociación con estas especies</w:t>
      </w:r>
      <w:r w:rsidRPr="00E57712">
        <w:rPr>
          <w:rFonts w:ascii="Cambria" w:eastAsia="Calibri" w:hAnsi="Cambria" w:cs="Arial"/>
          <w:kern w:val="0"/>
          <w:sz w:val="20"/>
          <w:szCs w:val="16"/>
          <w:lang w:val="es-ES_tradnl" w:eastAsia="es-ES"/>
        </w:rPr>
        <w:t>.</w:t>
      </w:r>
    </w:p>
    <w:p w14:paraId="5D6B48C3" w14:textId="77777777" w:rsidR="005F62FF" w:rsidRPr="00E57712"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lang w:val="es-ES_tradnl" w:eastAsia="en-US"/>
        </w:rPr>
      </w:pPr>
    </w:p>
    <w:p w14:paraId="77D33C2D" w14:textId="10D46E30" w:rsidR="005F62FF" w:rsidRPr="00B975C0" w:rsidRDefault="005F62FF" w:rsidP="005F62FF">
      <w:pPr>
        <w:widowControl/>
        <w:numPr>
          <w:ilvl w:val="2"/>
          <w:numId w:val="38"/>
        </w:numPr>
        <w:tabs>
          <w:tab w:val="left" w:pos="-934"/>
          <w:tab w:val="left" w:pos="-720"/>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16"/>
          <w:lang w:val="es-ES_tradnl" w:eastAsia="es-ES"/>
        </w:rPr>
      </w:pPr>
      <w:r w:rsidRPr="00B975C0">
        <w:rPr>
          <w:rFonts w:ascii="Cambria" w:eastAsia="Calibri" w:hAnsi="Cambria" w:cs="Arial"/>
          <w:kern w:val="0"/>
          <w:sz w:val="20"/>
          <w:szCs w:val="16"/>
          <w:lang w:val="es-ES_tradnl" w:eastAsia="es-ES"/>
        </w:rPr>
        <w:lastRenderedPageBreak/>
        <w:t xml:space="preserve">Cada CPC presentará al </w:t>
      </w:r>
      <w:r w:rsidR="00B16496" w:rsidRPr="00B975C0">
        <w:rPr>
          <w:rFonts w:ascii="Cambria" w:eastAsia="Calibri" w:hAnsi="Cambria" w:cs="Arial"/>
          <w:kern w:val="0"/>
          <w:sz w:val="20"/>
          <w:szCs w:val="16"/>
          <w:lang w:val="es-ES_tradnl" w:eastAsia="es-ES"/>
        </w:rPr>
        <w:t xml:space="preserve">secretario </w:t>
      </w:r>
      <w:r w:rsidR="00B16496">
        <w:rPr>
          <w:rFonts w:ascii="Cambria" w:eastAsia="Calibri" w:hAnsi="Cambria" w:cs="Arial"/>
          <w:kern w:val="0"/>
          <w:sz w:val="20"/>
          <w:szCs w:val="16"/>
          <w:lang w:val="es-ES_tradnl" w:eastAsia="es-ES"/>
        </w:rPr>
        <w:t>e</w:t>
      </w:r>
      <w:r w:rsidRPr="00B975C0">
        <w:rPr>
          <w:rFonts w:ascii="Cambria" w:eastAsia="Calibri" w:hAnsi="Cambria" w:cs="Arial"/>
          <w:kern w:val="0"/>
          <w:sz w:val="20"/>
          <w:szCs w:val="16"/>
          <w:lang w:val="es-ES_tradnl" w:eastAsia="es-ES"/>
        </w:rPr>
        <w:t xml:space="preserve">jecutivo de ICCAT, la lista de sus GBP con autorización para operar en la zona del Convenio. La lista inicial y cualquier cambio ulterior se presentarán por medios electrónicos y en un formato facilitado por la Secretaría. La lista deberá incluir la siguiente información: </w:t>
      </w:r>
    </w:p>
    <w:p w14:paraId="7DB8744B"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lang w:val="es-ES_tradnl" w:eastAsia="en-US"/>
        </w:rPr>
      </w:pPr>
    </w:p>
    <w:p w14:paraId="28525B75"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Nombre del buque, número de registro</w:t>
      </w:r>
    </w:p>
    <w:p w14:paraId="7A8B54DE" w14:textId="7C05510A"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Número OMI o LR</w:t>
      </w:r>
      <w:r w:rsidR="00B16496" w:rsidRPr="001407EB">
        <w:rPr>
          <w:rStyle w:val="FootnoteReference"/>
          <w:rFonts w:ascii="Cambria" w:eastAsia="Calibri" w:hAnsi="Cambria" w:cs="Arial"/>
          <w:kern w:val="0"/>
          <w:sz w:val="20"/>
          <w:lang w:val="es-ES_tradnl" w:eastAsia="en-US"/>
        </w:rPr>
        <w:footnoteReference w:id="1"/>
      </w:r>
      <w:r w:rsidRPr="001407EB">
        <w:rPr>
          <w:rFonts w:ascii="Cambria" w:eastAsia="Calibri" w:hAnsi="Cambria" w:cs="Arial"/>
          <w:kern w:val="0"/>
          <w:sz w:val="20"/>
          <w:lang w:val="es-ES_tradnl" w:eastAsia="en-US"/>
        </w:rPr>
        <w:t xml:space="preserve"> </w:t>
      </w:r>
    </w:p>
    <w:p w14:paraId="4E43BFC9"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Nombre anterior (si procede)</w:t>
      </w:r>
    </w:p>
    <w:p w14:paraId="182154AB"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Pabellón anterior (si procede)</w:t>
      </w:r>
    </w:p>
    <w:p w14:paraId="51B9E502"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Detalles anteriores de eliminación de otros registros (si procede)</w:t>
      </w:r>
    </w:p>
    <w:p w14:paraId="6393631A"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Indicativo internacional de radio (si procede)</w:t>
      </w:r>
    </w:p>
    <w:p w14:paraId="284DD36F"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Tipo de buque, eslora y tonelaje de registro bruto (TRB) o, cuando sea posible, arqueo bruto (TB)</w:t>
      </w:r>
    </w:p>
    <w:p w14:paraId="4CB50DE2"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Nombre y dirección del (los) armador(es) y operador(es)</w:t>
      </w:r>
    </w:p>
    <w:p w14:paraId="58E278A8" w14:textId="77777777" w:rsidR="005F62FF" w:rsidRPr="001407EB"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Arte de pesca utilizado</w:t>
      </w:r>
    </w:p>
    <w:p w14:paraId="033BB1E8" w14:textId="148AFAAA" w:rsidR="005F62FF" w:rsidRPr="00B975C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jc w:val="both"/>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 xml:space="preserve">Período en el que está autorizado a pescar y/o transbordar. Sin embargo, en ningún caso el periodo de autorización incluirá fechas anteriores en más de </w:t>
      </w:r>
      <w:r w:rsidR="00A46BF5" w:rsidRPr="001407EB">
        <w:rPr>
          <w:rFonts w:ascii="Cambria" w:eastAsia="Calibri" w:hAnsi="Cambria" w:cs="Arial"/>
          <w:kern w:val="0"/>
          <w:sz w:val="20"/>
          <w:lang w:val="es-ES_tradnl" w:eastAsia="en-US"/>
        </w:rPr>
        <w:t>45</w:t>
      </w:r>
      <w:r w:rsidRPr="001407EB">
        <w:rPr>
          <w:rFonts w:ascii="Cambria" w:eastAsia="Calibri" w:hAnsi="Cambria" w:cs="Arial"/>
          <w:kern w:val="0"/>
          <w:sz w:val="20"/>
          <w:lang w:val="es-ES_tradnl" w:eastAsia="en-US"/>
        </w:rPr>
        <w:t xml:space="preserve"> días a la fecha de presentación de la lista a la Secretaría.</w:t>
      </w:r>
    </w:p>
    <w:p w14:paraId="2424C1D6" w14:textId="77777777" w:rsidR="005F62FF" w:rsidRPr="00B975C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lang w:val="es-ES_tradnl" w:eastAsia="en-US"/>
        </w:rPr>
      </w:pPr>
    </w:p>
    <w:p w14:paraId="312CFD32" w14:textId="77777777" w:rsidR="005F62FF" w:rsidRPr="00B975C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ab/>
        <w:t xml:space="preserve">El registro ICCAT estará compuesto por todos los GBP presentados con arreglo a este párrafo. </w:t>
      </w:r>
    </w:p>
    <w:p w14:paraId="25FA3877" w14:textId="77777777" w:rsidR="005F62FF" w:rsidRPr="00B975C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lang w:val="es-ES_tradnl" w:eastAsia="en-US"/>
        </w:rPr>
      </w:pPr>
    </w:p>
    <w:p w14:paraId="0B54E3C8" w14:textId="4060BA62" w:rsidR="005F62FF" w:rsidRPr="00B975C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3</w:t>
      </w:r>
      <w:r w:rsidR="00B16496"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t xml:space="preserve">Cada CPC notificará inmediatamente al </w:t>
      </w:r>
      <w:r w:rsidR="00B16496" w:rsidRPr="001407EB">
        <w:rPr>
          <w:rFonts w:ascii="Cambria" w:eastAsia="Calibri" w:hAnsi="Cambria" w:cs="Arial"/>
          <w:kern w:val="0"/>
          <w:sz w:val="20"/>
          <w:lang w:val="es-ES_tradnl" w:eastAsia="en-US"/>
        </w:rPr>
        <w:t>secretario e</w:t>
      </w:r>
      <w:r w:rsidRPr="001407EB">
        <w:rPr>
          <w:rFonts w:ascii="Cambria" w:eastAsia="Calibri" w:hAnsi="Cambria" w:cs="Arial"/>
          <w:kern w:val="0"/>
          <w:sz w:val="20"/>
          <w:lang w:val="es-ES_tradnl" w:eastAsia="en-US"/>
        </w:rPr>
        <w:t xml:space="preserve">jecutivo de ICCAT cualquier incorporación, eliminación y/o modificación del registro de ICCAT en el momento en que se produzcan dichos cambios. Los periodos de autorización de las modificaciones o incorporaciones a la lista no incluirán fechas anteriores en más de </w:t>
      </w:r>
      <w:r w:rsidR="00A46BF5" w:rsidRPr="001407EB">
        <w:rPr>
          <w:rFonts w:ascii="Cambria" w:eastAsia="Calibri" w:hAnsi="Cambria" w:cs="Arial"/>
          <w:kern w:val="0"/>
          <w:sz w:val="20"/>
          <w:lang w:val="es-ES_tradnl" w:eastAsia="en-US"/>
        </w:rPr>
        <w:t>45</w:t>
      </w:r>
      <w:r w:rsidRPr="001407EB">
        <w:rPr>
          <w:rFonts w:ascii="Cambria" w:eastAsia="Calibri" w:hAnsi="Cambria" w:cs="Arial"/>
          <w:kern w:val="0"/>
          <w:sz w:val="20"/>
          <w:lang w:val="es-ES_tradnl" w:eastAsia="en-US"/>
        </w:rPr>
        <w:t xml:space="preserve"> días a la fecha de la presentación de los cambios a la Secretaría. La Secretaría eliminará del Registro ICCAT de buques cualquier buque cuyo periodo de autorización haya expirado.</w:t>
      </w:r>
    </w:p>
    <w:p w14:paraId="52B32C1F"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lang w:val="es-ES_tradnl" w:eastAsia="en-US"/>
        </w:rPr>
      </w:pPr>
    </w:p>
    <w:p w14:paraId="3EB09181" w14:textId="7CCECC11" w:rsidR="005F62FF" w:rsidRPr="00B975C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4</w:t>
      </w:r>
      <w:r w:rsidR="00B16496">
        <w:rPr>
          <w:rFonts w:ascii="Cambria" w:eastAsia="Calibri" w:hAnsi="Cambria" w:cs="Arial"/>
          <w:kern w:val="0"/>
          <w:sz w:val="20"/>
          <w:lang w:val="es-ES_tradnl" w:eastAsia="en-US"/>
        </w:rPr>
        <w:t>.</w:t>
      </w:r>
      <w:r w:rsidRPr="00B975C0">
        <w:rPr>
          <w:rFonts w:ascii="Cambria" w:eastAsia="Calibri" w:hAnsi="Cambria" w:cs="Arial"/>
          <w:kern w:val="0"/>
          <w:sz w:val="20"/>
          <w:lang w:val="es-ES_tradnl" w:eastAsia="en-US"/>
        </w:rPr>
        <w:tab/>
        <w:t xml:space="preserve">El </w:t>
      </w:r>
      <w:r w:rsidR="00B16496" w:rsidRPr="00B975C0">
        <w:rPr>
          <w:rFonts w:ascii="Cambria" w:eastAsia="Calibri" w:hAnsi="Cambria" w:cs="Arial"/>
          <w:kern w:val="0"/>
          <w:sz w:val="20"/>
          <w:lang w:val="es-ES_tradnl" w:eastAsia="en-US"/>
        </w:rPr>
        <w:t xml:space="preserve">secretario ejecutivo </w:t>
      </w:r>
      <w:r w:rsidRPr="00B975C0">
        <w:rPr>
          <w:rFonts w:ascii="Cambria" w:eastAsia="Calibri" w:hAnsi="Cambria" w:cs="Arial"/>
          <w:kern w:val="0"/>
          <w:sz w:val="20"/>
          <w:lang w:val="es-ES_tradnl" w:eastAsia="en-US"/>
        </w:rPr>
        <w:t xml:space="preserve">de ICCAT mantendrá el registro de ICCAT y adoptará cualquier medida necesaria para garantizar la difusión pública y disponibilidad del registro a través de medios electrónicos, lo que incluye su </w:t>
      </w:r>
      <w:r w:rsidR="009C2F0A">
        <w:rPr>
          <w:rFonts w:ascii="Cambria" w:eastAsia="Calibri" w:hAnsi="Cambria" w:cs="Arial"/>
          <w:kern w:val="0"/>
          <w:sz w:val="20"/>
          <w:lang w:val="es-ES_tradnl" w:eastAsia="en-US"/>
        </w:rPr>
        <w:t>publicación</w:t>
      </w:r>
      <w:r w:rsidRPr="00B975C0">
        <w:rPr>
          <w:rFonts w:ascii="Cambria" w:eastAsia="Calibri" w:hAnsi="Cambria" w:cs="Arial"/>
          <w:kern w:val="0"/>
          <w:sz w:val="20"/>
          <w:lang w:val="es-ES_tradnl" w:eastAsia="en-US"/>
        </w:rPr>
        <w:t xml:space="preserve"> en la página web de ICCAT, de un modo consecuente con los requisitos de confidencialidad señalados por las CPC.</w:t>
      </w:r>
    </w:p>
    <w:p w14:paraId="16CADF74"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lang w:val="es-ES_tradnl" w:eastAsia="en-US"/>
        </w:rPr>
      </w:pPr>
    </w:p>
    <w:p w14:paraId="7FEB1398" w14:textId="30C2524A" w:rsidR="005F62FF" w:rsidRPr="00B975C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60" w:hanging="36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5</w:t>
      </w:r>
      <w:r w:rsidR="00B16496">
        <w:rPr>
          <w:rFonts w:ascii="Cambria" w:eastAsia="Calibri" w:hAnsi="Cambria" w:cs="Arial"/>
          <w:kern w:val="0"/>
          <w:sz w:val="20"/>
          <w:lang w:val="es-ES_tradnl" w:eastAsia="en-US"/>
        </w:rPr>
        <w:t>.</w:t>
      </w:r>
      <w:r w:rsidRPr="00B975C0">
        <w:rPr>
          <w:rFonts w:ascii="Cambria" w:eastAsia="Calibri" w:hAnsi="Cambria" w:cs="Arial"/>
          <w:kern w:val="0"/>
          <w:sz w:val="20"/>
          <w:lang w:val="es-ES_tradnl" w:eastAsia="en-US"/>
        </w:rPr>
        <w:tab/>
        <w:t>Las CPC del pabellón de los buques del registro:</w:t>
      </w:r>
    </w:p>
    <w:p w14:paraId="785B9FBB"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lang w:val="es-ES_tradnl" w:eastAsia="en-US"/>
        </w:rPr>
      </w:pPr>
    </w:p>
    <w:p w14:paraId="6E0BD054" w14:textId="3542D113" w:rsidR="005F62FF" w:rsidRPr="00B975C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a)</w:t>
      </w:r>
      <w:r w:rsidRPr="00B975C0">
        <w:rPr>
          <w:rFonts w:ascii="Cambria" w:eastAsia="Calibri" w:hAnsi="Cambria" w:cs="Arial"/>
          <w:kern w:val="0"/>
          <w:sz w:val="20"/>
          <w:lang w:val="es-ES_tradnl" w:eastAsia="en-US"/>
        </w:rPr>
        <w:tab/>
        <w:t>sólo autorizarán a sus GBP a operar en la zona del Convenio si están capacitad</w:t>
      </w:r>
      <w:r w:rsidR="009C2F0A">
        <w:rPr>
          <w:rFonts w:ascii="Cambria" w:eastAsia="Calibri" w:hAnsi="Cambria" w:cs="Arial"/>
          <w:kern w:val="0"/>
          <w:sz w:val="20"/>
          <w:lang w:val="es-ES_tradnl" w:eastAsia="en-US"/>
        </w:rPr>
        <w:t>a</w:t>
      </w:r>
      <w:r w:rsidRPr="00B975C0">
        <w:rPr>
          <w:rFonts w:ascii="Cambria" w:eastAsia="Calibri" w:hAnsi="Cambria" w:cs="Arial"/>
          <w:kern w:val="0"/>
          <w:sz w:val="20"/>
          <w:lang w:val="es-ES_tradnl" w:eastAsia="en-US"/>
        </w:rPr>
        <w:t>s para cumplir en relación con dichos buques los requisitos y responsabilidades establecidos con arreglo al Convenio y sus medidas de conservación y ordenación</w:t>
      </w:r>
      <w:r w:rsidR="009C2F0A">
        <w:rPr>
          <w:rFonts w:ascii="Cambria" w:eastAsia="Calibri" w:hAnsi="Cambria" w:cs="Arial"/>
          <w:kern w:val="0"/>
          <w:sz w:val="20"/>
          <w:lang w:val="es-ES_tradnl" w:eastAsia="en-US"/>
        </w:rPr>
        <w:t>;</w:t>
      </w:r>
    </w:p>
    <w:p w14:paraId="5644090C" w14:textId="57937EA3" w:rsidR="005F62FF" w:rsidRPr="00B975C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b)</w:t>
      </w:r>
      <w:r w:rsidRPr="00B975C0">
        <w:rPr>
          <w:rFonts w:ascii="Cambria" w:eastAsia="Calibri" w:hAnsi="Cambria" w:cs="Arial"/>
          <w:kern w:val="0"/>
          <w:sz w:val="20"/>
          <w:lang w:val="es-ES_tradnl" w:eastAsia="en-US"/>
        </w:rPr>
        <w:tab/>
        <w:t>adoptarán las medidas necesarias para garantizar que sus GBP cumplen todas las medidas de conservación y ordenación pertinentes de ICCAT</w:t>
      </w:r>
      <w:r w:rsidR="009C2F0A">
        <w:rPr>
          <w:rFonts w:ascii="Cambria" w:eastAsia="Calibri" w:hAnsi="Cambria" w:cs="Arial"/>
          <w:kern w:val="0"/>
          <w:sz w:val="20"/>
          <w:lang w:val="es-ES_tradnl" w:eastAsia="en-US"/>
        </w:rPr>
        <w:t>;</w:t>
      </w:r>
    </w:p>
    <w:p w14:paraId="0B1BE5CF" w14:textId="2950BFC0" w:rsidR="005F62FF" w:rsidRPr="00B975C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c)</w:t>
      </w:r>
      <w:r w:rsidRPr="00B975C0">
        <w:rPr>
          <w:rFonts w:ascii="Cambria" w:eastAsia="Calibri" w:hAnsi="Cambria" w:cs="Arial"/>
          <w:kern w:val="0"/>
          <w:sz w:val="20"/>
          <w:lang w:val="es-ES_tradnl" w:eastAsia="en-US"/>
        </w:rPr>
        <w:tab/>
        <w:t>adoptarán las medidas necesarias para garantizar que sus GBP incluidos en el registro de ICCAT llevan a bordo certificados válidos del registro del buque y una autorización válida para pescar y/o transbordar</w:t>
      </w:r>
      <w:r w:rsidR="009C2F0A">
        <w:rPr>
          <w:rFonts w:ascii="Cambria" w:eastAsia="Calibri" w:hAnsi="Cambria" w:cs="Arial"/>
          <w:kern w:val="0"/>
          <w:sz w:val="20"/>
          <w:lang w:val="es-ES_tradnl" w:eastAsia="en-US"/>
        </w:rPr>
        <w:t>;</w:t>
      </w:r>
    </w:p>
    <w:p w14:paraId="484BDE83" w14:textId="4267A1A7" w:rsidR="005F62FF" w:rsidRPr="00B975C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 xml:space="preserve">d) </w:t>
      </w:r>
      <w:r w:rsidRPr="00B975C0">
        <w:rPr>
          <w:rFonts w:ascii="Cambria" w:eastAsia="Calibri" w:hAnsi="Cambria" w:cs="Arial"/>
          <w:kern w:val="0"/>
          <w:sz w:val="20"/>
          <w:lang w:val="es-ES_tradnl" w:eastAsia="en-US"/>
        </w:rPr>
        <w:tab/>
        <w:t xml:space="preserve">se asegurarán de que sus GBP incluidos en el registro de ICCAT no tienen antecedentes de pesca IUU o, si los tienen, se asegurarán de que los nuevos armadores proporcionan pruebas suficientes que demuestran que los anteriores armadores y operadores no se benefician, ni tienen interés legal o financiero alguno en dichos buques y que no ejercen ningún tipo de control sobre los mismos, o bien que, teniendo en cuenta todos los hechos pertinentes, sus GBP no realizan ni están asociados con actividades </w:t>
      </w:r>
      <w:r w:rsidR="009C2F0A">
        <w:rPr>
          <w:rFonts w:ascii="Cambria" w:eastAsia="Calibri" w:hAnsi="Cambria" w:cs="Arial"/>
          <w:kern w:val="0"/>
          <w:sz w:val="20"/>
          <w:lang w:val="es-ES_tradnl" w:eastAsia="en-US"/>
        </w:rPr>
        <w:t xml:space="preserve">de pesca </w:t>
      </w:r>
      <w:r w:rsidRPr="00B975C0">
        <w:rPr>
          <w:rFonts w:ascii="Cambria" w:eastAsia="Calibri" w:hAnsi="Cambria" w:cs="Arial"/>
          <w:kern w:val="0"/>
          <w:sz w:val="20"/>
          <w:lang w:val="es-ES_tradnl" w:eastAsia="en-US"/>
        </w:rPr>
        <w:t>IUU</w:t>
      </w:r>
      <w:r w:rsidR="009C2F0A">
        <w:rPr>
          <w:rFonts w:ascii="Cambria" w:eastAsia="Calibri" w:hAnsi="Cambria" w:cs="Arial"/>
          <w:kern w:val="0"/>
          <w:sz w:val="20"/>
          <w:lang w:val="es-ES_tradnl" w:eastAsia="en-US"/>
        </w:rPr>
        <w:t>;</w:t>
      </w:r>
    </w:p>
    <w:p w14:paraId="21A416CB" w14:textId="57A7AD91" w:rsidR="005F62FF" w:rsidRPr="00B975C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0" w:hanging="24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e)</w:t>
      </w:r>
      <w:r w:rsidRPr="00B975C0">
        <w:rPr>
          <w:rFonts w:ascii="Cambria" w:eastAsia="Calibri" w:hAnsi="Cambria" w:cs="Arial"/>
          <w:kern w:val="0"/>
          <w:sz w:val="20"/>
          <w:lang w:val="es-ES_tradnl" w:eastAsia="en-US"/>
        </w:rPr>
        <w:tab/>
        <w:t>garantizarán, en la medida de lo posible y de conformidad con la legislación nacional, que los armadores y operadores de sus GBP incluidos en el registro de ICCAT no emprenden ni están asociados con actividades de pesca de túnidos realizadas por GBP no incluidos en el registro de ICCAT en la zona del Convenio y</w:t>
      </w:r>
    </w:p>
    <w:p w14:paraId="2F0B1D00" w14:textId="4D88F189" w:rsidR="005F62FF" w:rsidRPr="00B975C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f)</w:t>
      </w:r>
      <w:r w:rsidRPr="00B975C0">
        <w:rPr>
          <w:rFonts w:ascii="Cambria" w:eastAsia="Calibri" w:hAnsi="Cambria" w:cs="Arial"/>
          <w:kern w:val="0"/>
          <w:sz w:val="20"/>
          <w:lang w:val="es-ES_tradnl" w:eastAsia="en-US"/>
        </w:rPr>
        <w:tab/>
        <w:t xml:space="preserve">tomarán las medidas necesarias para garantizar, en la medida de lo posible y de conformidad con sus leyes internas, que los </w:t>
      </w:r>
      <w:r w:rsidR="00AA01E3">
        <w:rPr>
          <w:rFonts w:ascii="Cambria" w:eastAsia="Calibri" w:hAnsi="Cambria" w:cs="Arial"/>
          <w:kern w:val="0"/>
          <w:sz w:val="20"/>
          <w:lang w:val="es-ES_tradnl" w:eastAsia="en-US"/>
        </w:rPr>
        <w:t>armadores</w:t>
      </w:r>
      <w:r w:rsidRPr="00B975C0">
        <w:rPr>
          <w:rFonts w:ascii="Cambria" w:eastAsia="Calibri" w:hAnsi="Cambria" w:cs="Arial"/>
          <w:kern w:val="0"/>
          <w:sz w:val="20"/>
          <w:lang w:val="es-ES_tradnl" w:eastAsia="en-US"/>
        </w:rPr>
        <w:t xml:space="preserve"> de GBP incluidos en el registro de ICCAT son ciudadanos o entidades legales situadas en el territorio de las CPC del pabellón, de tal modo que puedan emprenderse en relación con las mismas actividades de control o acciones punitivas.</w:t>
      </w:r>
    </w:p>
    <w:p w14:paraId="586445C4"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lang w:val="es-ES_tradnl" w:eastAsia="en-US"/>
        </w:rPr>
      </w:pPr>
    </w:p>
    <w:p w14:paraId="19D555F5" w14:textId="452F3E7F" w:rsidR="005F62FF" w:rsidRPr="00B975C0"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lang w:val="es-ES_tradnl" w:eastAsia="en-US"/>
        </w:rPr>
      </w:pPr>
      <w:r>
        <w:rPr>
          <w:rFonts w:ascii="Cambria" w:eastAsia="Calibri" w:hAnsi="Cambria" w:cs="Arial"/>
          <w:kern w:val="0"/>
          <w:sz w:val="20"/>
          <w:lang w:val="es-ES_tradnl" w:eastAsia="en-US"/>
        </w:rPr>
        <w:t>6.</w:t>
      </w:r>
      <w:r w:rsidR="005F62FF" w:rsidRPr="00B975C0">
        <w:rPr>
          <w:rFonts w:ascii="Cambria" w:eastAsia="Calibri" w:hAnsi="Cambria" w:cs="Arial"/>
          <w:kern w:val="0"/>
          <w:sz w:val="20"/>
          <w:lang w:val="es-ES_tradnl" w:eastAsia="en-US"/>
        </w:rPr>
        <w:tab/>
      </w:r>
      <w:r w:rsidRPr="001407EB">
        <w:rPr>
          <w:rFonts w:ascii="Cambria" w:eastAsia="Calibri" w:hAnsi="Cambria" w:cs="Arial"/>
          <w:kern w:val="0"/>
          <w:sz w:val="20"/>
          <w:lang w:val="es-ES_tradnl" w:eastAsia="en-US"/>
        </w:rPr>
        <w:t>L</w:t>
      </w:r>
      <w:r w:rsidR="005F62FF" w:rsidRPr="001407EB">
        <w:rPr>
          <w:rFonts w:ascii="Cambria" w:eastAsia="Calibri" w:hAnsi="Cambria" w:cs="Arial"/>
          <w:kern w:val="0"/>
          <w:sz w:val="20"/>
          <w:lang w:val="es-ES_tradnl" w:eastAsia="en-US"/>
        </w:rPr>
        <w:t>as</w:t>
      </w:r>
      <w:r w:rsidR="005F62FF" w:rsidRPr="00B975C0">
        <w:rPr>
          <w:rFonts w:ascii="Cambria" w:eastAsia="Calibri" w:hAnsi="Cambria" w:cs="Arial"/>
          <w:kern w:val="0"/>
          <w:sz w:val="20"/>
          <w:lang w:val="es-ES_tradnl" w:eastAsia="en-US"/>
        </w:rPr>
        <w:t xml:space="preserve"> CPC del pabellón autorizarán a sus grandes buques pesqueros (GBP) comerciales a operar en la zona del Convenio solo si dichos buques cuentan con un número OMI o un número con la secuencia de </w:t>
      </w:r>
      <w:r w:rsidR="005F62FF" w:rsidRPr="00B975C0">
        <w:rPr>
          <w:rFonts w:ascii="Cambria" w:eastAsia="Calibri" w:hAnsi="Cambria" w:cs="Arial"/>
          <w:kern w:val="0"/>
          <w:sz w:val="20"/>
          <w:lang w:val="es-ES_tradnl" w:eastAsia="en-US"/>
        </w:rPr>
        <w:lastRenderedPageBreak/>
        <w:t>siete cifras asignado por IHS-</w:t>
      </w:r>
      <w:proofErr w:type="spellStart"/>
      <w:r w:rsidR="005F62FF" w:rsidRPr="00B975C0">
        <w:rPr>
          <w:rFonts w:ascii="Cambria" w:eastAsia="Calibri" w:hAnsi="Cambria" w:cs="Arial"/>
          <w:kern w:val="0"/>
          <w:sz w:val="20"/>
          <w:lang w:val="es-ES_tradnl" w:eastAsia="en-US"/>
        </w:rPr>
        <w:t>Fairplay</w:t>
      </w:r>
      <w:proofErr w:type="spellEnd"/>
      <w:r w:rsidR="005F62FF" w:rsidRPr="00B975C0">
        <w:rPr>
          <w:rFonts w:ascii="Cambria" w:eastAsia="Calibri" w:hAnsi="Cambria" w:cs="Arial"/>
          <w:kern w:val="0"/>
          <w:sz w:val="20"/>
          <w:lang w:val="es-ES_tradnl" w:eastAsia="en-US"/>
        </w:rPr>
        <w:t xml:space="preserve"> (número LR), según proceda. Los buques que no cuenten con este número no estarán incluidos en el Registro ICCAT.</w:t>
      </w:r>
    </w:p>
    <w:p w14:paraId="284F651B" w14:textId="170EFA27" w:rsidR="005F62FF"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lang w:val="es-ES_tradnl" w:eastAsia="en-US"/>
        </w:rPr>
      </w:pPr>
    </w:p>
    <w:p w14:paraId="08E69321" w14:textId="6170ADC2" w:rsidR="005F62FF"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lang w:val="es-ES_tradnl" w:eastAsia="en-US"/>
        </w:rPr>
      </w:pPr>
      <w:r>
        <w:rPr>
          <w:rFonts w:ascii="Cambria" w:eastAsia="Calibri" w:hAnsi="Cambria" w:cs="Arial"/>
          <w:kern w:val="0"/>
          <w:sz w:val="20"/>
          <w:lang w:val="es-ES_tradnl" w:eastAsia="en-US"/>
        </w:rPr>
        <w:t>7.</w:t>
      </w:r>
      <w:r>
        <w:rPr>
          <w:rFonts w:ascii="Cambria" w:eastAsia="Calibri" w:hAnsi="Cambria" w:cs="Arial"/>
          <w:kern w:val="0"/>
          <w:sz w:val="20"/>
          <w:lang w:val="es-ES_tradnl" w:eastAsia="en-US"/>
        </w:rPr>
        <w:tab/>
      </w:r>
      <w:r w:rsidR="005F62FF" w:rsidRPr="001407EB">
        <w:rPr>
          <w:rFonts w:ascii="Cambria" w:eastAsia="Calibri" w:hAnsi="Cambria" w:cs="Arial"/>
          <w:kern w:val="0"/>
          <w:sz w:val="20"/>
          <w:lang w:val="es-ES_tradnl" w:eastAsia="en-US"/>
        </w:rPr>
        <w:t xml:space="preserve">El párrafo </w:t>
      </w:r>
      <w:r w:rsidRPr="001407EB">
        <w:rPr>
          <w:rFonts w:ascii="Cambria" w:eastAsia="Calibri" w:hAnsi="Cambria" w:cs="Arial"/>
          <w:kern w:val="0"/>
          <w:sz w:val="20"/>
          <w:lang w:val="es-ES_tradnl" w:eastAsia="en-US"/>
        </w:rPr>
        <w:t xml:space="preserve">6 </w:t>
      </w:r>
      <w:r w:rsidR="005F62FF" w:rsidRPr="001407EB">
        <w:rPr>
          <w:rFonts w:ascii="Cambria" w:eastAsia="Calibri" w:hAnsi="Cambria" w:cs="Arial"/>
          <w:kern w:val="0"/>
          <w:sz w:val="20"/>
          <w:lang w:val="es-ES_tradnl" w:eastAsia="en-US"/>
        </w:rPr>
        <w:t>no se</w:t>
      </w:r>
      <w:r w:rsidR="005F62FF" w:rsidRPr="00B975C0">
        <w:rPr>
          <w:rFonts w:ascii="Cambria" w:eastAsia="Calibri" w:hAnsi="Cambria" w:cs="Arial"/>
          <w:kern w:val="0"/>
          <w:sz w:val="20"/>
          <w:lang w:val="es-ES_tradnl" w:eastAsia="en-US"/>
        </w:rPr>
        <w:t xml:space="preserve"> aplicará a:</w:t>
      </w:r>
    </w:p>
    <w:p w14:paraId="3AC6D0A1" w14:textId="77777777" w:rsidR="009C2F0A" w:rsidRPr="00B975C0" w:rsidRDefault="009C2F0A"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lang w:val="es-ES_tradnl" w:eastAsia="en-US"/>
        </w:rPr>
      </w:pPr>
    </w:p>
    <w:p w14:paraId="7505F258" w14:textId="53104904" w:rsidR="005F62FF" w:rsidRPr="00B975C0" w:rsidRDefault="005F62FF" w:rsidP="001407EB">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851" w:hanging="425"/>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 xml:space="preserve">a) </w:t>
      </w:r>
      <w:r w:rsidRPr="00B975C0">
        <w:rPr>
          <w:rFonts w:ascii="Cambria" w:eastAsia="Calibri" w:hAnsi="Cambria" w:cs="Arial"/>
          <w:kern w:val="0"/>
          <w:sz w:val="20"/>
          <w:lang w:val="es-ES_tradnl" w:eastAsia="en-US"/>
        </w:rPr>
        <w:tab/>
        <w:t>los GBP que no puedan obtener un número OMI/LR, siempre que la CPC del pabellón facilite una explicación de su incapacidad para obtener un número OMI/LR en el envío de la información establecida en el párrafo 2</w:t>
      </w:r>
      <w:r w:rsidR="00AA01E3">
        <w:rPr>
          <w:rFonts w:ascii="Cambria" w:eastAsia="Calibri" w:hAnsi="Cambria" w:cs="Arial"/>
          <w:kern w:val="0"/>
          <w:sz w:val="20"/>
          <w:lang w:val="es-ES_tradnl" w:eastAsia="en-US"/>
        </w:rPr>
        <w:t>;</w:t>
      </w:r>
    </w:p>
    <w:p w14:paraId="002F2351" w14:textId="0CF56A3D" w:rsidR="005F62FF" w:rsidRDefault="005F62FF" w:rsidP="00AA01E3">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851" w:hanging="425"/>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b)</w:t>
      </w:r>
      <w:r w:rsidRPr="00B975C0">
        <w:rPr>
          <w:rFonts w:ascii="Cambria" w:eastAsia="Calibri" w:hAnsi="Cambria" w:cs="Arial"/>
          <w:kern w:val="0"/>
          <w:sz w:val="20"/>
          <w:lang w:val="es-ES_tradnl" w:eastAsia="en-US"/>
        </w:rPr>
        <w:tab/>
        <w:t xml:space="preserve">los GBP de madera que no estén autorizados a pescar en alta mar, siempre que la CPC del pabellón notifique a la Secretaría los GBP a los que está aplicando esta exención en el envío de la información establecida en el párrafo 2. </w:t>
      </w:r>
    </w:p>
    <w:p w14:paraId="1389BBF7" w14:textId="77777777" w:rsidR="009C2F0A" w:rsidRDefault="009C2F0A"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lang w:val="es-ES_tradnl" w:eastAsia="en-US"/>
        </w:rPr>
      </w:pPr>
    </w:p>
    <w:p w14:paraId="2B6A8BF4" w14:textId="783E9291" w:rsidR="005F62FF" w:rsidRPr="00B975C0" w:rsidRDefault="00B16496"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lang w:val="es-ES_tradnl" w:eastAsia="en-US"/>
        </w:rPr>
      </w:pPr>
      <w:r>
        <w:rPr>
          <w:rFonts w:ascii="Cambria" w:eastAsia="Calibri" w:hAnsi="Cambria" w:cs="Arial"/>
          <w:kern w:val="0"/>
          <w:sz w:val="20"/>
          <w:lang w:val="es-ES_tradnl" w:eastAsia="en-US"/>
        </w:rPr>
        <w:t>8.</w:t>
      </w:r>
      <w:r w:rsidR="005F62FF" w:rsidRPr="00B975C0">
        <w:rPr>
          <w:rFonts w:ascii="Cambria" w:eastAsia="Calibri" w:hAnsi="Cambria" w:cs="Arial"/>
          <w:kern w:val="0"/>
          <w:sz w:val="20"/>
          <w:lang w:val="es-ES_tradnl" w:eastAsia="en-US"/>
        </w:rPr>
        <w:t xml:space="preserve"> </w:t>
      </w:r>
      <w:r w:rsidR="005F62FF" w:rsidRPr="00B975C0">
        <w:rPr>
          <w:rFonts w:ascii="Cambria" w:eastAsia="Calibri" w:hAnsi="Cambria" w:cs="Arial"/>
          <w:kern w:val="0"/>
          <w:sz w:val="20"/>
          <w:lang w:val="es-ES_tradnl" w:eastAsia="en-US"/>
        </w:rPr>
        <w:tab/>
        <w:t>Las CPC revisarán sus propias acciones y medidas internas adoptadas con arreglo al párrafo 5, lo que incluye acciones sancionadoras y punitivas, de conformidad con la legislación nacional en lo que se refiere a su divulgación, y comunicarán cualquier resultado pertinente de la revisión a la Comisión en su reunión anual. Al considerar cualquier informe de las CPC sobre los resultados pertinentes de dichas revisiones, la Comisión solicitará, cuando sea pertinente, a la CPC de pabellón de los GBP incluidos en el registro de ICCAT que emprenda acciones adicionales para mejorar el cumplimiento por parte de dichos buques de las medidas de conservación y ordenación de ICCAT.</w:t>
      </w:r>
    </w:p>
    <w:p w14:paraId="3187EBF4"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lang w:val="es-ES_tradnl" w:eastAsia="en-US"/>
        </w:rPr>
      </w:pPr>
    </w:p>
    <w:p w14:paraId="4673CF79" w14:textId="5D5DB28A" w:rsidR="005F62FF" w:rsidRPr="001407EB" w:rsidRDefault="00B16496" w:rsidP="005F62FF">
      <w:pPr>
        <w:widowControl/>
        <w:tabs>
          <w:tab w:val="left" w:pos="-934"/>
          <w:tab w:val="left" w:pos="-720"/>
          <w:tab w:val="left" w:pos="36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600"/>
        <w:jc w:val="both"/>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9.</w:t>
      </w:r>
      <w:r w:rsidR="005F62FF" w:rsidRPr="001407EB">
        <w:rPr>
          <w:rFonts w:ascii="Cambria" w:eastAsia="Calibri" w:hAnsi="Cambria" w:cs="Arial"/>
          <w:kern w:val="0"/>
          <w:sz w:val="20"/>
          <w:lang w:val="es-ES_tradnl" w:eastAsia="en-US"/>
        </w:rPr>
        <w:t xml:space="preserve"> </w:t>
      </w:r>
      <w:r w:rsidR="005F62FF" w:rsidRPr="001407EB">
        <w:rPr>
          <w:rFonts w:ascii="Cambria" w:eastAsia="Calibri" w:hAnsi="Cambria" w:cs="Arial"/>
          <w:kern w:val="0"/>
          <w:sz w:val="20"/>
          <w:lang w:val="es-ES_tradnl" w:eastAsia="en-US"/>
        </w:rPr>
        <w:tab/>
        <w:t xml:space="preserve">a) </w:t>
      </w:r>
      <w:r w:rsidR="005F62FF" w:rsidRPr="001407EB">
        <w:rPr>
          <w:rFonts w:ascii="Cambria" w:eastAsia="Calibri" w:hAnsi="Cambria" w:cs="Arial"/>
          <w:kern w:val="0"/>
          <w:sz w:val="20"/>
          <w:lang w:val="es-ES_tradnl" w:eastAsia="en-US"/>
        </w:rPr>
        <w:tab/>
        <w:t xml:space="preserve">Las CPC adoptarán medidas, con arreglo a su legislación aplicable, para prohibir la pesca, la retención a bordo, el transbordo y </w:t>
      </w:r>
      <w:r w:rsidR="00AA01E3">
        <w:rPr>
          <w:rFonts w:ascii="Cambria" w:eastAsia="Calibri" w:hAnsi="Cambria" w:cs="Arial"/>
          <w:kern w:val="0"/>
          <w:sz w:val="20"/>
          <w:lang w:val="es-ES_tradnl" w:eastAsia="en-US"/>
        </w:rPr>
        <w:t xml:space="preserve">el </w:t>
      </w:r>
      <w:r w:rsidR="005F62FF" w:rsidRPr="001407EB">
        <w:rPr>
          <w:rFonts w:ascii="Cambria" w:eastAsia="Calibri" w:hAnsi="Cambria" w:cs="Arial"/>
          <w:kern w:val="0"/>
          <w:sz w:val="20"/>
          <w:lang w:val="es-ES_tradnl" w:eastAsia="en-US"/>
        </w:rPr>
        <w:t>desembarque de túnidos y especies afines</w:t>
      </w:r>
      <w:r w:rsidRPr="001407EB">
        <w:rPr>
          <w:rFonts w:ascii="Cambria" w:eastAsia="Calibri" w:hAnsi="Cambria" w:cs="Arial"/>
          <w:kern w:val="0"/>
          <w:sz w:val="20"/>
          <w:lang w:val="es-ES_tradnl" w:eastAsia="en-US"/>
        </w:rPr>
        <w:t xml:space="preserve"> y especies capturadas en asociación con estas especies</w:t>
      </w:r>
      <w:r w:rsidR="005F62FF" w:rsidRPr="001407EB">
        <w:rPr>
          <w:rFonts w:ascii="Cambria" w:eastAsia="Calibri" w:hAnsi="Cambria" w:cs="Arial"/>
          <w:kern w:val="0"/>
          <w:sz w:val="20"/>
          <w:lang w:val="es-ES_tradnl" w:eastAsia="en-US"/>
        </w:rPr>
        <w:t xml:space="preserve"> por parte de los GBP no incluidos en el registro de ICCAT.</w:t>
      </w:r>
    </w:p>
    <w:p w14:paraId="63EB3B02" w14:textId="77777777" w:rsidR="005F62FF" w:rsidRPr="001407EB"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lang w:val="es-ES_tradnl" w:eastAsia="en-US"/>
        </w:rPr>
      </w:pPr>
    </w:p>
    <w:p w14:paraId="5243A4B3" w14:textId="34D097C0" w:rsidR="005F62FF" w:rsidRPr="001407EB"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 xml:space="preserve">b) Para garantizar la eficacia de las medidas de conservación y ordenación de ICCAT relacionadas con las especies cubiertas por los Programas de </w:t>
      </w:r>
      <w:r w:rsidR="00AA01E3">
        <w:rPr>
          <w:rFonts w:ascii="Cambria" w:eastAsia="Calibri" w:hAnsi="Cambria" w:cs="Arial"/>
          <w:kern w:val="0"/>
          <w:sz w:val="20"/>
          <w:lang w:val="es-ES_tradnl" w:eastAsia="en-US"/>
        </w:rPr>
        <w:t>d</w:t>
      </w:r>
      <w:r w:rsidRPr="001407EB">
        <w:rPr>
          <w:rFonts w:ascii="Cambria" w:eastAsia="Calibri" w:hAnsi="Cambria" w:cs="Arial"/>
          <w:kern w:val="0"/>
          <w:sz w:val="20"/>
          <w:lang w:val="es-ES_tradnl" w:eastAsia="en-US"/>
        </w:rPr>
        <w:t xml:space="preserve">ocumento </w:t>
      </w:r>
      <w:r w:rsidR="00AA01E3">
        <w:rPr>
          <w:rFonts w:ascii="Cambria" w:eastAsia="Calibri" w:hAnsi="Cambria" w:cs="Arial"/>
          <w:kern w:val="0"/>
          <w:sz w:val="20"/>
          <w:lang w:val="es-ES_tradnl" w:eastAsia="en-US"/>
        </w:rPr>
        <w:t>e</w:t>
      </w:r>
      <w:r w:rsidRPr="001407EB">
        <w:rPr>
          <w:rFonts w:ascii="Cambria" w:eastAsia="Calibri" w:hAnsi="Cambria" w:cs="Arial"/>
          <w:kern w:val="0"/>
          <w:sz w:val="20"/>
          <w:lang w:val="es-ES_tradnl" w:eastAsia="en-US"/>
        </w:rPr>
        <w:t>stadístico:</w:t>
      </w:r>
    </w:p>
    <w:p w14:paraId="0812533A" w14:textId="77777777" w:rsidR="005F62FF" w:rsidRPr="001407EB"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lang w:val="es-ES_tradnl" w:eastAsia="en-US"/>
        </w:rPr>
      </w:pPr>
    </w:p>
    <w:p w14:paraId="420F96A3" w14:textId="462C4F64" w:rsidR="005F62FF" w:rsidRPr="001407EB"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 xml:space="preserve">i) </w:t>
      </w:r>
      <w:r w:rsidRPr="001407EB">
        <w:rPr>
          <w:rFonts w:ascii="Cambria" w:eastAsia="Calibri" w:hAnsi="Cambria" w:cs="Arial"/>
          <w:kern w:val="0"/>
          <w:sz w:val="20"/>
          <w:lang w:val="es-ES_tradnl" w:eastAsia="en-US"/>
        </w:rPr>
        <w:tab/>
      </w:r>
      <w:r w:rsidR="00AA01E3">
        <w:rPr>
          <w:rFonts w:ascii="Cambria" w:eastAsia="Calibri" w:hAnsi="Cambria" w:cs="Arial"/>
          <w:kern w:val="0"/>
          <w:sz w:val="20"/>
          <w:lang w:val="es-ES_tradnl" w:eastAsia="en-US"/>
        </w:rPr>
        <w:t>l</w:t>
      </w:r>
      <w:r w:rsidRPr="001407EB">
        <w:rPr>
          <w:rFonts w:ascii="Cambria" w:eastAsia="Calibri" w:hAnsi="Cambria" w:cs="Arial"/>
          <w:kern w:val="0"/>
          <w:sz w:val="20"/>
          <w:lang w:val="es-ES_tradnl" w:eastAsia="en-US"/>
        </w:rPr>
        <w:t>as CPC del pabellón o, si el buque opera bajo un acuerdo de fletamento, la CPC exportadora, validarán los documentos estadísticos sólo para los GBP incluidos en el registro de ICCAT;</w:t>
      </w:r>
    </w:p>
    <w:p w14:paraId="4838B19D" w14:textId="783041DC" w:rsidR="005F62FF" w:rsidRPr="001407EB"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lang w:val="es-ES_tradnl" w:eastAsia="en-US"/>
        </w:rPr>
      </w:pPr>
      <w:proofErr w:type="spellStart"/>
      <w:r w:rsidRPr="001407EB">
        <w:rPr>
          <w:rFonts w:ascii="Cambria" w:eastAsia="Calibri" w:hAnsi="Cambria" w:cs="Arial"/>
          <w:kern w:val="0"/>
          <w:sz w:val="20"/>
          <w:lang w:val="es-ES_tradnl" w:eastAsia="en-US"/>
        </w:rPr>
        <w:t>ii</w:t>
      </w:r>
      <w:proofErr w:type="spellEnd"/>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r>
      <w:r w:rsidR="00AA01E3">
        <w:rPr>
          <w:rFonts w:ascii="Cambria" w:eastAsia="Calibri" w:hAnsi="Cambria" w:cs="Arial"/>
          <w:kern w:val="0"/>
          <w:sz w:val="20"/>
          <w:lang w:val="es-ES_tradnl" w:eastAsia="en-US"/>
        </w:rPr>
        <w:t>l</w:t>
      </w:r>
      <w:r w:rsidRPr="001407EB">
        <w:rPr>
          <w:rFonts w:ascii="Cambria" w:eastAsia="Calibri" w:hAnsi="Cambria" w:cs="Arial"/>
          <w:kern w:val="0"/>
          <w:sz w:val="20"/>
          <w:lang w:val="es-ES_tradnl" w:eastAsia="en-US"/>
        </w:rPr>
        <w:t xml:space="preserve">as CPC exigirán que las especies cubiertas por los Programas de </w:t>
      </w:r>
      <w:r w:rsidR="00AA01E3">
        <w:rPr>
          <w:rFonts w:ascii="Cambria" w:eastAsia="Calibri" w:hAnsi="Cambria" w:cs="Arial"/>
          <w:kern w:val="0"/>
          <w:sz w:val="20"/>
          <w:lang w:val="es-ES_tradnl" w:eastAsia="en-US"/>
        </w:rPr>
        <w:t>d</w:t>
      </w:r>
      <w:r w:rsidRPr="001407EB">
        <w:rPr>
          <w:rFonts w:ascii="Cambria" w:eastAsia="Calibri" w:hAnsi="Cambria" w:cs="Arial"/>
          <w:kern w:val="0"/>
          <w:sz w:val="20"/>
          <w:lang w:val="es-ES_tradnl" w:eastAsia="en-US"/>
        </w:rPr>
        <w:t xml:space="preserve">ocumento </w:t>
      </w:r>
      <w:r w:rsidR="00AA01E3">
        <w:rPr>
          <w:rFonts w:ascii="Cambria" w:eastAsia="Calibri" w:hAnsi="Cambria" w:cs="Arial"/>
          <w:kern w:val="0"/>
          <w:sz w:val="20"/>
          <w:lang w:val="es-ES_tradnl" w:eastAsia="en-US"/>
        </w:rPr>
        <w:t>e</w:t>
      </w:r>
      <w:r w:rsidRPr="001407EB">
        <w:rPr>
          <w:rFonts w:ascii="Cambria" w:eastAsia="Calibri" w:hAnsi="Cambria" w:cs="Arial"/>
          <w:kern w:val="0"/>
          <w:sz w:val="20"/>
          <w:lang w:val="es-ES_tradnl" w:eastAsia="en-US"/>
        </w:rPr>
        <w:t>stadístico capturadas por GBP en la zona del Convenio, cuando se importen al territorio de una Parte contratante, vayan acompañadas de los documentos estadísticos validados para los buques incluidos en el registro de ICCAT y</w:t>
      </w:r>
    </w:p>
    <w:p w14:paraId="7CA9F279" w14:textId="1A901412" w:rsidR="005F62FF" w:rsidRPr="001407EB"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lang w:val="es-ES_tradnl" w:eastAsia="en-US"/>
        </w:rPr>
      </w:pPr>
      <w:proofErr w:type="spellStart"/>
      <w:r w:rsidRPr="001407EB">
        <w:rPr>
          <w:rFonts w:ascii="Cambria" w:eastAsia="Calibri" w:hAnsi="Cambria" w:cs="Arial"/>
          <w:kern w:val="0"/>
          <w:sz w:val="20"/>
          <w:lang w:val="es-ES_tradnl" w:eastAsia="en-US"/>
        </w:rPr>
        <w:t>iii</w:t>
      </w:r>
      <w:proofErr w:type="spellEnd"/>
      <w:r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r>
      <w:r w:rsidR="00AA01E3">
        <w:rPr>
          <w:rFonts w:ascii="Cambria" w:eastAsia="Calibri" w:hAnsi="Cambria" w:cs="Arial"/>
          <w:kern w:val="0"/>
          <w:sz w:val="20"/>
          <w:lang w:val="es-ES_tradnl" w:eastAsia="en-US"/>
        </w:rPr>
        <w:t>l</w:t>
      </w:r>
      <w:r w:rsidRPr="001407EB">
        <w:rPr>
          <w:rFonts w:ascii="Cambria" w:eastAsia="Calibri" w:hAnsi="Cambria" w:cs="Arial"/>
          <w:kern w:val="0"/>
          <w:sz w:val="20"/>
          <w:lang w:val="es-ES_tradnl" w:eastAsia="en-US"/>
        </w:rPr>
        <w:t xml:space="preserve">as CPC que importen especies cubiertas por Programas de </w:t>
      </w:r>
      <w:r w:rsidR="00AA01E3">
        <w:rPr>
          <w:rFonts w:ascii="Cambria" w:eastAsia="Calibri" w:hAnsi="Cambria" w:cs="Arial"/>
          <w:kern w:val="0"/>
          <w:sz w:val="20"/>
          <w:lang w:val="es-ES_tradnl" w:eastAsia="en-US"/>
        </w:rPr>
        <w:t>d</w:t>
      </w:r>
      <w:r w:rsidRPr="001407EB">
        <w:rPr>
          <w:rFonts w:ascii="Cambria" w:eastAsia="Calibri" w:hAnsi="Cambria" w:cs="Arial"/>
          <w:kern w:val="0"/>
          <w:sz w:val="20"/>
          <w:lang w:val="es-ES_tradnl" w:eastAsia="en-US"/>
        </w:rPr>
        <w:t xml:space="preserve">ocumento </w:t>
      </w:r>
      <w:r w:rsidR="00AA01E3">
        <w:rPr>
          <w:rFonts w:ascii="Cambria" w:eastAsia="Calibri" w:hAnsi="Cambria" w:cs="Arial"/>
          <w:kern w:val="0"/>
          <w:sz w:val="20"/>
          <w:lang w:val="es-ES_tradnl" w:eastAsia="en-US"/>
        </w:rPr>
        <w:t>e</w:t>
      </w:r>
      <w:r w:rsidRPr="001407EB">
        <w:rPr>
          <w:rFonts w:ascii="Cambria" w:eastAsia="Calibri" w:hAnsi="Cambria" w:cs="Arial"/>
          <w:kern w:val="0"/>
          <w:sz w:val="20"/>
          <w:lang w:val="es-ES_tradnl" w:eastAsia="en-US"/>
        </w:rPr>
        <w:t>stadístico y los Estados de pabellón de los buques cooperarán asegurándose de que los documentos estadísticos no han sido falsificados o no contienen información errónea.</w:t>
      </w:r>
    </w:p>
    <w:p w14:paraId="1EC80DA9" w14:textId="77777777" w:rsidR="005F62FF" w:rsidRPr="001407EB"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lang w:val="es-ES_tradnl" w:eastAsia="en-US"/>
        </w:rPr>
      </w:pPr>
    </w:p>
    <w:p w14:paraId="7BC0D00D" w14:textId="2258E398" w:rsidR="005F62FF" w:rsidRPr="001407EB" w:rsidRDefault="00A46BF5"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10</w:t>
      </w:r>
      <w:r w:rsidR="00B16496" w:rsidRPr="001407EB">
        <w:rPr>
          <w:rFonts w:ascii="Cambria" w:eastAsia="Calibri" w:hAnsi="Cambria" w:cs="Arial"/>
          <w:kern w:val="0"/>
          <w:sz w:val="20"/>
          <w:lang w:val="es-ES_tradnl" w:eastAsia="en-US"/>
        </w:rPr>
        <w:t>.</w:t>
      </w:r>
      <w:r w:rsidR="005F62FF" w:rsidRPr="001407EB">
        <w:rPr>
          <w:rFonts w:ascii="Cambria" w:eastAsia="Calibri" w:hAnsi="Cambria" w:cs="Arial"/>
          <w:kern w:val="0"/>
          <w:sz w:val="20"/>
          <w:lang w:val="es-ES_tradnl" w:eastAsia="en-US"/>
        </w:rPr>
        <w:tab/>
        <w:t xml:space="preserve">Cada CPC notificará al </w:t>
      </w:r>
      <w:r w:rsidR="00B16496" w:rsidRPr="001407EB">
        <w:rPr>
          <w:rFonts w:ascii="Cambria" w:eastAsia="Calibri" w:hAnsi="Cambria" w:cs="Arial"/>
          <w:kern w:val="0"/>
          <w:sz w:val="20"/>
          <w:lang w:val="es-ES_tradnl" w:eastAsia="en-US"/>
        </w:rPr>
        <w:t>secretario e</w:t>
      </w:r>
      <w:r w:rsidR="005F62FF" w:rsidRPr="001407EB">
        <w:rPr>
          <w:rFonts w:ascii="Cambria" w:eastAsia="Calibri" w:hAnsi="Cambria" w:cs="Arial"/>
          <w:kern w:val="0"/>
          <w:sz w:val="20"/>
          <w:lang w:val="es-ES_tradnl" w:eastAsia="en-US"/>
        </w:rPr>
        <w:t xml:space="preserve">jecutivo de ICCAT cualquier información basada en hechos reales que muestre que hay motivos razonables para sospechar que un GBP no incluido en el registro de ICCAT realiza actividades de pesca y/o transbordo de túnidos y especies afines </w:t>
      </w:r>
      <w:r w:rsidRPr="001407EB">
        <w:rPr>
          <w:rFonts w:ascii="Cambria" w:eastAsia="Calibri" w:hAnsi="Cambria" w:cs="Arial"/>
          <w:kern w:val="0"/>
          <w:sz w:val="20"/>
          <w:lang w:val="es-ES_tradnl" w:eastAsia="en-US"/>
        </w:rPr>
        <w:t xml:space="preserve">y especies capturadas en asociación con estas especies </w:t>
      </w:r>
      <w:r w:rsidR="005F62FF" w:rsidRPr="001407EB">
        <w:rPr>
          <w:rFonts w:ascii="Cambria" w:eastAsia="Calibri" w:hAnsi="Cambria" w:cs="Arial"/>
          <w:kern w:val="0"/>
          <w:sz w:val="20"/>
          <w:lang w:val="es-ES_tradnl" w:eastAsia="en-US"/>
        </w:rPr>
        <w:t>en la zona del Convenio.</w:t>
      </w:r>
    </w:p>
    <w:p w14:paraId="2EFA83C0" w14:textId="77777777" w:rsidR="005F62FF" w:rsidRPr="001407EB"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60" w:hanging="840"/>
        <w:jc w:val="both"/>
        <w:rPr>
          <w:rFonts w:ascii="Cambria" w:eastAsia="Calibri" w:hAnsi="Cambria" w:cs="Arial"/>
          <w:kern w:val="0"/>
          <w:sz w:val="20"/>
          <w:lang w:val="es-ES_tradnl" w:eastAsia="en-US"/>
        </w:rPr>
      </w:pPr>
    </w:p>
    <w:p w14:paraId="5B9D2E7F" w14:textId="42F329B3" w:rsidR="005F62FF" w:rsidRPr="00B975C0" w:rsidRDefault="00A46BF5"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1" w:hanging="601"/>
        <w:jc w:val="both"/>
        <w:rPr>
          <w:rFonts w:ascii="Cambria" w:eastAsia="Calibri" w:hAnsi="Cambria" w:cs="Arial"/>
          <w:kern w:val="0"/>
          <w:sz w:val="20"/>
          <w:lang w:val="es-ES_tradnl" w:eastAsia="en-US"/>
        </w:rPr>
      </w:pPr>
      <w:r w:rsidRPr="001407EB">
        <w:rPr>
          <w:rFonts w:ascii="Cambria" w:eastAsia="Calibri" w:hAnsi="Cambria" w:cs="Arial"/>
          <w:kern w:val="0"/>
          <w:sz w:val="20"/>
          <w:lang w:val="es-ES_tradnl" w:eastAsia="en-US"/>
        </w:rPr>
        <w:t>11</w:t>
      </w:r>
      <w:r w:rsidR="00B16496" w:rsidRPr="001407EB">
        <w:rPr>
          <w:rFonts w:ascii="Cambria" w:eastAsia="Calibri" w:hAnsi="Cambria" w:cs="Arial"/>
          <w:kern w:val="0"/>
          <w:sz w:val="20"/>
          <w:lang w:val="es-ES_tradnl" w:eastAsia="en-US"/>
        </w:rPr>
        <w:t>.</w:t>
      </w:r>
      <w:r w:rsidR="005F62FF" w:rsidRPr="001407EB">
        <w:rPr>
          <w:rFonts w:ascii="Cambria" w:eastAsia="Calibri" w:hAnsi="Cambria" w:cs="Arial"/>
          <w:kern w:val="0"/>
          <w:sz w:val="20"/>
          <w:lang w:val="es-ES_tradnl" w:eastAsia="en-US"/>
        </w:rPr>
        <w:tab/>
        <w:t xml:space="preserve">a) </w:t>
      </w:r>
      <w:r w:rsidR="005F62FF" w:rsidRPr="001407EB">
        <w:rPr>
          <w:rFonts w:ascii="Cambria" w:eastAsia="Calibri" w:hAnsi="Cambria" w:cs="Arial"/>
          <w:kern w:val="0"/>
          <w:sz w:val="20"/>
          <w:lang w:val="es-ES_tradnl" w:eastAsia="en-US"/>
        </w:rPr>
        <w:tab/>
        <w:t xml:space="preserve">Si un buque mencionado en el párrafo </w:t>
      </w:r>
      <w:r w:rsidRPr="001407EB">
        <w:rPr>
          <w:rFonts w:ascii="Cambria" w:eastAsia="Calibri" w:hAnsi="Cambria" w:cs="Arial"/>
          <w:kern w:val="0"/>
          <w:sz w:val="20"/>
          <w:lang w:val="es-ES_tradnl" w:eastAsia="en-US"/>
        </w:rPr>
        <w:t>10</w:t>
      </w:r>
      <w:r w:rsidR="005F62FF" w:rsidRPr="001407EB">
        <w:rPr>
          <w:rFonts w:ascii="Cambria" w:eastAsia="Calibri" w:hAnsi="Cambria" w:cs="Arial"/>
          <w:kern w:val="0"/>
          <w:sz w:val="20"/>
          <w:lang w:val="es-ES_tradnl" w:eastAsia="en-US"/>
        </w:rPr>
        <w:t xml:space="preserve"> enarbola pabellón de una CPC, el </w:t>
      </w:r>
      <w:r w:rsidR="00B16496" w:rsidRPr="001407EB">
        <w:rPr>
          <w:rFonts w:ascii="Cambria" w:eastAsia="Calibri" w:hAnsi="Cambria" w:cs="Arial"/>
          <w:kern w:val="0"/>
          <w:sz w:val="20"/>
          <w:lang w:val="es-ES_tradnl" w:eastAsia="en-US"/>
        </w:rPr>
        <w:t>secretario ejecutivo</w:t>
      </w:r>
      <w:r w:rsidR="005F62FF" w:rsidRPr="001407EB">
        <w:rPr>
          <w:rFonts w:ascii="Cambria" w:eastAsia="Calibri" w:hAnsi="Cambria" w:cs="Arial"/>
          <w:kern w:val="0"/>
          <w:sz w:val="20"/>
          <w:lang w:val="es-ES_tradnl" w:eastAsia="en-US"/>
        </w:rPr>
        <w:t xml:space="preserve"> pedirá</w:t>
      </w:r>
      <w:r w:rsidR="005F62FF" w:rsidRPr="00B975C0">
        <w:rPr>
          <w:rFonts w:ascii="Cambria" w:eastAsia="Calibri" w:hAnsi="Cambria" w:cs="Arial"/>
          <w:kern w:val="0"/>
          <w:sz w:val="20"/>
          <w:lang w:val="es-ES_tradnl" w:eastAsia="en-US"/>
        </w:rPr>
        <w:t xml:space="preserve"> a dicha CPC que emprenda las medidas necesarias para impedir que el buque pesque túnidos y especies afines en la zona del Convenio.</w:t>
      </w:r>
    </w:p>
    <w:p w14:paraId="380D9E7F" w14:textId="0E46DB1A" w:rsidR="005F62FF" w:rsidRPr="00B975C0" w:rsidRDefault="005F62FF"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72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ab/>
        <w:t xml:space="preserve">b) </w:t>
      </w:r>
      <w:r w:rsidRPr="00B975C0">
        <w:rPr>
          <w:rFonts w:ascii="Cambria" w:eastAsia="Calibri" w:hAnsi="Cambria" w:cs="Arial"/>
          <w:kern w:val="0"/>
          <w:sz w:val="20"/>
          <w:lang w:val="es-ES_tradnl" w:eastAsia="en-US"/>
        </w:rPr>
        <w:tab/>
        <w:t xml:space="preserve">Si no puede determinarse el pabellón de un buque mencionado en el párrafo </w:t>
      </w:r>
      <w:r w:rsidR="001407EB">
        <w:rPr>
          <w:rFonts w:ascii="Cambria" w:eastAsia="Calibri" w:hAnsi="Cambria" w:cs="Arial"/>
          <w:kern w:val="0"/>
          <w:sz w:val="20"/>
          <w:lang w:val="es-ES_tradnl" w:eastAsia="en-US"/>
        </w:rPr>
        <w:t>10</w:t>
      </w:r>
      <w:r w:rsidRPr="00B975C0">
        <w:rPr>
          <w:rFonts w:ascii="Cambria" w:eastAsia="Calibri" w:hAnsi="Cambria" w:cs="Arial"/>
          <w:kern w:val="0"/>
          <w:sz w:val="20"/>
          <w:lang w:val="es-ES_tradnl" w:eastAsia="en-US"/>
        </w:rPr>
        <w:t xml:space="preserve">, o si se trata de una Parte no contratante sin estatus de colaboradora, el </w:t>
      </w:r>
      <w:r w:rsidR="00B16496" w:rsidRPr="00B975C0">
        <w:rPr>
          <w:rFonts w:ascii="Cambria" w:eastAsia="Calibri" w:hAnsi="Cambria" w:cs="Arial"/>
          <w:kern w:val="0"/>
          <w:sz w:val="20"/>
          <w:lang w:val="es-ES_tradnl" w:eastAsia="en-US"/>
        </w:rPr>
        <w:t>secretario ejecutivo</w:t>
      </w:r>
      <w:r w:rsidRPr="00B975C0">
        <w:rPr>
          <w:rFonts w:ascii="Cambria" w:eastAsia="Calibri" w:hAnsi="Cambria" w:cs="Arial"/>
          <w:kern w:val="0"/>
          <w:sz w:val="20"/>
          <w:lang w:val="es-ES_tradnl" w:eastAsia="en-US"/>
        </w:rPr>
        <w:t xml:space="preserve"> recopilará dicha información para su futura consideración por parte de la Comisión.</w:t>
      </w:r>
    </w:p>
    <w:p w14:paraId="7D86383D" w14:textId="77777777" w:rsidR="005F62FF" w:rsidRPr="00B975C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lang w:val="es-ES_tradnl" w:eastAsia="en-US"/>
        </w:rPr>
      </w:pPr>
    </w:p>
    <w:p w14:paraId="21286EA7" w14:textId="0CBF3EE0" w:rsidR="005F62FF" w:rsidRPr="00B975C0"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lang w:val="es-ES_tradnl" w:eastAsia="en-US"/>
        </w:rPr>
      </w:pPr>
      <w:r w:rsidRPr="00B975C0">
        <w:rPr>
          <w:rFonts w:ascii="Cambria" w:eastAsia="Calibri" w:hAnsi="Cambria" w:cs="Arial"/>
          <w:kern w:val="0"/>
          <w:sz w:val="20"/>
          <w:lang w:val="es-ES_tradnl" w:eastAsia="en-US"/>
        </w:rPr>
        <w:t>1</w:t>
      </w:r>
      <w:r w:rsidR="00A46BF5">
        <w:rPr>
          <w:rFonts w:ascii="Cambria" w:eastAsia="Calibri" w:hAnsi="Cambria" w:cs="Arial"/>
          <w:kern w:val="0"/>
          <w:sz w:val="20"/>
          <w:lang w:val="es-ES_tradnl" w:eastAsia="en-US"/>
        </w:rPr>
        <w:t>2</w:t>
      </w:r>
      <w:r w:rsidR="00B16496">
        <w:rPr>
          <w:rFonts w:ascii="Cambria" w:eastAsia="Calibri" w:hAnsi="Cambria" w:cs="Arial"/>
          <w:kern w:val="0"/>
          <w:sz w:val="20"/>
          <w:lang w:val="es-ES_tradnl" w:eastAsia="en-US"/>
        </w:rPr>
        <w:t>.</w:t>
      </w:r>
      <w:r w:rsidRPr="00B975C0">
        <w:rPr>
          <w:rFonts w:ascii="Cambria" w:eastAsia="Calibri" w:hAnsi="Cambria" w:cs="Arial"/>
          <w:kern w:val="0"/>
          <w:sz w:val="20"/>
          <w:lang w:val="es-ES_tradnl" w:eastAsia="en-US"/>
        </w:rPr>
        <w:t xml:space="preserve"> </w:t>
      </w:r>
      <w:r w:rsidRPr="00B975C0">
        <w:rPr>
          <w:rFonts w:ascii="Cambria" w:eastAsia="Calibri" w:hAnsi="Cambria" w:cs="Arial"/>
          <w:kern w:val="0"/>
          <w:sz w:val="20"/>
          <w:lang w:val="es-ES_tradnl" w:eastAsia="en-US"/>
        </w:rPr>
        <w:tab/>
        <w:t>La Comisión y las CPC afectadas deberán comunicarse entre ellas y hacer todo lo posible junto con la FAO y otros organismos regionales de ordenación pesquera pertinentes para desarrollar e implementar medidas apropiadas, cuando sea factible, lo que incluye el establecimiento de registros similares, de un modo oportuno, para evitar los efectos negativos en los recursos de túnidos de otros océanos. Dichos efectos negativos podrían incluir una excesiva presión por pesca provocada por un desplazamiento de los GBP IUU del Atlántico a otros océanos.</w:t>
      </w:r>
    </w:p>
    <w:p w14:paraId="2729C520" w14:textId="77777777" w:rsidR="005F62FF" w:rsidRPr="00B975C0"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lang w:val="es-ES_tradnl" w:eastAsia="en-US"/>
        </w:rPr>
      </w:pPr>
    </w:p>
    <w:p w14:paraId="3EB4F189" w14:textId="515A7854" w:rsidR="005F62FF" w:rsidRPr="001407EB"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Times New Roman" w:hAnsi="Cambria"/>
          <w:sz w:val="20"/>
          <w:szCs w:val="20"/>
          <w:lang w:val="es-ES_tradnl"/>
        </w:rPr>
      </w:pPr>
      <w:r w:rsidRPr="001407EB">
        <w:rPr>
          <w:rFonts w:ascii="Cambria" w:eastAsia="Calibri" w:hAnsi="Cambria" w:cs="Arial"/>
          <w:kern w:val="0"/>
          <w:sz w:val="20"/>
          <w:lang w:val="es-ES_tradnl" w:eastAsia="en-US"/>
        </w:rPr>
        <w:t>1</w:t>
      </w:r>
      <w:r w:rsidR="00A46BF5" w:rsidRPr="001407EB">
        <w:rPr>
          <w:rFonts w:ascii="Cambria" w:eastAsia="Calibri" w:hAnsi="Cambria" w:cs="Arial"/>
          <w:kern w:val="0"/>
          <w:sz w:val="20"/>
          <w:lang w:val="es-ES_tradnl" w:eastAsia="en-US"/>
        </w:rPr>
        <w:t>3</w:t>
      </w:r>
      <w:r w:rsidR="00B16496" w:rsidRPr="001407EB">
        <w:rPr>
          <w:rFonts w:ascii="Cambria" w:eastAsia="Calibri" w:hAnsi="Cambria" w:cs="Arial"/>
          <w:kern w:val="0"/>
          <w:sz w:val="20"/>
          <w:lang w:val="es-ES_tradnl" w:eastAsia="en-US"/>
        </w:rPr>
        <w:t>.</w:t>
      </w:r>
      <w:r w:rsidRPr="001407EB">
        <w:rPr>
          <w:rFonts w:ascii="Cambria" w:eastAsia="Calibri" w:hAnsi="Cambria" w:cs="Arial"/>
          <w:kern w:val="0"/>
          <w:sz w:val="20"/>
          <w:lang w:val="es-ES_tradnl" w:eastAsia="en-US"/>
        </w:rPr>
        <w:tab/>
      </w:r>
      <w:r w:rsidR="00A46BF5" w:rsidRPr="001407EB">
        <w:rPr>
          <w:rFonts w:ascii="Cambria" w:eastAsia="Calibri" w:hAnsi="Cambria" w:cs="Arial"/>
          <w:kern w:val="0"/>
          <w:sz w:val="20"/>
          <w:lang w:val="es-ES_tradnl" w:eastAsia="en-US"/>
        </w:rPr>
        <w:t>La</w:t>
      </w:r>
      <w:r w:rsidRPr="001407EB">
        <w:rPr>
          <w:rFonts w:ascii="Cambria" w:eastAsia="Calibri" w:hAnsi="Cambria" w:cs="Arial"/>
          <w:kern w:val="0"/>
          <w:sz w:val="20"/>
          <w:lang w:val="es-ES_tradnl" w:eastAsia="en-US"/>
        </w:rPr>
        <w:t xml:space="preserve"> </w:t>
      </w:r>
      <w:r w:rsidRPr="001407EB">
        <w:rPr>
          <w:rFonts w:ascii="Cambria" w:eastAsia="Calibri" w:hAnsi="Cambria" w:cs="Arial"/>
          <w:i/>
          <w:kern w:val="0"/>
          <w:sz w:val="20"/>
          <w:lang w:val="es-ES_tradnl" w:eastAsia="en-US"/>
        </w:rPr>
        <w:t xml:space="preserve">Recomendación de ICCAT sobre el establecimiento de un registro de ICCAT de buques con una eslora total de 20 metros o superior con autorización para operar en la zona del Convenio </w:t>
      </w:r>
      <w:r w:rsidRPr="001407EB">
        <w:rPr>
          <w:rFonts w:ascii="Cambria" w:eastAsia="Calibri" w:hAnsi="Cambria" w:cs="Arial"/>
          <w:kern w:val="0"/>
          <w:sz w:val="20"/>
          <w:lang w:val="es-ES_tradnl" w:eastAsia="en-US"/>
        </w:rPr>
        <w:t xml:space="preserve">[Rec. </w:t>
      </w:r>
      <w:r w:rsidR="009953E0" w:rsidRPr="001407EB">
        <w:rPr>
          <w:rFonts w:ascii="Cambria" w:eastAsia="Calibri" w:hAnsi="Cambria" w:cs="Arial"/>
          <w:kern w:val="0"/>
          <w:sz w:val="20"/>
          <w:lang w:val="es-ES_tradnl" w:eastAsia="en-US"/>
        </w:rPr>
        <w:t>13-13</w:t>
      </w:r>
      <w:r w:rsidRPr="001407EB">
        <w:rPr>
          <w:rFonts w:ascii="Cambria" w:eastAsia="Calibri" w:hAnsi="Cambria" w:cs="Arial"/>
          <w:kern w:val="0"/>
          <w:sz w:val="20"/>
          <w:lang w:val="es-ES_tradnl" w:eastAsia="en-US"/>
        </w:rPr>
        <w:t>]</w:t>
      </w:r>
      <w:r w:rsidR="00A46BF5" w:rsidRPr="001407EB">
        <w:rPr>
          <w:rFonts w:ascii="Cambria" w:eastAsia="Calibri" w:hAnsi="Cambria" w:cs="Arial"/>
          <w:kern w:val="0"/>
          <w:sz w:val="20"/>
          <w:lang w:val="es-ES_tradnl" w:eastAsia="en-US"/>
        </w:rPr>
        <w:t xml:space="preserve"> queda derogada y reemplazada en su totalidad por esta Recomendación</w:t>
      </w:r>
      <w:r w:rsidRPr="001407EB">
        <w:rPr>
          <w:rFonts w:ascii="Cambria" w:eastAsia="Calibri" w:hAnsi="Cambria" w:cs="Arial"/>
          <w:kern w:val="0"/>
          <w:sz w:val="20"/>
          <w:lang w:val="es-ES_tradnl" w:eastAsia="en-US"/>
        </w:rPr>
        <w:t>.</w:t>
      </w:r>
      <w:r w:rsidR="00A46BF5" w:rsidRPr="001407EB">
        <w:rPr>
          <w:rFonts w:ascii="Cambria" w:eastAsia="Calibri" w:hAnsi="Cambria" w:cs="Arial"/>
          <w:kern w:val="0"/>
          <w:sz w:val="20"/>
          <w:lang w:val="es-ES_tradnl" w:eastAsia="en-US"/>
        </w:rPr>
        <w:t xml:space="preserve"> La </w:t>
      </w:r>
      <w:r w:rsidR="00A46BF5" w:rsidRPr="001407EB">
        <w:rPr>
          <w:rFonts w:ascii="Cambria" w:hAnsi="Cambria"/>
          <w:i/>
          <w:iCs/>
          <w:sz w:val="20"/>
          <w:szCs w:val="20"/>
          <w:lang w:val="es-ES_tradnl"/>
        </w:rPr>
        <w:t xml:space="preserve">Recomendación de ICCAT para </w:t>
      </w:r>
      <w:r w:rsidR="00A46BF5" w:rsidRPr="001407EB">
        <w:rPr>
          <w:rFonts w:ascii="Cambria" w:hAnsi="Cambria"/>
          <w:i/>
          <w:iCs/>
          <w:sz w:val="20"/>
          <w:szCs w:val="20"/>
          <w:lang w:val="es-ES_tradnl"/>
        </w:rPr>
        <w:lastRenderedPageBreak/>
        <w:t xml:space="preserve">armonizar y orientar la implementación de los requisitos de registro de buques de ICCAT </w:t>
      </w:r>
      <w:r w:rsidR="00A46BF5" w:rsidRPr="001407EB">
        <w:rPr>
          <w:rFonts w:ascii="Cambria" w:hAnsi="Cambria"/>
          <w:sz w:val="20"/>
          <w:szCs w:val="20"/>
          <w:lang w:val="es-ES_tradnl"/>
        </w:rPr>
        <w:t>[Rec. 14-10] queda reemplazada por disposiciones de esta Recomendación.</w:t>
      </w:r>
    </w:p>
    <w:sectPr w:rsidR="005F62FF" w:rsidRPr="001407EB" w:rsidSect="00744892">
      <w:footerReference w:type="even" r:id="rId8"/>
      <w:footerReference w:type="default" r:id="rId9"/>
      <w:footnotePr>
        <w:numFmt w:val="chicago"/>
        <w:numRestart w:val="eachSect"/>
      </w:footnotePr>
      <w:type w:val="continuous"/>
      <w:pgSz w:w="11907" w:h="16840" w:code="9"/>
      <w:pgMar w:top="1418" w:right="1418" w:bottom="1418" w:left="1418" w:header="851"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D3BE" w14:textId="77777777" w:rsidR="00E52BCE" w:rsidRDefault="00E52BCE">
      <w:r>
        <w:separator/>
      </w:r>
    </w:p>
  </w:endnote>
  <w:endnote w:type="continuationSeparator" w:id="0">
    <w:p w14:paraId="145D566D" w14:textId="77777777" w:rsidR="00E52BCE" w:rsidRDefault="00E5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8F31" w14:textId="3A884E64" w:rsidR="005F62FF" w:rsidRPr="005F62FF" w:rsidRDefault="005F62FF" w:rsidP="005F62FF">
    <w:pPr>
      <w:pStyle w:val="Footer"/>
      <w:jc w:val="center"/>
      <w:rPr>
        <w:rFonts w:ascii="Cambria" w:hAnsi="Cambria"/>
      </w:rPr>
    </w:pPr>
    <w:r w:rsidRPr="00D35466">
      <w:rPr>
        <w:rFonts w:ascii="Cambria" w:hAnsi="Cambria"/>
        <w:lang w:val="es-ES_tradnl"/>
      </w:rPr>
      <w:fldChar w:fldCharType="begin"/>
    </w:r>
    <w:r w:rsidRPr="00D35466">
      <w:rPr>
        <w:rFonts w:ascii="Cambria" w:hAnsi="Cambria"/>
        <w:lang w:val="es-ES_tradnl"/>
      </w:rPr>
      <w:instrText xml:space="preserve"> PAGE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r w:rsidRPr="00D35466">
      <w:rPr>
        <w:rFonts w:ascii="Cambria" w:hAnsi="Cambria"/>
        <w:lang w:val="es-ES_tradnl"/>
      </w:rPr>
      <w:t xml:space="preserve"> / </w:t>
    </w:r>
    <w:r w:rsidRPr="00D35466">
      <w:rPr>
        <w:rFonts w:ascii="Cambria" w:hAnsi="Cambria"/>
        <w:lang w:val="es-ES_tradnl"/>
      </w:rPr>
      <w:fldChar w:fldCharType="begin"/>
    </w:r>
    <w:r w:rsidRPr="00D35466">
      <w:rPr>
        <w:rFonts w:ascii="Cambria" w:hAnsi="Cambria"/>
        <w:lang w:val="es-ES_tradnl"/>
      </w:rPr>
      <w:instrText xml:space="preserve"> NUMPAGES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189885"/>
      <w:docPartObj>
        <w:docPartGallery w:val="Page Numbers (Bottom of Page)"/>
        <w:docPartUnique/>
      </w:docPartObj>
    </w:sdtPr>
    <w:sdtEndPr>
      <w:rPr>
        <w:rFonts w:asciiTheme="majorHAnsi" w:hAnsiTheme="majorHAnsi"/>
        <w:noProof/>
      </w:rPr>
    </w:sdtEndPr>
    <w:sdtContent>
      <w:p w14:paraId="5D23E3C7" w14:textId="122AA99E" w:rsidR="00FF57E3" w:rsidRPr="00744892" w:rsidRDefault="00744892" w:rsidP="00744892">
        <w:pPr>
          <w:pStyle w:val="Footer"/>
          <w:jc w:val="center"/>
          <w:rPr>
            <w:rFonts w:asciiTheme="majorHAnsi" w:hAnsiTheme="majorHAnsi"/>
          </w:rPr>
        </w:pPr>
        <w:r w:rsidRPr="00744892">
          <w:rPr>
            <w:rFonts w:asciiTheme="majorHAnsi" w:hAnsiTheme="majorHAnsi"/>
          </w:rPr>
          <w:fldChar w:fldCharType="begin"/>
        </w:r>
        <w:r w:rsidRPr="00744892">
          <w:rPr>
            <w:rFonts w:asciiTheme="majorHAnsi" w:hAnsiTheme="majorHAnsi"/>
          </w:rPr>
          <w:instrText xml:space="preserve"> PAGE   \* MERGEFORMAT </w:instrText>
        </w:r>
        <w:r w:rsidRPr="00744892">
          <w:rPr>
            <w:rFonts w:asciiTheme="majorHAnsi" w:hAnsiTheme="majorHAnsi"/>
          </w:rPr>
          <w:fldChar w:fldCharType="separate"/>
        </w:r>
        <w:r w:rsidRPr="00744892">
          <w:rPr>
            <w:rFonts w:asciiTheme="majorHAnsi" w:hAnsiTheme="majorHAnsi"/>
            <w:noProof/>
          </w:rPr>
          <w:t>2</w:t>
        </w:r>
        <w:r w:rsidRPr="0074489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B82C4" w14:textId="77777777" w:rsidR="00E52BCE" w:rsidRDefault="00E52BCE">
      <w:r>
        <w:separator/>
      </w:r>
    </w:p>
  </w:footnote>
  <w:footnote w:type="continuationSeparator" w:id="0">
    <w:p w14:paraId="777FE9B7" w14:textId="77777777" w:rsidR="00E52BCE" w:rsidRDefault="00E52BCE">
      <w:r>
        <w:continuationSeparator/>
      </w:r>
    </w:p>
  </w:footnote>
  <w:footnote w:id="1">
    <w:p w14:paraId="7302E38B" w14:textId="46E695D5" w:rsidR="00B16496" w:rsidRPr="001407EB" w:rsidRDefault="00B16496" w:rsidP="009C2F0A">
      <w:pPr>
        <w:pStyle w:val="FootnoteText"/>
        <w:ind w:left="142" w:hanging="142"/>
        <w:jc w:val="both"/>
        <w:rPr>
          <w:rFonts w:asciiTheme="majorHAnsi" w:hAnsiTheme="majorHAnsi"/>
          <w:sz w:val="16"/>
          <w:szCs w:val="16"/>
          <w:lang w:val="es-ES_tradnl"/>
        </w:rPr>
      </w:pPr>
      <w:r w:rsidRPr="001407EB">
        <w:rPr>
          <w:rStyle w:val="FootnoteReference"/>
          <w:rFonts w:asciiTheme="majorHAnsi" w:hAnsiTheme="majorHAnsi"/>
          <w:sz w:val="16"/>
          <w:szCs w:val="16"/>
        </w:rPr>
        <w:footnoteRef/>
      </w:r>
      <w:r w:rsidRPr="001407EB">
        <w:rPr>
          <w:rFonts w:asciiTheme="majorHAnsi" w:hAnsiTheme="majorHAnsi"/>
          <w:sz w:val="16"/>
          <w:szCs w:val="16"/>
          <w:lang w:val="es-ES_tradnl"/>
        </w:rPr>
        <w:t xml:space="preserve"> </w:t>
      </w:r>
      <w:r w:rsidR="009C2F0A">
        <w:rPr>
          <w:rFonts w:asciiTheme="majorHAnsi" w:hAnsiTheme="majorHAnsi"/>
          <w:sz w:val="16"/>
          <w:szCs w:val="16"/>
          <w:lang w:val="es-ES_tradnl"/>
        </w:rPr>
        <w:tab/>
      </w:r>
      <w:r w:rsidRPr="001407EB">
        <w:rPr>
          <w:rFonts w:asciiTheme="majorHAnsi" w:hAnsiTheme="majorHAnsi"/>
          <w:sz w:val="16"/>
          <w:szCs w:val="16"/>
          <w:lang w:val="es-ES_tradnl"/>
        </w:rPr>
        <w:t>Todos los GBP deben obtener un número OMI o LR a menos que se le</w:t>
      </w:r>
      <w:r w:rsidR="009C2F0A">
        <w:rPr>
          <w:rFonts w:asciiTheme="majorHAnsi" w:hAnsiTheme="majorHAnsi"/>
          <w:sz w:val="16"/>
          <w:szCs w:val="16"/>
          <w:lang w:val="es-ES_tradnl"/>
        </w:rPr>
        <w:t>s</w:t>
      </w:r>
      <w:r w:rsidRPr="001407EB">
        <w:rPr>
          <w:rFonts w:asciiTheme="majorHAnsi" w:hAnsiTheme="majorHAnsi"/>
          <w:sz w:val="16"/>
          <w:szCs w:val="16"/>
          <w:lang w:val="es-ES_tradnl"/>
        </w:rPr>
        <w:t xml:space="preserve"> aplique una excepción especificada en el párrafo 7 de esta Recomendación.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CAB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9"/>
    <w:multiLevelType w:val="singleLevel"/>
    <w:tmpl w:val="00000009"/>
    <w:name w:val="WW8Num4"/>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name w:val="WW8Num5"/>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name w:val="WW8Num7"/>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0C1A09"/>
    <w:multiLevelType w:val="hybridMultilevel"/>
    <w:tmpl w:val="E8602CC6"/>
    <w:lvl w:ilvl="0" w:tplc="F46C839E">
      <w:start w:val="1"/>
      <w:numFmt w:val="lowerRoman"/>
      <w:lvlText w:val="%1)"/>
      <w:lvlJc w:val="left"/>
      <w:pPr>
        <w:ind w:left="862" w:hanging="720"/>
      </w:pPr>
      <w:rPr>
        <w:rFonts w:hint="default"/>
        <w:u w:val="none"/>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0DF5357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E71DF"/>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1" w15:restartNumberingAfterBreak="0">
    <w:nsid w:val="209F2082"/>
    <w:multiLevelType w:val="hybridMultilevel"/>
    <w:tmpl w:val="4C5CE8CE"/>
    <w:lvl w:ilvl="0" w:tplc="866A38B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889"/>
        </w:tabs>
        <w:ind w:left="889" w:hanging="709"/>
      </w:pPr>
      <w:rPr>
        <w:rFonts w:cs="Times New Roman"/>
      </w:rPr>
    </w:lvl>
    <w:lvl w:ilvl="1">
      <w:start w:val="1"/>
      <w:numFmt w:val="lowerLetter"/>
      <w:pStyle w:val="ListNumberLevel2"/>
      <w:lvlText w:val="(%2)"/>
      <w:lvlJc w:val="left"/>
      <w:pPr>
        <w:tabs>
          <w:tab w:val="num" w:pos="1597"/>
        </w:tabs>
        <w:ind w:left="1597" w:hanging="708"/>
      </w:pPr>
      <w:rPr>
        <w:rFonts w:cs="Times New Roman"/>
      </w:r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14" w15:restartNumberingAfterBreak="0">
    <w:nsid w:val="29501010"/>
    <w:multiLevelType w:val="hybridMultilevel"/>
    <w:tmpl w:val="E8602CC6"/>
    <w:lvl w:ilvl="0" w:tplc="F46C839E">
      <w:start w:val="1"/>
      <w:numFmt w:val="lowerRoman"/>
      <w:lvlText w:val="%1)"/>
      <w:lvlJc w:val="left"/>
      <w:pPr>
        <w:ind w:left="1060" w:hanging="720"/>
      </w:pPr>
      <w:rPr>
        <w:rFonts w:hint="default"/>
        <w:u w:val="none"/>
      </w:rPr>
    </w:lvl>
    <w:lvl w:ilvl="1" w:tplc="040C0019">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970FFE"/>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7" w15:restartNumberingAfterBreak="0">
    <w:nsid w:val="3A0214D7"/>
    <w:multiLevelType w:val="hybridMultilevel"/>
    <w:tmpl w:val="51A4799E"/>
    <w:lvl w:ilvl="0" w:tplc="D4DED1AE">
      <w:start w:val="1"/>
      <w:numFmt w:val="bullet"/>
      <w:pStyle w:val="ListBullet1"/>
      <w:lvlText w:val=""/>
      <w:lvlJc w:val="left"/>
      <w:pPr>
        <w:tabs>
          <w:tab w:val="num" w:pos="1331"/>
        </w:tabs>
        <w:ind w:left="1331" w:hanging="283"/>
      </w:pPr>
      <w:rPr>
        <w:rFonts w:ascii="Symbol" w:hAnsi="Symbol" w:hint="default"/>
        <w:color w:val="auto"/>
      </w:rPr>
    </w:lvl>
    <w:lvl w:ilvl="1" w:tplc="218C8486">
      <w:start w:val="1"/>
      <w:numFmt w:val="bullet"/>
      <w:lvlText w:val="o"/>
      <w:lvlJc w:val="left"/>
      <w:pPr>
        <w:tabs>
          <w:tab w:val="num" w:pos="2006"/>
        </w:tabs>
        <w:ind w:left="2006" w:hanging="360"/>
      </w:pPr>
      <w:rPr>
        <w:rFonts w:ascii="Courier New" w:hAnsi="Courier New" w:hint="default"/>
      </w:rPr>
    </w:lvl>
    <w:lvl w:ilvl="2" w:tplc="0409001B">
      <w:start w:val="1"/>
      <w:numFmt w:val="bullet"/>
      <w:lvlText w:val=""/>
      <w:lvlJc w:val="left"/>
      <w:pPr>
        <w:tabs>
          <w:tab w:val="num" w:pos="2726"/>
        </w:tabs>
        <w:ind w:left="2726" w:hanging="360"/>
      </w:pPr>
      <w:rPr>
        <w:rFonts w:ascii="Wingdings" w:hAnsi="Wingdings" w:hint="default"/>
      </w:rPr>
    </w:lvl>
    <w:lvl w:ilvl="3" w:tplc="37A075CA">
      <w:start w:val="1"/>
      <w:numFmt w:val="bullet"/>
      <w:lvlText w:val=""/>
      <w:lvlJc w:val="left"/>
      <w:pPr>
        <w:tabs>
          <w:tab w:val="num" w:pos="3446"/>
        </w:tabs>
        <w:ind w:left="3446" w:hanging="360"/>
      </w:pPr>
      <w:rPr>
        <w:rFonts w:ascii="Symbol" w:hAnsi="Symbol" w:hint="default"/>
      </w:rPr>
    </w:lvl>
    <w:lvl w:ilvl="4" w:tplc="A132994C">
      <w:start w:val="1"/>
      <w:numFmt w:val="bullet"/>
      <w:lvlText w:val="o"/>
      <w:lvlJc w:val="left"/>
      <w:pPr>
        <w:tabs>
          <w:tab w:val="num" w:pos="4166"/>
        </w:tabs>
        <w:ind w:left="4166" w:hanging="360"/>
      </w:pPr>
      <w:rPr>
        <w:rFonts w:ascii="Courier New" w:hAnsi="Courier New" w:hint="default"/>
      </w:rPr>
    </w:lvl>
    <w:lvl w:ilvl="5" w:tplc="B67EADF8">
      <w:start w:val="1"/>
      <w:numFmt w:val="bullet"/>
      <w:lvlText w:val=""/>
      <w:lvlJc w:val="left"/>
      <w:pPr>
        <w:tabs>
          <w:tab w:val="num" w:pos="4886"/>
        </w:tabs>
        <w:ind w:left="4886" w:hanging="360"/>
      </w:pPr>
      <w:rPr>
        <w:rFonts w:ascii="Wingdings" w:hAnsi="Wingdings" w:hint="default"/>
      </w:rPr>
    </w:lvl>
    <w:lvl w:ilvl="6" w:tplc="0409000F">
      <w:start w:val="1"/>
      <w:numFmt w:val="bullet"/>
      <w:lvlText w:val=""/>
      <w:lvlJc w:val="left"/>
      <w:pPr>
        <w:tabs>
          <w:tab w:val="num" w:pos="5606"/>
        </w:tabs>
        <w:ind w:left="5606" w:hanging="360"/>
      </w:pPr>
      <w:rPr>
        <w:rFonts w:ascii="Symbol" w:hAnsi="Symbol" w:hint="default"/>
      </w:rPr>
    </w:lvl>
    <w:lvl w:ilvl="7" w:tplc="04090019">
      <w:start w:val="1"/>
      <w:numFmt w:val="bullet"/>
      <w:lvlText w:val="o"/>
      <w:lvlJc w:val="left"/>
      <w:pPr>
        <w:tabs>
          <w:tab w:val="num" w:pos="6326"/>
        </w:tabs>
        <w:ind w:left="6326" w:hanging="360"/>
      </w:pPr>
      <w:rPr>
        <w:rFonts w:ascii="Courier New" w:hAnsi="Courier New" w:hint="default"/>
      </w:rPr>
    </w:lvl>
    <w:lvl w:ilvl="8" w:tplc="0409001B">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8A2C51"/>
    <w:multiLevelType w:val="singleLevel"/>
    <w:tmpl w:val="D900626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D3C4CA0"/>
    <w:multiLevelType w:val="hybridMultilevel"/>
    <w:tmpl w:val="52CE1A2E"/>
    <w:lvl w:ilvl="0" w:tplc="7F00B412">
      <w:start w:val="1"/>
      <w:numFmt w:val="decimal"/>
      <w:lvlText w:val="%1."/>
      <w:lvlJc w:val="left"/>
      <w:pPr>
        <w:tabs>
          <w:tab w:val="num" w:pos="720"/>
        </w:tabs>
        <w:ind w:left="720" w:hanging="360"/>
      </w:pPr>
      <w:rPr>
        <w:rFonts w:hint="default"/>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2" w15:restartNumberingAfterBreak="0">
    <w:nsid w:val="4E7653EA"/>
    <w:multiLevelType w:val="hybridMultilevel"/>
    <w:tmpl w:val="DD56E0B0"/>
    <w:lvl w:ilvl="0" w:tplc="C1D6DA4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812AC"/>
    <w:multiLevelType w:val="hybridMultilevel"/>
    <w:tmpl w:val="8BD4B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E5DC2"/>
    <w:multiLevelType w:val="hybridMultilevel"/>
    <w:tmpl w:val="45680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0A570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5C5A2459"/>
    <w:multiLevelType w:val="hybridMultilevel"/>
    <w:tmpl w:val="F43057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43B23"/>
    <w:multiLevelType w:val="hybridMultilevel"/>
    <w:tmpl w:val="A5A41BF0"/>
    <w:lvl w:ilvl="0" w:tplc="67D022BC">
      <w:start w:val="1"/>
      <w:numFmt w:val="lowerLetter"/>
      <w:pStyle w:val="ListNumber2"/>
      <w:lvlText w:val="%1."/>
      <w:lvlJc w:val="left"/>
      <w:pPr>
        <w:tabs>
          <w:tab w:val="num" w:pos="720"/>
        </w:tabs>
        <w:ind w:left="720" w:hanging="360"/>
      </w:pPr>
      <w:rPr>
        <w:rFonts w:cs="Times New Roman" w:hint="default"/>
      </w:rPr>
    </w:lvl>
    <w:lvl w:ilvl="1" w:tplc="D0084FC0">
      <w:start w:val="1"/>
      <w:numFmt w:val="lowerLetter"/>
      <w:lvlText w:val="%2."/>
      <w:lvlJc w:val="left"/>
      <w:pPr>
        <w:tabs>
          <w:tab w:val="num" w:pos="1440"/>
        </w:tabs>
        <w:ind w:left="1440" w:hanging="360"/>
      </w:pPr>
      <w:rPr>
        <w:rFonts w:cs="Times New Roman"/>
      </w:rPr>
    </w:lvl>
    <w:lvl w:ilvl="2" w:tplc="0406DAC0">
      <w:start w:val="1"/>
      <w:numFmt w:val="lowerRoman"/>
      <w:lvlText w:val="%3."/>
      <w:lvlJc w:val="right"/>
      <w:pPr>
        <w:tabs>
          <w:tab w:val="num" w:pos="2160"/>
        </w:tabs>
        <w:ind w:left="2160" w:hanging="180"/>
      </w:pPr>
      <w:rPr>
        <w:rFonts w:cs="Times New Roman"/>
      </w:rPr>
    </w:lvl>
    <w:lvl w:ilvl="3" w:tplc="B4FE017A">
      <w:start w:val="1"/>
      <w:numFmt w:val="decimal"/>
      <w:lvlText w:val="%4."/>
      <w:lvlJc w:val="left"/>
      <w:pPr>
        <w:tabs>
          <w:tab w:val="num" w:pos="2880"/>
        </w:tabs>
        <w:ind w:left="2880" w:hanging="360"/>
      </w:pPr>
      <w:rPr>
        <w:rFonts w:cs="Times New Roman"/>
      </w:rPr>
    </w:lvl>
    <w:lvl w:ilvl="4" w:tplc="1CC07636">
      <w:start w:val="1"/>
      <w:numFmt w:val="lowerLetter"/>
      <w:lvlText w:val="%5."/>
      <w:lvlJc w:val="left"/>
      <w:pPr>
        <w:tabs>
          <w:tab w:val="num" w:pos="3600"/>
        </w:tabs>
        <w:ind w:left="3600" w:hanging="360"/>
      </w:pPr>
      <w:rPr>
        <w:rFonts w:cs="Times New Roman"/>
      </w:rPr>
    </w:lvl>
    <w:lvl w:ilvl="5" w:tplc="61985DD2">
      <w:start w:val="1"/>
      <w:numFmt w:val="lowerRoman"/>
      <w:lvlText w:val="%6."/>
      <w:lvlJc w:val="right"/>
      <w:pPr>
        <w:tabs>
          <w:tab w:val="num" w:pos="4320"/>
        </w:tabs>
        <w:ind w:left="4320" w:hanging="180"/>
      </w:pPr>
      <w:rPr>
        <w:rFonts w:cs="Times New Roman"/>
      </w:rPr>
    </w:lvl>
    <w:lvl w:ilvl="6" w:tplc="C7021C64">
      <w:start w:val="1"/>
      <w:numFmt w:val="decimal"/>
      <w:lvlText w:val="%7."/>
      <w:lvlJc w:val="left"/>
      <w:pPr>
        <w:tabs>
          <w:tab w:val="num" w:pos="5040"/>
        </w:tabs>
        <w:ind w:left="5040" w:hanging="360"/>
      </w:pPr>
      <w:rPr>
        <w:rFonts w:cs="Times New Roman"/>
      </w:rPr>
    </w:lvl>
    <w:lvl w:ilvl="7" w:tplc="830A9DB2">
      <w:start w:val="1"/>
      <w:numFmt w:val="lowerLetter"/>
      <w:lvlText w:val="%8."/>
      <w:lvlJc w:val="left"/>
      <w:pPr>
        <w:tabs>
          <w:tab w:val="num" w:pos="5760"/>
        </w:tabs>
        <w:ind w:left="5760" w:hanging="360"/>
      </w:pPr>
      <w:rPr>
        <w:rFonts w:cs="Times New Roman"/>
      </w:rPr>
    </w:lvl>
    <w:lvl w:ilvl="8" w:tplc="276A62CC">
      <w:start w:val="1"/>
      <w:numFmt w:val="lowerRoman"/>
      <w:lvlText w:val="%9."/>
      <w:lvlJc w:val="right"/>
      <w:pPr>
        <w:tabs>
          <w:tab w:val="num" w:pos="6480"/>
        </w:tabs>
        <w:ind w:left="6480" w:hanging="180"/>
      </w:pPr>
      <w:rPr>
        <w:rFonts w:cs="Times New Roman"/>
      </w:rPr>
    </w:lvl>
  </w:abstractNum>
  <w:abstractNum w:abstractNumId="28" w15:restartNumberingAfterBreak="0">
    <w:nsid w:val="618206E3"/>
    <w:multiLevelType w:val="hybridMultilevel"/>
    <w:tmpl w:val="C12061CA"/>
    <w:lvl w:ilvl="0" w:tplc="D9807E92">
      <w:start w:val="7"/>
      <w:numFmt w:val="bullet"/>
      <w:pStyle w:val="ListNumber1"/>
      <w:lvlText w:val="-"/>
      <w:lvlJc w:val="left"/>
      <w:pPr>
        <w:tabs>
          <w:tab w:val="num" w:pos="720"/>
        </w:tabs>
        <w:ind w:left="720" w:hanging="360"/>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67DA5"/>
    <w:multiLevelType w:val="hybridMultilevel"/>
    <w:tmpl w:val="A68A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C524998"/>
    <w:multiLevelType w:val="singleLevel"/>
    <w:tmpl w:val="19F4ED98"/>
    <w:lvl w:ilvl="0">
      <w:start w:val="7"/>
      <w:numFmt w:val="decimal"/>
      <w:lvlText w:val="%1."/>
      <w:legacy w:legacy="1" w:legacySpace="0" w:legacyIndent="355"/>
      <w:lvlJc w:val="left"/>
      <w:rPr>
        <w:rFonts w:ascii="Times New Roman" w:hAnsi="Times New Roman" w:cs="Times New Roman" w:hint="default"/>
      </w:rPr>
    </w:lvl>
  </w:abstractNum>
  <w:abstractNum w:abstractNumId="32" w15:restartNumberingAfterBreak="0">
    <w:nsid w:val="6DE53502"/>
    <w:multiLevelType w:val="hybridMultilevel"/>
    <w:tmpl w:val="CE5C2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60484"/>
    <w:multiLevelType w:val="hybridMultilevel"/>
    <w:tmpl w:val="BCFEF654"/>
    <w:lvl w:ilvl="0" w:tplc="79D6724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B1C3FC0"/>
    <w:multiLevelType w:val="singleLevel"/>
    <w:tmpl w:val="F5EE65E2"/>
    <w:lvl w:ilvl="0">
      <w:start w:val="4"/>
      <w:numFmt w:val="decimal"/>
      <w:lvlText w:val="%1."/>
      <w:legacy w:legacy="1" w:legacySpace="0" w:legacyIndent="355"/>
      <w:lvlJc w:val="left"/>
      <w:rPr>
        <w:rFonts w:ascii="Times New Roman" w:hAnsi="Times New Roman" w:cs="Times New Roman" w:hint="default"/>
      </w:rPr>
    </w:lvl>
  </w:abstractNum>
  <w:abstractNum w:abstractNumId="36" w15:restartNumberingAfterBreak="0">
    <w:nsid w:val="7BD31BAA"/>
    <w:multiLevelType w:val="hybridMultilevel"/>
    <w:tmpl w:val="3ACE5FCE"/>
    <w:lvl w:ilvl="0" w:tplc="6EAC18AE">
      <w:start w:val="96"/>
      <w:numFmt w:val="bullet"/>
      <w:lvlText w:val="−"/>
      <w:lvlJc w:val="left"/>
      <w:pPr>
        <w:ind w:left="786" w:hanging="360"/>
      </w:pPr>
      <w:rPr>
        <w:rFonts w:ascii="Times New Roman" w:eastAsia="Calibri" w:hAnsi="Times New Roman"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7" w15:restartNumberingAfterBreak="0">
    <w:nsid w:val="7FB05370"/>
    <w:multiLevelType w:val="hybridMultilevel"/>
    <w:tmpl w:val="B652D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28"/>
  </w:num>
  <w:num w:numId="4">
    <w:abstractNumId w:val="15"/>
  </w:num>
  <w:num w:numId="5">
    <w:abstractNumId w:val="13"/>
  </w:num>
  <w:num w:numId="6">
    <w:abstractNumId w:val="30"/>
  </w:num>
  <w:num w:numId="7">
    <w:abstractNumId w:val="17"/>
  </w:num>
  <w:num w:numId="8">
    <w:abstractNumId w:val="25"/>
  </w:num>
  <w:num w:numId="9">
    <w:abstractNumId w:val="35"/>
  </w:num>
  <w:num w:numId="10">
    <w:abstractNumId w:val="6"/>
  </w:num>
  <w:num w:numId="11">
    <w:abstractNumId w:val="10"/>
  </w:num>
  <w:num w:numId="12">
    <w:abstractNumId w:val="16"/>
  </w:num>
  <w:num w:numId="13">
    <w:abstractNumId w:val="31"/>
  </w:num>
  <w:num w:numId="14">
    <w:abstractNumId w:val="20"/>
  </w:num>
  <w:num w:numId="15">
    <w:abstractNumId w:val="2"/>
  </w:num>
  <w:num w:numId="16">
    <w:abstractNumId w:val="3"/>
  </w:num>
  <w:num w:numId="17">
    <w:abstractNumId w:val="4"/>
  </w:num>
  <w:num w:numId="18">
    <w:abstractNumId w:val="0"/>
  </w:num>
  <w:num w:numId="19">
    <w:abstractNumId w:val="36"/>
  </w:num>
  <w:num w:numId="20">
    <w:abstractNumId w:val="14"/>
  </w:num>
  <w:num w:numId="21">
    <w:abstractNumId w:val="5"/>
  </w:num>
  <w:num w:numId="22">
    <w:abstractNumId w:val="24"/>
  </w:num>
  <w:num w:numId="23">
    <w:abstractNumId w:val="23"/>
  </w:num>
  <w:num w:numId="24">
    <w:abstractNumId w:val="33"/>
  </w:num>
  <w:num w:numId="25">
    <w:abstractNumId w:val="37"/>
  </w:num>
  <w:num w:numId="26">
    <w:abstractNumId w:val="11"/>
  </w:num>
  <w:num w:numId="27">
    <w:abstractNumId w:val="9"/>
  </w:num>
  <w:num w:numId="28">
    <w:abstractNumId w:val="8"/>
  </w:num>
  <w:num w:numId="29">
    <w:abstractNumId w:val="32"/>
  </w:num>
  <w:num w:numId="30">
    <w:abstractNumId w:val="22"/>
  </w:num>
  <w:num w:numId="31">
    <w:abstractNumId w:val="26"/>
  </w:num>
  <w:num w:numId="32">
    <w:abstractNumId w:val="12"/>
  </w:num>
  <w:num w:numId="33">
    <w:abstractNumId w:val="34"/>
  </w:num>
  <w:num w:numId="34">
    <w:abstractNumId w:val="19"/>
  </w:num>
  <w:num w:numId="35">
    <w:abstractNumId w:val="29"/>
  </w:num>
  <w:num w:numId="36">
    <w:abstractNumId w:val="18"/>
  </w:num>
  <w:num w:numId="37">
    <w:abstractNumId w:val="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numRestart w:val="eachSect"/>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18"/>
    <w:rsid w:val="000655BA"/>
    <w:rsid w:val="00092A4E"/>
    <w:rsid w:val="000A3F00"/>
    <w:rsid w:val="000E7EDF"/>
    <w:rsid w:val="00106E55"/>
    <w:rsid w:val="00123452"/>
    <w:rsid w:val="001407EB"/>
    <w:rsid w:val="00147BE4"/>
    <w:rsid w:val="001938F0"/>
    <w:rsid w:val="001F3232"/>
    <w:rsid w:val="002053E3"/>
    <w:rsid w:val="002205FB"/>
    <w:rsid w:val="00242FAF"/>
    <w:rsid w:val="002515C9"/>
    <w:rsid w:val="00256928"/>
    <w:rsid w:val="002728B3"/>
    <w:rsid w:val="0029250C"/>
    <w:rsid w:val="0029358D"/>
    <w:rsid w:val="002F6E98"/>
    <w:rsid w:val="003274AC"/>
    <w:rsid w:val="003953E3"/>
    <w:rsid w:val="003A1918"/>
    <w:rsid w:val="003B55DF"/>
    <w:rsid w:val="003C572C"/>
    <w:rsid w:val="0040438D"/>
    <w:rsid w:val="004065DE"/>
    <w:rsid w:val="00427B2A"/>
    <w:rsid w:val="00444E10"/>
    <w:rsid w:val="004568EB"/>
    <w:rsid w:val="00470956"/>
    <w:rsid w:val="00485787"/>
    <w:rsid w:val="004859A1"/>
    <w:rsid w:val="004C0C19"/>
    <w:rsid w:val="00532D6C"/>
    <w:rsid w:val="0055685C"/>
    <w:rsid w:val="005D4224"/>
    <w:rsid w:val="005F62FF"/>
    <w:rsid w:val="006035A3"/>
    <w:rsid w:val="00637AEA"/>
    <w:rsid w:val="00641138"/>
    <w:rsid w:val="00653C53"/>
    <w:rsid w:val="00671F53"/>
    <w:rsid w:val="00673D24"/>
    <w:rsid w:val="006D71FD"/>
    <w:rsid w:val="006F245D"/>
    <w:rsid w:val="00710168"/>
    <w:rsid w:val="00716404"/>
    <w:rsid w:val="0072196B"/>
    <w:rsid w:val="00744892"/>
    <w:rsid w:val="007B2646"/>
    <w:rsid w:val="0080798F"/>
    <w:rsid w:val="00894C16"/>
    <w:rsid w:val="008A5A0C"/>
    <w:rsid w:val="008B7335"/>
    <w:rsid w:val="008C0995"/>
    <w:rsid w:val="008C1E96"/>
    <w:rsid w:val="008C532D"/>
    <w:rsid w:val="008F345F"/>
    <w:rsid w:val="00903544"/>
    <w:rsid w:val="00917B3F"/>
    <w:rsid w:val="00920F63"/>
    <w:rsid w:val="00943785"/>
    <w:rsid w:val="00961251"/>
    <w:rsid w:val="009942D8"/>
    <w:rsid w:val="009953E0"/>
    <w:rsid w:val="009B2557"/>
    <w:rsid w:val="009C262D"/>
    <w:rsid w:val="009C2F0A"/>
    <w:rsid w:val="009D0EE1"/>
    <w:rsid w:val="009E35C6"/>
    <w:rsid w:val="00A14B7F"/>
    <w:rsid w:val="00A2403E"/>
    <w:rsid w:val="00A25993"/>
    <w:rsid w:val="00A46BF5"/>
    <w:rsid w:val="00A62F74"/>
    <w:rsid w:val="00A663AF"/>
    <w:rsid w:val="00A72B0F"/>
    <w:rsid w:val="00A75FAE"/>
    <w:rsid w:val="00A833F3"/>
    <w:rsid w:val="00AA01E3"/>
    <w:rsid w:val="00AA6738"/>
    <w:rsid w:val="00AB7026"/>
    <w:rsid w:val="00AC5B88"/>
    <w:rsid w:val="00B16496"/>
    <w:rsid w:val="00B21D97"/>
    <w:rsid w:val="00B22227"/>
    <w:rsid w:val="00B236BE"/>
    <w:rsid w:val="00B71274"/>
    <w:rsid w:val="00B854A5"/>
    <w:rsid w:val="00B975C0"/>
    <w:rsid w:val="00BA39B1"/>
    <w:rsid w:val="00BA57D7"/>
    <w:rsid w:val="00BA5B77"/>
    <w:rsid w:val="00BC0830"/>
    <w:rsid w:val="00BD1055"/>
    <w:rsid w:val="00BD241E"/>
    <w:rsid w:val="00C57059"/>
    <w:rsid w:val="00CA2523"/>
    <w:rsid w:val="00CA416A"/>
    <w:rsid w:val="00CD40DA"/>
    <w:rsid w:val="00CF0B91"/>
    <w:rsid w:val="00D03033"/>
    <w:rsid w:val="00D34A9C"/>
    <w:rsid w:val="00D4722B"/>
    <w:rsid w:val="00D639D2"/>
    <w:rsid w:val="00D750BC"/>
    <w:rsid w:val="00DB42D3"/>
    <w:rsid w:val="00DF6567"/>
    <w:rsid w:val="00E0179A"/>
    <w:rsid w:val="00E12233"/>
    <w:rsid w:val="00E230E9"/>
    <w:rsid w:val="00E41340"/>
    <w:rsid w:val="00E42BDE"/>
    <w:rsid w:val="00E44D82"/>
    <w:rsid w:val="00E508EE"/>
    <w:rsid w:val="00E50E82"/>
    <w:rsid w:val="00E52BCE"/>
    <w:rsid w:val="00E57712"/>
    <w:rsid w:val="00E76C50"/>
    <w:rsid w:val="00E90B51"/>
    <w:rsid w:val="00EC7AAA"/>
    <w:rsid w:val="00ED0558"/>
    <w:rsid w:val="00F66182"/>
    <w:rsid w:val="00F7403B"/>
    <w:rsid w:val="00F82A0B"/>
    <w:rsid w:val="00FA2FB9"/>
    <w:rsid w:val="00FE402E"/>
    <w:rsid w:val="00FF26DD"/>
    <w:rsid w:val="00FF5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E29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Cs w:val="22"/>
      <w:lang w:val="en-US" w:eastAsia="zh-TW"/>
    </w:rPr>
  </w:style>
  <w:style w:type="paragraph" w:styleId="Heading1">
    <w:name w:val="heading 1"/>
    <w:basedOn w:val="Normal"/>
    <w:next w:val="Normal"/>
    <w:link w:val="Heading1Char"/>
    <w:qFormat/>
    <w:rsid w:val="00AB7026"/>
    <w:pPr>
      <w:keepNext/>
      <w:jc w:val="right"/>
      <w:outlineLvl w:val="0"/>
    </w:pPr>
    <w:rPr>
      <w:rFonts w:ascii="Times New Roman" w:hAnsi="Times New Roman"/>
      <w:b/>
      <w:kern w:val="0"/>
      <w:sz w:val="20"/>
      <w:szCs w:val="20"/>
      <w:lang w:eastAsia="en-US"/>
    </w:rPr>
  </w:style>
  <w:style w:type="paragraph" w:styleId="Heading2">
    <w:name w:val="heading 2"/>
    <w:basedOn w:val="Normal"/>
    <w:next w:val="Normal"/>
    <w:link w:val="Heading2Char"/>
    <w:qFormat/>
    <w:rsid w:val="00AB7026"/>
    <w:pPr>
      <w:keepNext/>
      <w:widowControl/>
      <w:jc w:val="center"/>
      <w:outlineLvl w:val="1"/>
    </w:pPr>
    <w:rPr>
      <w:rFonts w:ascii="Times New Roman" w:hAnsi="Times New Roman"/>
      <w:b/>
      <w:bCs/>
      <w:kern w:val="0"/>
      <w:szCs w:val="24"/>
      <w:lang w:eastAsia="en-US"/>
    </w:rPr>
  </w:style>
  <w:style w:type="paragraph" w:styleId="Heading3">
    <w:name w:val="heading 3"/>
    <w:basedOn w:val="Normal"/>
    <w:next w:val="Normal"/>
    <w:link w:val="Heading3Char"/>
    <w:qFormat/>
    <w:rsid w:val="00AB7026"/>
    <w:pPr>
      <w:keepNext/>
      <w:widowControl/>
      <w:spacing w:line="260" w:lineRule="exact"/>
      <w:jc w:val="both"/>
      <w:outlineLvl w:val="2"/>
    </w:pPr>
    <w:rPr>
      <w:rFonts w:ascii="Times New Roman" w:hAnsi="Times New Roman"/>
      <w:b/>
      <w:bCs/>
      <w:kern w:val="0"/>
      <w:sz w:val="20"/>
      <w:szCs w:val="20"/>
      <w:lang w:eastAsia="en-US"/>
    </w:rPr>
  </w:style>
  <w:style w:type="paragraph" w:styleId="Heading4">
    <w:name w:val="heading 4"/>
    <w:basedOn w:val="Normal"/>
    <w:next w:val="Normal"/>
    <w:link w:val="Heading4Char"/>
    <w:qFormat/>
    <w:rsid w:val="00AB7026"/>
    <w:pPr>
      <w:keepNext/>
      <w:widowControl/>
      <w:ind w:left="360" w:hanging="360"/>
      <w:outlineLvl w:val="3"/>
    </w:pPr>
    <w:rPr>
      <w:rFonts w:ascii="Times New Roman" w:hAnsi="Times New Roman"/>
      <w:b/>
      <w:bCs/>
      <w:i/>
      <w:iCs/>
      <w:kern w:val="0"/>
      <w:szCs w:val="24"/>
      <w:lang w:eastAsia="en-US"/>
    </w:rPr>
  </w:style>
  <w:style w:type="paragraph" w:styleId="Heading5">
    <w:name w:val="heading 5"/>
    <w:basedOn w:val="Normal"/>
    <w:next w:val="Normal"/>
    <w:link w:val="Heading5Char"/>
    <w:qFormat/>
    <w:rsid w:val="00AB7026"/>
    <w:pPr>
      <w:keepNext/>
      <w:widowControl/>
      <w:outlineLvl w:val="4"/>
    </w:pPr>
    <w:rPr>
      <w:rFonts w:ascii="Times New Roman" w:hAnsi="Times New Roman"/>
      <w:b/>
      <w:bCs/>
      <w:kern w:val="0"/>
      <w:sz w:val="20"/>
      <w:szCs w:val="20"/>
      <w:lang w:eastAsia="en-US"/>
    </w:rPr>
  </w:style>
  <w:style w:type="paragraph" w:styleId="Heading6">
    <w:name w:val="heading 6"/>
    <w:basedOn w:val="Normal"/>
    <w:next w:val="Normal"/>
    <w:link w:val="Heading6Char"/>
    <w:qFormat/>
    <w:rsid w:val="00AB7026"/>
    <w:pPr>
      <w:keepNext/>
      <w:widowControl/>
      <w:jc w:val="right"/>
      <w:outlineLvl w:val="5"/>
    </w:pPr>
    <w:rPr>
      <w:rFonts w:ascii="Times New Roman" w:hAnsi="Times New Roman"/>
      <w:i/>
      <w:iCs/>
      <w:kern w:val="0"/>
      <w:szCs w:val="24"/>
      <w:lang w:eastAsia="en-US"/>
    </w:rPr>
  </w:style>
  <w:style w:type="paragraph" w:styleId="Heading7">
    <w:name w:val="heading 7"/>
    <w:basedOn w:val="Normal"/>
    <w:next w:val="Normal"/>
    <w:link w:val="Heading7Char"/>
    <w:qFormat/>
    <w:rsid w:val="00AB7026"/>
    <w:pPr>
      <w:keepNext/>
      <w:framePr w:hSpace="180" w:wrap="auto" w:vAnchor="page" w:hAnchor="margin" w:xAlign="center" w:y="841"/>
      <w:widowControl/>
      <w:jc w:val="center"/>
      <w:outlineLvl w:val="6"/>
    </w:pPr>
    <w:rPr>
      <w:rFonts w:ascii="Times New Roman" w:hAnsi="Times New Roman"/>
      <w:i/>
      <w:iCs/>
      <w:kern w:val="0"/>
      <w:sz w:val="20"/>
      <w:szCs w:val="20"/>
      <w:lang w:eastAsia="en-US"/>
    </w:rPr>
  </w:style>
  <w:style w:type="paragraph" w:styleId="Heading8">
    <w:name w:val="heading 8"/>
    <w:basedOn w:val="Normal"/>
    <w:next w:val="Normal"/>
    <w:link w:val="Heading8Char"/>
    <w:qFormat/>
    <w:rsid w:val="00AB7026"/>
    <w:pPr>
      <w:keepNext/>
      <w:widowControl/>
      <w:jc w:val="center"/>
      <w:outlineLvl w:val="7"/>
    </w:pPr>
    <w:rPr>
      <w:rFonts w:ascii="Times New Roman" w:hAnsi="Times New Roman"/>
      <w:i/>
      <w:iCs/>
      <w:kern w:val="0"/>
      <w:sz w:val="20"/>
      <w:szCs w:val="20"/>
      <w:lang w:eastAsia="en-US"/>
    </w:rPr>
  </w:style>
  <w:style w:type="paragraph" w:styleId="Heading9">
    <w:name w:val="heading 9"/>
    <w:basedOn w:val="Normal"/>
    <w:next w:val="Normal"/>
    <w:link w:val="Heading9Char"/>
    <w:qFormat/>
    <w:rsid w:val="00AB7026"/>
    <w:pPr>
      <w:keepNext/>
      <w:widowControl/>
      <w:jc w:val="both"/>
      <w:outlineLvl w:val="8"/>
    </w:pPr>
    <w:rPr>
      <w:rFonts w:ascii="Times New Roman" w:hAnsi="Times New Roman"/>
      <w:b/>
      <w:bCs/>
      <w:kern w:val="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918"/>
    <w:pPr>
      <w:tabs>
        <w:tab w:val="center" w:pos="4153"/>
        <w:tab w:val="right" w:pos="8306"/>
      </w:tabs>
      <w:snapToGrid w:val="0"/>
    </w:pPr>
    <w:rPr>
      <w:sz w:val="20"/>
      <w:szCs w:val="20"/>
    </w:rPr>
  </w:style>
  <w:style w:type="paragraph" w:styleId="Footer">
    <w:name w:val="footer"/>
    <w:basedOn w:val="Normal"/>
    <w:link w:val="FooterChar"/>
    <w:uiPriority w:val="99"/>
    <w:unhideWhenUsed/>
    <w:rsid w:val="003A19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A1918"/>
    <w:rPr>
      <w:rFonts w:cs="Times New Roman"/>
      <w:sz w:val="20"/>
      <w:szCs w:val="20"/>
    </w:rPr>
  </w:style>
  <w:style w:type="character" w:customStyle="1" w:styleId="FooterChar">
    <w:name w:val="Footer Char"/>
    <w:basedOn w:val="DefaultParagraphFont"/>
    <w:link w:val="Footer"/>
    <w:uiPriority w:val="99"/>
    <w:locked/>
    <w:rsid w:val="003A1918"/>
    <w:rPr>
      <w:rFonts w:cs="Times New Roman"/>
      <w:sz w:val="20"/>
      <w:szCs w:val="20"/>
    </w:rPr>
  </w:style>
  <w:style w:type="paragraph" w:styleId="BalloonText">
    <w:name w:val="Balloon Text"/>
    <w:basedOn w:val="Normal"/>
    <w:link w:val="BalloonTextChar"/>
    <w:uiPriority w:val="99"/>
    <w:semiHidden/>
    <w:unhideWhenUsed/>
    <w:rsid w:val="003953E3"/>
    <w:rPr>
      <w:rFonts w:ascii="Tahoma" w:hAnsi="Tahoma" w:cs="Tahoma"/>
      <w:sz w:val="16"/>
      <w:szCs w:val="16"/>
    </w:rPr>
  </w:style>
  <w:style w:type="character" w:customStyle="1" w:styleId="BalloonTextChar">
    <w:name w:val="Balloon Text Char"/>
    <w:basedOn w:val="DefaultParagraphFont"/>
    <w:link w:val="BalloonText"/>
    <w:uiPriority w:val="99"/>
    <w:rsid w:val="003953E3"/>
    <w:rPr>
      <w:rFonts w:ascii="Tahoma" w:hAnsi="Tahoma" w:cs="Tahoma"/>
      <w:sz w:val="16"/>
      <w:szCs w:val="16"/>
      <w:lang w:val="en-US" w:eastAsia="zh-TW"/>
    </w:rPr>
  </w:style>
  <w:style w:type="table" w:customStyle="1" w:styleId="TableauNorm">
    <w:name w:val="Tableau Norm"/>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B7026"/>
  </w:style>
  <w:style w:type="table" w:customStyle="1" w:styleId="TableauNorm2">
    <w:name w:val="Tableau Norm2"/>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AB7026"/>
    <w:pPr>
      <w:widowControl/>
    </w:pPr>
    <w:rPr>
      <w:rFonts w:ascii="Times New Roman" w:eastAsia="Times New Roman" w:hAnsi="Times New Roman"/>
      <w:kern w:val="0"/>
      <w:sz w:val="20"/>
      <w:szCs w:val="20"/>
      <w:lang w:eastAsia="en-US"/>
    </w:rPr>
  </w:style>
  <w:style w:type="paragraph" w:styleId="FootnoteText">
    <w:name w:val="footnote text"/>
    <w:aliases w:val="ft"/>
    <w:basedOn w:val="Normal"/>
    <w:link w:val="FootnoteTextChar1"/>
    <w:unhideWhenUsed/>
    <w:rsid w:val="00AB7026"/>
    <w:pPr>
      <w:widowControl/>
    </w:pPr>
    <w:rPr>
      <w:rFonts w:ascii="Times New Roman" w:eastAsia="Times New Roman" w:hAnsi="Times New Roman"/>
      <w:kern w:val="0"/>
      <w:sz w:val="20"/>
      <w:szCs w:val="20"/>
      <w:lang w:eastAsia="en-US"/>
    </w:rPr>
  </w:style>
  <w:style w:type="character" w:customStyle="1" w:styleId="FootnoteTextChar">
    <w:name w:val="Footnote Text Char"/>
    <w:aliases w:val="ft Char"/>
    <w:basedOn w:val="DefaultParagraphFont"/>
    <w:rsid w:val="00AB7026"/>
    <w:rPr>
      <w:sz w:val="20"/>
      <w:szCs w:val="20"/>
      <w:lang w:val="en-US" w:eastAsia="zh-TW"/>
    </w:rPr>
  </w:style>
  <w:style w:type="character" w:customStyle="1" w:styleId="FootnoteTextChar1">
    <w:name w:val="Footnote Text Char1"/>
    <w:aliases w:val="ft Char1"/>
    <w:basedOn w:val="DefaultParagraphFont"/>
    <w:link w:val="FootnoteText"/>
    <w:uiPriority w:val="99"/>
    <w:rsid w:val="00AB7026"/>
    <w:rPr>
      <w:rFonts w:ascii="Times New Roman" w:eastAsia="Times New Roman" w:hAnsi="Times New Roman"/>
      <w:kern w:val="0"/>
      <w:sz w:val="20"/>
      <w:szCs w:val="20"/>
      <w:lang w:val="en-US" w:eastAsia="en-US"/>
    </w:rPr>
  </w:style>
  <w:style w:type="character" w:styleId="FootnoteReference">
    <w:name w:val="footnote reference"/>
    <w:basedOn w:val="DefaultParagraphFont"/>
    <w:unhideWhenUsed/>
    <w:rsid w:val="00AB7026"/>
    <w:rPr>
      <w:vertAlign w:val="superscript"/>
    </w:rPr>
  </w:style>
  <w:style w:type="table" w:customStyle="1" w:styleId="LightShading1">
    <w:name w:val="Light Shading1"/>
    <w:basedOn w:val="TableNormal"/>
    <w:next w:val="LightShading"/>
    <w:uiPriority w:val="60"/>
    <w:rsid w:val="00AB7026"/>
    <w:rPr>
      <w:rFonts w:eastAsia="Calibri"/>
      <w:color w:val="000000"/>
      <w:kern w:val="0"/>
      <w:sz w:val="22"/>
      <w:szCs w:val="22"/>
      <w:lang w:val="en-ZA"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B70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B7026"/>
    <w:rPr>
      <w:rFonts w:ascii="Times New Roman" w:hAnsi="Times New Roman"/>
      <w:b/>
      <w:kern w:val="0"/>
      <w:sz w:val="20"/>
      <w:szCs w:val="20"/>
      <w:lang w:val="en-US" w:eastAsia="en-US"/>
    </w:rPr>
  </w:style>
  <w:style w:type="character" w:customStyle="1" w:styleId="Heading2Char">
    <w:name w:val="Heading 2 Char"/>
    <w:basedOn w:val="DefaultParagraphFont"/>
    <w:link w:val="Heading2"/>
    <w:rsid w:val="00AB7026"/>
    <w:rPr>
      <w:rFonts w:ascii="Times New Roman" w:hAnsi="Times New Roman"/>
      <w:b/>
      <w:bCs/>
      <w:kern w:val="0"/>
      <w:lang w:val="en-US" w:eastAsia="en-US"/>
    </w:rPr>
  </w:style>
  <w:style w:type="character" w:customStyle="1" w:styleId="Heading3Char">
    <w:name w:val="Heading 3 Char"/>
    <w:basedOn w:val="DefaultParagraphFont"/>
    <w:link w:val="Heading3"/>
    <w:rsid w:val="00AB7026"/>
    <w:rPr>
      <w:rFonts w:ascii="Times New Roman" w:hAnsi="Times New Roman"/>
      <w:b/>
      <w:bCs/>
      <w:kern w:val="0"/>
      <w:sz w:val="20"/>
      <w:szCs w:val="20"/>
      <w:lang w:val="en-US" w:eastAsia="en-US"/>
    </w:rPr>
  </w:style>
  <w:style w:type="character" w:customStyle="1" w:styleId="Heading4Char">
    <w:name w:val="Heading 4 Char"/>
    <w:basedOn w:val="DefaultParagraphFont"/>
    <w:link w:val="Heading4"/>
    <w:rsid w:val="00AB7026"/>
    <w:rPr>
      <w:rFonts w:ascii="Times New Roman" w:hAnsi="Times New Roman"/>
      <w:b/>
      <w:bCs/>
      <w:i/>
      <w:iCs/>
      <w:kern w:val="0"/>
      <w:lang w:val="en-US" w:eastAsia="en-US"/>
    </w:rPr>
  </w:style>
  <w:style w:type="character" w:customStyle="1" w:styleId="Heading5Char">
    <w:name w:val="Heading 5 Char"/>
    <w:basedOn w:val="DefaultParagraphFont"/>
    <w:link w:val="Heading5"/>
    <w:rsid w:val="00AB7026"/>
    <w:rPr>
      <w:rFonts w:ascii="Times New Roman" w:hAnsi="Times New Roman"/>
      <w:b/>
      <w:bCs/>
      <w:kern w:val="0"/>
      <w:sz w:val="20"/>
      <w:szCs w:val="20"/>
      <w:lang w:val="en-US" w:eastAsia="en-US"/>
    </w:rPr>
  </w:style>
  <w:style w:type="character" w:customStyle="1" w:styleId="Heading6Char">
    <w:name w:val="Heading 6 Char"/>
    <w:basedOn w:val="DefaultParagraphFont"/>
    <w:link w:val="Heading6"/>
    <w:rsid w:val="00AB7026"/>
    <w:rPr>
      <w:rFonts w:ascii="Times New Roman" w:hAnsi="Times New Roman"/>
      <w:i/>
      <w:iCs/>
      <w:kern w:val="0"/>
      <w:lang w:val="en-US" w:eastAsia="en-US"/>
    </w:rPr>
  </w:style>
  <w:style w:type="character" w:customStyle="1" w:styleId="Heading7Char">
    <w:name w:val="Heading 7 Char"/>
    <w:basedOn w:val="DefaultParagraphFont"/>
    <w:link w:val="Heading7"/>
    <w:rsid w:val="00AB7026"/>
    <w:rPr>
      <w:rFonts w:ascii="Times New Roman" w:hAnsi="Times New Roman"/>
      <w:i/>
      <w:iCs/>
      <w:kern w:val="0"/>
      <w:sz w:val="20"/>
      <w:szCs w:val="20"/>
      <w:lang w:val="en-US" w:eastAsia="en-US"/>
    </w:rPr>
  </w:style>
  <w:style w:type="character" w:customStyle="1" w:styleId="Heading8Char">
    <w:name w:val="Heading 8 Char"/>
    <w:basedOn w:val="DefaultParagraphFont"/>
    <w:link w:val="Heading8"/>
    <w:rsid w:val="00AB7026"/>
    <w:rPr>
      <w:rFonts w:ascii="Times New Roman" w:hAnsi="Times New Roman"/>
      <w:i/>
      <w:iCs/>
      <w:kern w:val="0"/>
      <w:sz w:val="20"/>
      <w:szCs w:val="20"/>
      <w:lang w:val="en-US" w:eastAsia="en-US"/>
    </w:rPr>
  </w:style>
  <w:style w:type="character" w:customStyle="1" w:styleId="Heading9Char">
    <w:name w:val="Heading 9 Char"/>
    <w:basedOn w:val="DefaultParagraphFont"/>
    <w:link w:val="Heading9"/>
    <w:rsid w:val="00AB7026"/>
    <w:rPr>
      <w:rFonts w:ascii="Times New Roman" w:hAnsi="Times New Roman"/>
      <w:b/>
      <w:bCs/>
      <w:kern w:val="0"/>
      <w:sz w:val="18"/>
      <w:szCs w:val="18"/>
      <w:lang w:val="en-US" w:eastAsia="en-US"/>
    </w:rPr>
  </w:style>
  <w:style w:type="numbering" w:customStyle="1" w:styleId="NoList2">
    <w:name w:val="No List2"/>
    <w:next w:val="NoList"/>
    <w:uiPriority w:val="99"/>
    <w:semiHidden/>
    <w:unhideWhenUsed/>
    <w:rsid w:val="00AB7026"/>
  </w:style>
  <w:style w:type="paragraph" w:styleId="BodyTextIndent">
    <w:name w:val="Body Text Indent"/>
    <w:basedOn w:val="Normal"/>
    <w:link w:val="BodyTextIndentChar1"/>
    <w:rsid w:val="00AB7026"/>
    <w:pPr>
      <w:jc w:val="center"/>
    </w:pPr>
    <w:rPr>
      <w:rFonts w:ascii="Times New Roman" w:hAnsi="Times New Roman"/>
      <w:i/>
      <w:kern w:val="0"/>
      <w:sz w:val="20"/>
      <w:szCs w:val="20"/>
      <w:lang w:eastAsia="en-US"/>
    </w:rPr>
  </w:style>
  <w:style w:type="character" w:customStyle="1" w:styleId="BodyTextIndentChar">
    <w:name w:val="Body Text Indent Char"/>
    <w:basedOn w:val="DefaultParagraphFont"/>
    <w:rsid w:val="00AB7026"/>
    <w:rPr>
      <w:szCs w:val="22"/>
      <w:lang w:val="en-US" w:eastAsia="zh-TW"/>
    </w:rPr>
  </w:style>
  <w:style w:type="paragraph" w:styleId="BodyTextIndent2">
    <w:name w:val="Body Text Indent 2"/>
    <w:basedOn w:val="Normal"/>
    <w:link w:val="BodyTextIndent2Char"/>
    <w:rsid w:val="00AB7026"/>
    <w:pPr>
      <w:widowControl/>
      <w:ind w:left="360" w:hanging="360"/>
    </w:pPr>
    <w:rPr>
      <w:rFonts w:ascii="Times New Roman" w:hAnsi="Times New Roman"/>
      <w:kern w:val="0"/>
      <w:szCs w:val="24"/>
      <w:lang w:eastAsia="en-US"/>
    </w:rPr>
  </w:style>
  <w:style w:type="character" w:customStyle="1" w:styleId="BodyTextIndent2Char">
    <w:name w:val="Body Text Indent 2 Char"/>
    <w:basedOn w:val="DefaultParagraphFont"/>
    <w:link w:val="BodyTextIndent2"/>
    <w:rsid w:val="00AB7026"/>
    <w:rPr>
      <w:rFonts w:ascii="Times New Roman" w:hAnsi="Times New Roman"/>
      <w:kern w:val="0"/>
      <w:lang w:val="en-US" w:eastAsia="en-US"/>
    </w:rPr>
  </w:style>
  <w:style w:type="paragraph" w:styleId="BodyTextIndent3">
    <w:name w:val="Body Text Indent 3"/>
    <w:basedOn w:val="Normal"/>
    <w:link w:val="BodyTextIndent3Char"/>
    <w:rsid w:val="00AB7026"/>
    <w:pPr>
      <w:widowControl/>
      <w:ind w:left="720" w:hanging="360"/>
    </w:pPr>
    <w:rPr>
      <w:rFonts w:ascii="Times New Roman" w:hAnsi="Times New Roman"/>
      <w:kern w:val="0"/>
      <w:szCs w:val="24"/>
      <w:lang w:eastAsia="en-US"/>
    </w:rPr>
  </w:style>
  <w:style w:type="character" w:customStyle="1" w:styleId="BodyTextIndent3Char">
    <w:name w:val="Body Text Indent 3 Char"/>
    <w:basedOn w:val="DefaultParagraphFont"/>
    <w:link w:val="BodyTextIndent3"/>
    <w:rsid w:val="00AB7026"/>
    <w:rPr>
      <w:rFonts w:ascii="Times New Roman" w:hAnsi="Times New Roman"/>
      <w:kern w:val="0"/>
      <w:lang w:val="en-US" w:eastAsia="en-US"/>
    </w:rPr>
  </w:style>
  <w:style w:type="character" w:styleId="PageNumber">
    <w:name w:val="page number"/>
    <w:rsid w:val="00AB7026"/>
    <w:rPr>
      <w:rFonts w:cs="Times New Roman"/>
    </w:rPr>
  </w:style>
  <w:style w:type="paragraph" w:styleId="BodyText">
    <w:name w:val="Body Text"/>
    <w:basedOn w:val="Normal"/>
    <w:link w:val="BodyTextChar"/>
    <w:rsid w:val="00AB7026"/>
    <w:pPr>
      <w:widowControl/>
    </w:pPr>
    <w:rPr>
      <w:rFonts w:ascii="Times New Roman" w:hAnsi="Times New Roman"/>
      <w:kern w:val="0"/>
      <w:szCs w:val="24"/>
      <w:lang w:eastAsia="en-US"/>
    </w:rPr>
  </w:style>
  <w:style w:type="character" w:customStyle="1" w:styleId="BodyTextChar">
    <w:name w:val="Body Text Char"/>
    <w:basedOn w:val="DefaultParagraphFont"/>
    <w:link w:val="BodyText"/>
    <w:rsid w:val="00AB7026"/>
    <w:rPr>
      <w:rFonts w:ascii="Times New Roman" w:hAnsi="Times New Roman"/>
      <w:kern w:val="0"/>
      <w:lang w:val="en-US" w:eastAsia="en-US"/>
    </w:rPr>
  </w:style>
  <w:style w:type="paragraph" w:customStyle="1" w:styleId="Level1">
    <w:name w:val="Level 1"/>
    <w:basedOn w:val="Normal"/>
    <w:rsid w:val="00AB7026"/>
    <w:pPr>
      <w:autoSpaceDE w:val="0"/>
      <w:autoSpaceDN w:val="0"/>
      <w:adjustRightInd w:val="0"/>
      <w:ind w:left="720" w:hanging="720"/>
      <w:outlineLvl w:val="0"/>
    </w:pPr>
    <w:rPr>
      <w:rFonts w:ascii="Times New Roman" w:hAnsi="Times New Roman"/>
      <w:kern w:val="0"/>
      <w:sz w:val="20"/>
      <w:szCs w:val="24"/>
      <w:lang w:eastAsia="en-US"/>
    </w:rPr>
  </w:style>
  <w:style w:type="paragraph" w:customStyle="1" w:styleId="level10">
    <w:name w:val="_level1"/>
    <w:basedOn w:val="Normal"/>
    <w:rsid w:val="00AB7026"/>
    <w:pPr>
      <w:widowControl/>
    </w:pPr>
    <w:rPr>
      <w:rFonts w:ascii="Times New Roman" w:hAnsi="Times New Roman"/>
      <w:kern w:val="0"/>
      <w:sz w:val="20"/>
      <w:szCs w:val="20"/>
      <w:lang w:eastAsia="en-US"/>
    </w:rPr>
  </w:style>
  <w:style w:type="paragraph" w:customStyle="1" w:styleId="WP9BodyText">
    <w:name w:val="WP9_Body Text"/>
    <w:basedOn w:val="Normal"/>
    <w:rsid w:val="00AB7026"/>
    <w:rPr>
      <w:rFonts w:ascii="Times New Roman" w:hAnsi="Times New Roman"/>
      <w:kern w:val="0"/>
      <w:sz w:val="20"/>
      <w:szCs w:val="20"/>
      <w:lang w:eastAsia="en-US"/>
    </w:rPr>
  </w:style>
  <w:style w:type="character" w:customStyle="1" w:styleId="BodyTextIndentChar1">
    <w:name w:val="Body Text Indent Char1"/>
    <w:link w:val="BodyTextIndent"/>
    <w:rsid w:val="00AB7026"/>
    <w:rPr>
      <w:rFonts w:ascii="Times New Roman" w:hAnsi="Times New Roman"/>
      <w:i/>
      <w:kern w:val="0"/>
      <w:sz w:val="20"/>
      <w:szCs w:val="20"/>
      <w:lang w:val="en-US" w:eastAsia="en-US"/>
    </w:rPr>
  </w:style>
  <w:style w:type="paragraph" w:customStyle="1" w:styleId="WP9BodyTex">
    <w:name w:val="WP9_Body Tex"/>
    <w:basedOn w:val="Normal"/>
    <w:rsid w:val="00AB7026"/>
    <w:pPr>
      <w:jc w:val="center"/>
    </w:pPr>
    <w:rPr>
      <w:rFonts w:ascii="Times New Roman" w:hAnsi="Times New Roman"/>
      <w:b/>
      <w:kern w:val="0"/>
      <w:sz w:val="20"/>
      <w:szCs w:val="20"/>
      <w:lang w:eastAsia="en-US"/>
    </w:rPr>
  </w:style>
  <w:style w:type="paragraph" w:customStyle="1" w:styleId="Outline0011">
    <w:name w:val="Outline001_1"/>
    <w:basedOn w:val="Normal"/>
    <w:rsid w:val="00AB7026"/>
    <w:rPr>
      <w:rFonts w:ascii="Times New Roman" w:hAnsi="Times New Roman"/>
      <w:kern w:val="0"/>
      <w:sz w:val="20"/>
      <w:szCs w:val="20"/>
      <w:lang w:eastAsia="en-US"/>
    </w:rPr>
  </w:style>
  <w:style w:type="paragraph" w:styleId="Title">
    <w:name w:val="Title"/>
    <w:basedOn w:val="Normal"/>
    <w:link w:val="TitleChar"/>
    <w:qFormat/>
    <w:rsid w:val="00AB7026"/>
    <w:pPr>
      <w:widowControl/>
      <w:spacing w:line="260" w:lineRule="exact"/>
      <w:jc w:val="center"/>
    </w:pPr>
    <w:rPr>
      <w:rFonts w:ascii="Times New Roman" w:hAnsi="Times New Roman"/>
      <w:b/>
      <w:kern w:val="0"/>
      <w:sz w:val="20"/>
      <w:szCs w:val="20"/>
      <w:lang w:eastAsia="en-US"/>
    </w:rPr>
  </w:style>
  <w:style w:type="character" w:customStyle="1" w:styleId="TitleChar">
    <w:name w:val="Title Char"/>
    <w:basedOn w:val="DefaultParagraphFont"/>
    <w:link w:val="Title"/>
    <w:rsid w:val="00AB7026"/>
    <w:rPr>
      <w:rFonts w:ascii="Times New Roman" w:hAnsi="Times New Roman"/>
      <w:b/>
      <w:kern w:val="0"/>
      <w:sz w:val="20"/>
      <w:szCs w:val="20"/>
      <w:lang w:val="en-US" w:eastAsia="en-US"/>
    </w:rPr>
  </w:style>
  <w:style w:type="paragraph" w:customStyle="1" w:styleId="NumPar1">
    <w:name w:val="NumPar 1"/>
    <w:basedOn w:val="Heading1"/>
    <w:next w:val="Normal"/>
    <w:rsid w:val="00AB7026"/>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AB7026"/>
    <w:pPr>
      <w:widowControl/>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kern w:val="0"/>
      <w:sz w:val="20"/>
      <w:szCs w:val="20"/>
      <w:lang w:eastAsia="en-US"/>
    </w:rPr>
  </w:style>
  <w:style w:type="paragraph" w:customStyle="1" w:styleId="Text1">
    <w:name w:val="Text 1"/>
    <w:basedOn w:val="Normal"/>
    <w:rsid w:val="00AB7026"/>
    <w:pPr>
      <w:widowControl/>
      <w:overflowPunct w:val="0"/>
      <w:autoSpaceDE w:val="0"/>
      <w:autoSpaceDN w:val="0"/>
      <w:adjustRightInd w:val="0"/>
      <w:spacing w:after="240"/>
      <w:ind w:left="482"/>
      <w:jc w:val="both"/>
      <w:textAlignment w:val="baseline"/>
    </w:pPr>
    <w:rPr>
      <w:rFonts w:ascii="Times New Roman" w:eastAsia="MS Mincho" w:hAnsi="Times New Roman"/>
      <w:kern w:val="0"/>
      <w:sz w:val="20"/>
      <w:szCs w:val="20"/>
      <w:lang w:eastAsia="en-US"/>
    </w:rPr>
  </w:style>
  <w:style w:type="paragraph" w:customStyle="1" w:styleId="Text2">
    <w:name w:val="Text 2"/>
    <w:basedOn w:val="Normal"/>
    <w:rsid w:val="00AB7026"/>
    <w:pPr>
      <w:widowControl/>
      <w:tabs>
        <w:tab w:val="left" w:pos="2302"/>
      </w:tabs>
      <w:overflowPunct w:val="0"/>
      <w:autoSpaceDE w:val="0"/>
      <w:autoSpaceDN w:val="0"/>
      <w:adjustRightInd w:val="0"/>
      <w:spacing w:after="240"/>
      <w:ind w:left="1202"/>
      <w:jc w:val="both"/>
      <w:textAlignment w:val="baseline"/>
    </w:pPr>
    <w:rPr>
      <w:rFonts w:ascii="Times New Roman" w:eastAsia="MS Mincho" w:hAnsi="Times New Roman"/>
      <w:kern w:val="0"/>
      <w:sz w:val="20"/>
      <w:szCs w:val="20"/>
      <w:lang w:eastAsia="en-US"/>
    </w:rPr>
  </w:style>
  <w:style w:type="paragraph" w:customStyle="1" w:styleId="BodyTextIn">
    <w:name w:val="Body Text In"/>
    <w:basedOn w:val="Normal"/>
    <w:rsid w:val="00AB7026"/>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kern w:val="0"/>
      <w:sz w:val="20"/>
      <w:szCs w:val="20"/>
      <w:lang w:eastAsia="en-US"/>
    </w:rPr>
  </w:style>
  <w:style w:type="paragraph" w:customStyle="1" w:styleId="1AutoList1">
    <w:name w:val="1AutoList1"/>
    <w:rsid w:val="00AB7026"/>
    <w:pPr>
      <w:tabs>
        <w:tab w:val="left" w:pos="720"/>
      </w:tabs>
      <w:autoSpaceDE w:val="0"/>
      <w:autoSpaceDN w:val="0"/>
      <w:adjustRightInd w:val="0"/>
      <w:ind w:left="720" w:hanging="720"/>
    </w:pPr>
    <w:rPr>
      <w:rFonts w:ascii="Times New Roman" w:hAnsi="Times New Roman"/>
      <w:kern w:val="0"/>
      <w:sz w:val="20"/>
      <w:lang w:val="en-US" w:eastAsia="en-US"/>
    </w:rPr>
  </w:style>
  <w:style w:type="paragraph" w:styleId="BlockText">
    <w:name w:val="Block Text"/>
    <w:basedOn w:val="Normal"/>
    <w:rsid w:val="00AB7026"/>
    <w:pPr>
      <w:widowControl/>
      <w:ind w:left="360" w:right="293"/>
      <w:jc w:val="both"/>
    </w:pPr>
    <w:rPr>
      <w:rFonts w:ascii="Times New Roman" w:hAnsi="Times New Roman"/>
      <w:kern w:val="0"/>
      <w:sz w:val="20"/>
      <w:szCs w:val="18"/>
      <w:lang w:eastAsia="en-US"/>
    </w:rPr>
  </w:style>
  <w:style w:type="paragraph" w:styleId="BodyText3">
    <w:name w:val="Body Text 3"/>
    <w:basedOn w:val="Normal"/>
    <w:link w:val="BodyText3Char"/>
    <w:rsid w:val="00AB7026"/>
    <w:pPr>
      <w:widowControl/>
      <w:jc w:val="both"/>
    </w:pPr>
    <w:rPr>
      <w:rFonts w:ascii="Times New Roman" w:hAnsi="Times New Roman"/>
      <w:kern w:val="0"/>
      <w:sz w:val="16"/>
      <w:szCs w:val="16"/>
      <w:lang w:eastAsia="en-US"/>
    </w:rPr>
  </w:style>
  <w:style w:type="character" w:customStyle="1" w:styleId="BodyText3Char">
    <w:name w:val="Body Text 3 Char"/>
    <w:basedOn w:val="DefaultParagraphFont"/>
    <w:link w:val="BodyText3"/>
    <w:rsid w:val="00AB7026"/>
    <w:rPr>
      <w:rFonts w:ascii="Times New Roman" w:hAnsi="Times New Roman"/>
      <w:kern w:val="0"/>
      <w:sz w:val="16"/>
      <w:szCs w:val="16"/>
      <w:lang w:val="en-US" w:eastAsia="en-US"/>
    </w:rPr>
  </w:style>
  <w:style w:type="paragraph" w:styleId="PlainText">
    <w:name w:val="Plain Text"/>
    <w:basedOn w:val="Normal"/>
    <w:link w:val="PlainTextChar"/>
    <w:rsid w:val="00AB7026"/>
    <w:pPr>
      <w:widowControl/>
    </w:pPr>
    <w:rPr>
      <w:rFonts w:ascii="Times New Roman" w:hAnsi="Times New Roman"/>
      <w:kern w:val="0"/>
      <w:sz w:val="20"/>
      <w:szCs w:val="20"/>
      <w:lang w:eastAsia="en-US"/>
    </w:rPr>
  </w:style>
  <w:style w:type="character" w:customStyle="1" w:styleId="PlainTextChar">
    <w:name w:val="Plain Text Char"/>
    <w:basedOn w:val="DefaultParagraphFont"/>
    <w:link w:val="PlainText"/>
    <w:rsid w:val="00AB7026"/>
    <w:rPr>
      <w:rFonts w:ascii="Times New Roman" w:hAnsi="Times New Roman"/>
      <w:kern w:val="0"/>
      <w:sz w:val="20"/>
      <w:szCs w:val="20"/>
      <w:lang w:val="en-US" w:eastAsia="en-US"/>
    </w:rPr>
  </w:style>
  <w:style w:type="paragraph" w:customStyle="1" w:styleId="TITLEREC">
    <w:name w:val="TITLE REC"/>
    <w:basedOn w:val="Normal"/>
    <w:rsid w:val="00AB7026"/>
    <w:pPr>
      <w:widowControl/>
      <w:pBdr>
        <w:top w:val="double" w:sz="6" w:space="6" w:color="auto"/>
        <w:left w:val="double" w:sz="6" w:space="0" w:color="auto"/>
        <w:bottom w:val="double" w:sz="6" w:space="6" w:color="auto"/>
        <w:right w:val="double" w:sz="6" w:space="0" w:color="auto"/>
      </w:pBdr>
      <w:tabs>
        <w:tab w:val="right" w:pos="8902"/>
      </w:tabs>
      <w:jc w:val="center"/>
    </w:pPr>
    <w:rPr>
      <w:rFonts w:ascii="Times New Roman" w:hAnsi="Times New Roman"/>
      <w:b/>
      <w:bCs/>
      <w:kern w:val="0"/>
      <w:sz w:val="20"/>
      <w:szCs w:val="24"/>
      <w:lang w:eastAsia="en-US"/>
    </w:rPr>
  </w:style>
  <w:style w:type="paragraph" w:styleId="Caption">
    <w:name w:val="caption"/>
    <w:basedOn w:val="Normal"/>
    <w:next w:val="Normal"/>
    <w:qFormat/>
    <w:rsid w:val="00AB7026"/>
    <w:pPr>
      <w:autoSpaceDE w:val="0"/>
      <w:autoSpaceDN w:val="0"/>
      <w:adjustRightInd w:val="0"/>
      <w:snapToGrid w:val="0"/>
      <w:spacing w:line="200" w:lineRule="atLeast"/>
      <w:jc w:val="center"/>
    </w:pPr>
    <w:rPr>
      <w:rFonts w:ascii="Times New Roman" w:eastAsia="MS Mincho" w:hAnsi="Times New Roman"/>
      <w:b/>
      <w:bCs/>
      <w:kern w:val="0"/>
      <w:sz w:val="18"/>
      <w:szCs w:val="18"/>
      <w:lang w:eastAsia="ja-JP"/>
    </w:rPr>
  </w:style>
  <w:style w:type="paragraph" w:customStyle="1" w:styleId="1Paragraph">
    <w:name w:val="1Paragraph"/>
    <w:rsid w:val="00AB7026"/>
    <w:pPr>
      <w:tabs>
        <w:tab w:val="left" w:pos="720"/>
      </w:tabs>
      <w:autoSpaceDE w:val="0"/>
      <w:autoSpaceDN w:val="0"/>
      <w:adjustRightInd w:val="0"/>
      <w:ind w:left="720" w:hanging="720"/>
    </w:pPr>
    <w:rPr>
      <w:rFonts w:ascii="Courier 10cpi" w:hAnsi="Courier 10cpi"/>
      <w:kern w:val="0"/>
      <w:sz w:val="20"/>
      <w:lang w:val="en-US" w:eastAsia="en-US"/>
    </w:rPr>
  </w:style>
  <w:style w:type="paragraph" w:styleId="Date">
    <w:name w:val="Date"/>
    <w:basedOn w:val="Normal"/>
    <w:next w:val="Normal"/>
    <w:link w:val="DateChar"/>
    <w:rsid w:val="00AB7026"/>
    <w:pPr>
      <w:widowControl/>
    </w:pPr>
    <w:rPr>
      <w:rFonts w:ascii="Times New Roman" w:hAnsi="Times New Roman"/>
      <w:kern w:val="0"/>
      <w:sz w:val="20"/>
      <w:szCs w:val="20"/>
      <w:lang w:eastAsia="en-US"/>
    </w:rPr>
  </w:style>
  <w:style w:type="character" w:customStyle="1" w:styleId="DateChar">
    <w:name w:val="Date Char"/>
    <w:basedOn w:val="DefaultParagraphFont"/>
    <w:link w:val="Date"/>
    <w:rsid w:val="00AB7026"/>
    <w:rPr>
      <w:rFonts w:ascii="Times New Roman" w:hAnsi="Times New Roman"/>
      <w:kern w:val="0"/>
      <w:sz w:val="20"/>
      <w:szCs w:val="20"/>
      <w:lang w:val="en-US" w:eastAsia="en-US"/>
    </w:rPr>
  </w:style>
  <w:style w:type="character" w:customStyle="1" w:styleId="footnoteref">
    <w:name w:val="footnote ref"/>
    <w:rsid w:val="00AB7026"/>
  </w:style>
  <w:style w:type="paragraph" w:styleId="ListNumber">
    <w:name w:val="List Number"/>
    <w:basedOn w:val="Normal"/>
    <w:rsid w:val="00AB7026"/>
    <w:pPr>
      <w:widowControl/>
      <w:numPr>
        <w:numId w:val="5"/>
      </w:numPr>
      <w:spacing w:after="240"/>
      <w:jc w:val="both"/>
    </w:pPr>
    <w:rPr>
      <w:rFonts w:ascii="Times New Roman" w:hAnsi="Times New Roman"/>
      <w:kern w:val="0"/>
      <w:szCs w:val="20"/>
      <w:lang w:eastAsia="en-US"/>
    </w:rPr>
  </w:style>
  <w:style w:type="paragraph" w:customStyle="1" w:styleId="ListBullet1">
    <w:name w:val="List Bullet 1"/>
    <w:basedOn w:val="Normal"/>
    <w:rsid w:val="00AB7026"/>
    <w:pPr>
      <w:widowControl/>
      <w:numPr>
        <w:numId w:val="7"/>
      </w:numPr>
      <w:spacing w:after="240"/>
      <w:jc w:val="both"/>
    </w:pPr>
    <w:rPr>
      <w:rFonts w:ascii="Times New Roman" w:hAnsi="Times New Roman"/>
      <w:kern w:val="0"/>
      <w:szCs w:val="20"/>
      <w:lang w:eastAsia="en-US"/>
    </w:rPr>
  </w:style>
  <w:style w:type="paragraph" w:customStyle="1" w:styleId="ListDash">
    <w:name w:val="List Dash"/>
    <w:basedOn w:val="Normal"/>
    <w:rsid w:val="00AB7026"/>
    <w:pPr>
      <w:widowControl/>
      <w:numPr>
        <w:numId w:val="4"/>
      </w:numPr>
      <w:spacing w:after="240"/>
      <w:jc w:val="both"/>
    </w:pPr>
    <w:rPr>
      <w:rFonts w:ascii="Times New Roman" w:hAnsi="Times New Roman"/>
      <w:kern w:val="0"/>
      <w:szCs w:val="20"/>
      <w:lang w:eastAsia="en-US"/>
    </w:rPr>
  </w:style>
  <w:style w:type="paragraph" w:customStyle="1" w:styleId="ListNumberLevel2">
    <w:name w:val="List Number (Level 2)"/>
    <w:basedOn w:val="Normal"/>
    <w:rsid w:val="00AB7026"/>
    <w:pPr>
      <w:widowControl/>
      <w:numPr>
        <w:ilvl w:val="1"/>
        <w:numId w:val="5"/>
      </w:numPr>
      <w:spacing w:after="240"/>
      <w:jc w:val="both"/>
    </w:pPr>
    <w:rPr>
      <w:rFonts w:ascii="Times New Roman" w:hAnsi="Times New Roman"/>
      <w:kern w:val="0"/>
      <w:szCs w:val="20"/>
      <w:lang w:eastAsia="en-US"/>
    </w:rPr>
  </w:style>
  <w:style w:type="paragraph" w:customStyle="1" w:styleId="ListNumberLevel3">
    <w:name w:val="List Number (Level 3)"/>
    <w:basedOn w:val="Normal"/>
    <w:rsid w:val="00AB7026"/>
    <w:pPr>
      <w:widowControl/>
      <w:numPr>
        <w:ilvl w:val="2"/>
        <w:numId w:val="5"/>
      </w:numPr>
      <w:spacing w:after="240"/>
      <w:jc w:val="both"/>
    </w:pPr>
    <w:rPr>
      <w:rFonts w:ascii="Times New Roman" w:hAnsi="Times New Roman"/>
      <w:kern w:val="0"/>
      <w:szCs w:val="20"/>
      <w:lang w:eastAsia="en-US"/>
    </w:rPr>
  </w:style>
  <w:style w:type="paragraph" w:customStyle="1" w:styleId="ListNumberLevel4">
    <w:name w:val="List Number (Level 4)"/>
    <w:basedOn w:val="Normal"/>
    <w:rsid w:val="00AB7026"/>
    <w:pPr>
      <w:widowControl/>
      <w:numPr>
        <w:ilvl w:val="3"/>
        <w:numId w:val="5"/>
      </w:numPr>
      <w:spacing w:after="240"/>
      <w:jc w:val="both"/>
    </w:pPr>
    <w:rPr>
      <w:rFonts w:ascii="Times New Roman" w:hAnsi="Times New Roman"/>
      <w:kern w:val="0"/>
      <w:szCs w:val="20"/>
      <w:lang w:eastAsia="en-US"/>
    </w:rPr>
  </w:style>
  <w:style w:type="table" w:styleId="TableGrid">
    <w:name w:val="Table Grid"/>
    <w:basedOn w:val="TableNormal"/>
    <w:rsid w:val="00AB7026"/>
    <w:rPr>
      <w:rFonts w:ascii="Times New Roman" w:hAnsi="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AB7026"/>
    <w:pPr>
      <w:widowControl/>
      <w:spacing w:before="720" w:after="720"/>
      <w:jc w:val="center"/>
    </w:pPr>
    <w:rPr>
      <w:rFonts w:ascii="Times New Roman" w:hAnsi="Times New Roman"/>
      <w:b/>
      <w:smallCaps/>
      <w:kern w:val="0"/>
      <w:szCs w:val="20"/>
      <w:lang w:val="fr-FR" w:eastAsia="en-US"/>
    </w:rPr>
  </w:style>
  <w:style w:type="paragraph" w:customStyle="1" w:styleId="ListDash2">
    <w:name w:val="List Dash 2"/>
    <w:basedOn w:val="Normal"/>
    <w:rsid w:val="00AB7026"/>
    <w:pPr>
      <w:widowControl/>
      <w:numPr>
        <w:numId w:val="6"/>
      </w:numPr>
      <w:spacing w:after="240"/>
      <w:jc w:val="both"/>
    </w:pPr>
    <w:rPr>
      <w:rFonts w:ascii="Times New Roman" w:hAnsi="Times New Roman"/>
      <w:kern w:val="0"/>
      <w:szCs w:val="20"/>
      <w:lang w:val="fr-FR" w:eastAsia="en-US"/>
    </w:rPr>
  </w:style>
  <w:style w:type="paragraph" w:customStyle="1" w:styleId="ListNumber1Level2">
    <w:name w:val="List Number 1 (Level 2)"/>
    <w:basedOn w:val="Text1"/>
    <w:rsid w:val="00AB7026"/>
    <w:pPr>
      <w:overflowPunct/>
      <w:autoSpaceDE/>
      <w:autoSpaceDN/>
      <w:adjustRightInd/>
      <w:ind w:left="0"/>
      <w:textAlignment w:val="auto"/>
    </w:pPr>
    <w:rPr>
      <w:rFonts w:eastAsia="Calibri"/>
      <w:sz w:val="24"/>
      <w:lang w:val="fr-FR"/>
    </w:rPr>
  </w:style>
  <w:style w:type="paragraph" w:styleId="ListBullet">
    <w:name w:val="List Bullet"/>
    <w:basedOn w:val="Normal"/>
    <w:autoRedefine/>
    <w:rsid w:val="00AB7026"/>
    <w:pPr>
      <w:widowControl/>
      <w:jc w:val="both"/>
    </w:pPr>
    <w:rPr>
      <w:rFonts w:ascii="Times New Roman" w:hAnsi="Times New Roman"/>
      <w:kern w:val="0"/>
      <w:sz w:val="20"/>
      <w:szCs w:val="20"/>
      <w:lang w:val="en-GB" w:eastAsia="en-GB"/>
    </w:rPr>
  </w:style>
  <w:style w:type="paragraph" w:customStyle="1" w:styleId="paragraphtextnumbered">
    <w:name w:val="paragraph text numbered"/>
    <w:aliases w:val="ptn"/>
    <w:basedOn w:val="Normal"/>
    <w:link w:val="paragraphtextnumberedChar"/>
    <w:rsid w:val="00AB7026"/>
    <w:pPr>
      <w:spacing w:after="240"/>
      <w:ind w:left="567" w:hanging="567"/>
      <w:jc w:val="both"/>
    </w:pPr>
    <w:rPr>
      <w:rFonts w:ascii="Times" w:hAnsi="Times"/>
      <w:bCs/>
      <w:kern w:val="0"/>
      <w:sz w:val="20"/>
      <w:szCs w:val="20"/>
      <w:lang w:val="en-AU" w:eastAsia="en-US"/>
    </w:rPr>
  </w:style>
  <w:style w:type="paragraph" w:customStyle="1" w:styleId="cmpara">
    <w:name w:val="cm para"/>
    <w:aliases w:val="cmp"/>
    <w:basedOn w:val="Normal"/>
    <w:rsid w:val="00AB7026"/>
    <w:pPr>
      <w:widowControl/>
      <w:spacing w:after="240"/>
      <w:jc w:val="both"/>
    </w:pPr>
    <w:rPr>
      <w:rFonts w:ascii="Times New Roman" w:hAnsi="Times New Roman"/>
      <w:kern w:val="0"/>
      <w:szCs w:val="20"/>
      <w:lang w:val="en-AU" w:eastAsia="en-US"/>
    </w:rPr>
  </w:style>
  <w:style w:type="paragraph" w:customStyle="1" w:styleId="cmsubpara">
    <w:name w:val="cm subpara"/>
    <w:aliases w:val="cmsp"/>
    <w:basedOn w:val="Normal"/>
    <w:rsid w:val="00AB7026"/>
    <w:pPr>
      <w:widowControl/>
      <w:spacing w:after="240"/>
      <w:ind w:left="1120" w:hanging="567"/>
      <w:jc w:val="both"/>
    </w:pPr>
    <w:rPr>
      <w:rFonts w:ascii="Times New Roman" w:hAnsi="Times New Roman"/>
      <w:kern w:val="0"/>
      <w:szCs w:val="20"/>
      <w:lang w:val="en-AU" w:eastAsia="en-US"/>
    </w:rPr>
  </w:style>
  <w:style w:type="paragraph" w:customStyle="1" w:styleId="paragraphtextindented">
    <w:name w:val="paragraph text indented"/>
    <w:aliases w:val="pti"/>
    <w:basedOn w:val="Normal"/>
    <w:rsid w:val="00AB7026"/>
    <w:pPr>
      <w:widowControl/>
      <w:spacing w:after="240"/>
      <w:ind w:left="568" w:hanging="284"/>
      <w:jc w:val="both"/>
    </w:pPr>
    <w:rPr>
      <w:rFonts w:ascii="Times" w:hAnsi="Times"/>
      <w:kern w:val="0"/>
      <w:szCs w:val="20"/>
      <w:lang w:val="en-AU" w:eastAsia="en-US"/>
    </w:rPr>
  </w:style>
  <w:style w:type="character" w:customStyle="1" w:styleId="paragraphtextnumberedChar">
    <w:name w:val="paragraph text numbered Char"/>
    <w:aliases w:val="ptn Char"/>
    <w:link w:val="paragraphtextnumbered"/>
    <w:rsid w:val="00AB7026"/>
    <w:rPr>
      <w:rFonts w:ascii="Times" w:hAnsi="Times"/>
      <w:bCs/>
      <w:kern w:val="0"/>
      <w:sz w:val="20"/>
      <w:szCs w:val="20"/>
      <w:lang w:val="en-AU" w:eastAsia="en-US"/>
    </w:rPr>
  </w:style>
  <w:style w:type="paragraph" w:customStyle="1" w:styleId="Default">
    <w:name w:val="Default"/>
    <w:rsid w:val="00AB7026"/>
    <w:pPr>
      <w:autoSpaceDE w:val="0"/>
      <w:autoSpaceDN w:val="0"/>
      <w:adjustRightInd w:val="0"/>
    </w:pPr>
    <w:rPr>
      <w:rFonts w:ascii="Times New Roman" w:hAnsi="Times New Roman"/>
      <w:color w:val="000000"/>
      <w:kern w:val="0"/>
      <w:lang w:val="tr-TR" w:eastAsia="tr-TR"/>
    </w:rPr>
  </w:style>
  <w:style w:type="paragraph" w:styleId="List">
    <w:name w:val="List"/>
    <w:basedOn w:val="Normal"/>
    <w:rsid w:val="00AB7026"/>
    <w:pPr>
      <w:widowControl/>
      <w:ind w:left="283" w:hanging="283"/>
    </w:pPr>
    <w:rPr>
      <w:rFonts w:ascii="Times New Roman" w:hAnsi="Times New Roman"/>
      <w:kern w:val="0"/>
      <w:sz w:val="20"/>
      <w:szCs w:val="24"/>
      <w:lang w:eastAsia="en-US"/>
    </w:rPr>
  </w:style>
  <w:style w:type="paragraph" w:customStyle="1" w:styleId="BPtext">
    <w:name w:val="BP text"/>
    <w:basedOn w:val="Default"/>
    <w:next w:val="Default"/>
    <w:rsid w:val="00AB7026"/>
    <w:rPr>
      <w:color w:val="auto"/>
      <w:lang w:val="nb-NO" w:eastAsia="nb-NO"/>
    </w:rPr>
  </w:style>
  <w:style w:type="paragraph" w:customStyle="1" w:styleId="Paragraphedeliste1">
    <w:name w:val="Paragraphe de liste1"/>
    <w:basedOn w:val="Normal"/>
    <w:rsid w:val="00AB7026"/>
    <w:pPr>
      <w:widowControl/>
      <w:spacing w:after="200" w:line="276" w:lineRule="auto"/>
      <w:ind w:left="720"/>
    </w:pPr>
    <w:rPr>
      <w:rFonts w:ascii="Calibri" w:eastAsia="Times New Roman" w:hAnsi="Calibri"/>
      <w:kern w:val="0"/>
      <w:sz w:val="22"/>
      <w:lang w:eastAsia="en-US"/>
    </w:rPr>
  </w:style>
  <w:style w:type="character" w:customStyle="1" w:styleId="FooterChar1">
    <w:name w:val="Footer Char1"/>
    <w:rsid w:val="00AB7026"/>
    <w:rPr>
      <w:rFonts w:cs="Times New Roman"/>
    </w:rPr>
  </w:style>
  <w:style w:type="paragraph" w:customStyle="1" w:styleId="LightGrid-Accent31">
    <w:name w:val="Light Grid - Accent 31"/>
    <w:basedOn w:val="Normal"/>
    <w:qFormat/>
    <w:rsid w:val="00AB7026"/>
    <w:pPr>
      <w:widowControl/>
      <w:ind w:left="720"/>
    </w:pPr>
    <w:rPr>
      <w:rFonts w:ascii="Times New Roman" w:hAnsi="Times New Roman"/>
      <w:kern w:val="0"/>
      <w:sz w:val="20"/>
      <w:szCs w:val="24"/>
      <w:lang w:eastAsia="en-US"/>
    </w:rPr>
  </w:style>
  <w:style w:type="paragraph" w:styleId="EndnoteText">
    <w:name w:val="endnote text"/>
    <w:basedOn w:val="Normal"/>
    <w:link w:val="EndnoteTextChar"/>
    <w:semiHidden/>
    <w:rsid w:val="00AB7026"/>
    <w:pPr>
      <w:widowControl/>
    </w:pPr>
    <w:rPr>
      <w:rFonts w:ascii="Times New Roman" w:hAnsi="Times New Roman"/>
      <w:kern w:val="0"/>
      <w:sz w:val="20"/>
      <w:szCs w:val="20"/>
      <w:lang w:eastAsia="en-US"/>
    </w:rPr>
  </w:style>
  <w:style w:type="character" w:customStyle="1" w:styleId="EndnoteTextChar">
    <w:name w:val="Endnote Text Char"/>
    <w:basedOn w:val="DefaultParagraphFont"/>
    <w:link w:val="EndnoteText"/>
    <w:semiHidden/>
    <w:rsid w:val="00AB7026"/>
    <w:rPr>
      <w:rFonts w:ascii="Times New Roman" w:hAnsi="Times New Roman"/>
      <w:kern w:val="0"/>
      <w:sz w:val="20"/>
      <w:szCs w:val="20"/>
      <w:lang w:val="en-US" w:eastAsia="en-US"/>
    </w:rPr>
  </w:style>
  <w:style w:type="character" w:styleId="EndnoteReference">
    <w:name w:val="endnote reference"/>
    <w:semiHidden/>
    <w:rsid w:val="00AB7026"/>
    <w:rPr>
      <w:rFonts w:cs="Times New Roman"/>
      <w:vertAlign w:val="superscript"/>
    </w:rPr>
  </w:style>
  <w:style w:type="character" w:styleId="Hyperlink">
    <w:name w:val="Hyperlink"/>
    <w:uiPriority w:val="99"/>
    <w:rsid w:val="00AB7026"/>
    <w:rPr>
      <w:rFonts w:cs="Times New Roman"/>
      <w:color w:val="0000FF"/>
      <w:u w:val="single"/>
    </w:rPr>
  </w:style>
  <w:style w:type="paragraph" w:customStyle="1" w:styleId="Point0">
    <w:name w:val="Point 0"/>
    <w:basedOn w:val="Normal"/>
    <w:rsid w:val="00AB7026"/>
    <w:pPr>
      <w:widowControl/>
      <w:spacing w:before="120" w:after="120"/>
      <w:ind w:left="850" w:hanging="850"/>
      <w:jc w:val="both"/>
    </w:pPr>
    <w:rPr>
      <w:rFonts w:ascii="Times New Roman" w:hAnsi="Times New Roman"/>
      <w:kern w:val="0"/>
      <w:szCs w:val="24"/>
      <w:lang w:val="en-GB" w:eastAsia="de-DE"/>
    </w:rPr>
  </w:style>
  <w:style w:type="paragraph" w:customStyle="1" w:styleId="Point1">
    <w:name w:val="Point 1"/>
    <w:basedOn w:val="Normal"/>
    <w:rsid w:val="00AB7026"/>
    <w:pPr>
      <w:widowControl/>
      <w:spacing w:before="120" w:after="120"/>
      <w:ind w:left="1417" w:hanging="567"/>
      <w:jc w:val="both"/>
    </w:pPr>
    <w:rPr>
      <w:rFonts w:ascii="Times New Roman" w:hAnsi="Times New Roman"/>
      <w:kern w:val="0"/>
      <w:szCs w:val="24"/>
      <w:lang w:val="en-GB" w:eastAsia="de-DE"/>
    </w:rPr>
  </w:style>
  <w:style w:type="paragraph" w:customStyle="1" w:styleId="Copies">
    <w:name w:val="Copies"/>
    <w:basedOn w:val="Normal"/>
    <w:next w:val="Normal"/>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fr-FR" w:eastAsia="ar-SA"/>
    </w:rPr>
  </w:style>
  <w:style w:type="paragraph" w:customStyle="1" w:styleId="Text3">
    <w:name w:val="Text 3"/>
    <w:basedOn w:val="Normal"/>
    <w:rsid w:val="00AB7026"/>
    <w:pPr>
      <w:widowControl/>
      <w:tabs>
        <w:tab w:val="left" w:pos="2302"/>
      </w:tabs>
      <w:suppressAutoHyphens/>
      <w:spacing w:after="240"/>
      <w:ind w:left="1916"/>
      <w:jc w:val="both"/>
    </w:pPr>
    <w:rPr>
      <w:rFonts w:ascii="Times New Roman" w:hAnsi="Times New Roman"/>
      <w:kern w:val="0"/>
      <w:szCs w:val="20"/>
      <w:lang w:val="en-GB" w:eastAsia="ar-SA"/>
    </w:rPr>
  </w:style>
  <w:style w:type="paragraph" w:customStyle="1" w:styleId="Text4">
    <w:name w:val="Text 4"/>
    <w:basedOn w:val="Normal"/>
    <w:rsid w:val="00AB7026"/>
    <w:pPr>
      <w:widowControl/>
      <w:suppressAutoHyphens/>
      <w:spacing w:after="240"/>
      <w:ind w:left="2880"/>
      <w:jc w:val="both"/>
    </w:pPr>
    <w:rPr>
      <w:rFonts w:ascii="Times New Roman" w:hAnsi="Times New Roman"/>
      <w:kern w:val="0"/>
      <w:szCs w:val="20"/>
      <w:lang w:val="en-GB" w:eastAsia="ar-SA"/>
    </w:rPr>
  </w:style>
  <w:style w:type="character" w:customStyle="1" w:styleId="WW8Num3z0">
    <w:name w:val="WW8Num3z0"/>
    <w:rsid w:val="00AB7026"/>
    <w:rPr>
      <w:rFonts w:ascii="Symbol" w:hAnsi="Symbol"/>
    </w:rPr>
  </w:style>
  <w:style w:type="character" w:customStyle="1" w:styleId="WW8Num4z2">
    <w:name w:val="WW8Num4z2"/>
    <w:rsid w:val="00AB7026"/>
    <w:rPr>
      <w:rFonts w:ascii="Times New Roman" w:hAnsi="Times New Roman"/>
    </w:rPr>
  </w:style>
  <w:style w:type="character" w:customStyle="1" w:styleId="WW8Num4z3">
    <w:name w:val="WW8Num4z3"/>
    <w:rsid w:val="00AB7026"/>
    <w:rPr>
      <w:rFonts w:ascii="Symbol" w:hAnsi="Symbol"/>
    </w:rPr>
  </w:style>
  <w:style w:type="character" w:customStyle="1" w:styleId="WW8Num5z0">
    <w:name w:val="WW8Num5z0"/>
    <w:rsid w:val="00AB7026"/>
    <w:rPr>
      <w:rFonts w:ascii="Symbol" w:hAnsi="Symbol"/>
    </w:rPr>
  </w:style>
  <w:style w:type="character" w:customStyle="1" w:styleId="WW8Num6z0">
    <w:name w:val="WW8Num6z0"/>
    <w:rsid w:val="00AB7026"/>
    <w:rPr>
      <w:rFonts w:ascii="Times New Roman" w:hAnsi="Times New Roman"/>
    </w:rPr>
  </w:style>
  <w:style w:type="character" w:customStyle="1" w:styleId="WW8Num7z0">
    <w:name w:val="WW8Num7z0"/>
    <w:rsid w:val="00AB7026"/>
    <w:rPr>
      <w:rFonts w:ascii="Symbol" w:hAnsi="Symbol"/>
    </w:rPr>
  </w:style>
  <w:style w:type="character" w:customStyle="1" w:styleId="WW8Num8z0">
    <w:name w:val="WW8Num8z0"/>
    <w:rsid w:val="00AB7026"/>
    <w:rPr>
      <w:rFonts w:ascii="Symbol" w:hAnsi="Symbol"/>
    </w:rPr>
  </w:style>
  <w:style w:type="character" w:customStyle="1" w:styleId="WW8Num9z0">
    <w:name w:val="WW8Num9z0"/>
    <w:rsid w:val="00AB7026"/>
    <w:rPr>
      <w:rFonts w:ascii="Symbol" w:hAnsi="Symbol"/>
    </w:rPr>
  </w:style>
  <w:style w:type="character" w:customStyle="1" w:styleId="WW8Num10z2">
    <w:name w:val="WW8Num10z2"/>
    <w:rsid w:val="00AB7026"/>
    <w:rPr>
      <w:rFonts w:ascii="Times New Roman" w:hAnsi="Times New Roman"/>
    </w:rPr>
  </w:style>
  <w:style w:type="character" w:customStyle="1" w:styleId="WW8Num10z3">
    <w:name w:val="WW8Num10z3"/>
    <w:rsid w:val="00AB7026"/>
    <w:rPr>
      <w:rFonts w:ascii="Symbol" w:hAnsi="Symbol"/>
    </w:rPr>
  </w:style>
  <w:style w:type="character" w:customStyle="1" w:styleId="WW8Num11z2">
    <w:name w:val="WW8Num11z2"/>
    <w:rsid w:val="00AB7026"/>
    <w:rPr>
      <w:rFonts w:ascii="Times New Roman" w:hAnsi="Times New Roman"/>
    </w:rPr>
  </w:style>
  <w:style w:type="character" w:customStyle="1" w:styleId="WW8Num11z3">
    <w:name w:val="WW8Num11z3"/>
    <w:rsid w:val="00AB7026"/>
    <w:rPr>
      <w:rFonts w:ascii="Symbol" w:hAnsi="Symbol"/>
    </w:rPr>
  </w:style>
  <w:style w:type="character" w:customStyle="1" w:styleId="WW8Num12z2">
    <w:name w:val="WW8Num12z2"/>
    <w:rsid w:val="00AB7026"/>
    <w:rPr>
      <w:rFonts w:ascii="Times New Roman" w:hAnsi="Times New Roman"/>
    </w:rPr>
  </w:style>
  <w:style w:type="character" w:customStyle="1" w:styleId="WW8Num12z3">
    <w:name w:val="WW8Num12z3"/>
    <w:rsid w:val="00AB7026"/>
    <w:rPr>
      <w:rFonts w:ascii="Symbol" w:hAnsi="Symbol"/>
    </w:rPr>
  </w:style>
  <w:style w:type="character" w:customStyle="1" w:styleId="WW8Num13z2">
    <w:name w:val="WW8Num13z2"/>
    <w:rsid w:val="00AB7026"/>
    <w:rPr>
      <w:rFonts w:ascii="Times New Roman" w:hAnsi="Times New Roman"/>
    </w:rPr>
  </w:style>
  <w:style w:type="character" w:customStyle="1" w:styleId="WW8Num13z3">
    <w:name w:val="WW8Num13z3"/>
    <w:rsid w:val="00AB7026"/>
    <w:rPr>
      <w:rFonts w:ascii="Symbol" w:hAnsi="Symbol"/>
    </w:rPr>
  </w:style>
  <w:style w:type="character" w:customStyle="1" w:styleId="WW8Num14z0">
    <w:name w:val="WW8Num14z0"/>
    <w:rsid w:val="00AB7026"/>
    <w:rPr>
      <w:rFonts w:ascii="Times New Roman" w:hAnsi="Times New Roman"/>
    </w:rPr>
  </w:style>
  <w:style w:type="character" w:customStyle="1" w:styleId="WW8Num15z0">
    <w:name w:val="WW8Num15z0"/>
    <w:rsid w:val="00AB7026"/>
    <w:rPr>
      <w:rFonts w:ascii="Symbol" w:hAnsi="Symbol"/>
    </w:rPr>
  </w:style>
  <w:style w:type="character" w:customStyle="1" w:styleId="WW8Num16z0">
    <w:name w:val="WW8Num16z0"/>
    <w:rsid w:val="00AB7026"/>
    <w:rPr>
      <w:rFonts w:ascii="Times New Roman" w:hAnsi="Times New Roman"/>
    </w:rPr>
  </w:style>
  <w:style w:type="character" w:customStyle="1" w:styleId="WW8Num17z0">
    <w:name w:val="WW8Num17z0"/>
    <w:rsid w:val="00AB7026"/>
    <w:rPr>
      <w:rFonts w:ascii="Times New Roman" w:hAnsi="Times New Roman"/>
    </w:rPr>
  </w:style>
  <w:style w:type="character" w:customStyle="1" w:styleId="WW8Num18z0">
    <w:name w:val="WW8Num18z0"/>
    <w:rsid w:val="00AB7026"/>
    <w:rPr>
      <w:rFonts w:ascii="Times New Roman" w:hAnsi="Times New Roman"/>
    </w:rPr>
  </w:style>
  <w:style w:type="character" w:customStyle="1" w:styleId="Absatz-Standardschriftart">
    <w:name w:val="Absatz-Standardschriftart"/>
    <w:rsid w:val="00AB7026"/>
  </w:style>
  <w:style w:type="character" w:customStyle="1" w:styleId="WW8Num2z0">
    <w:name w:val="WW8Num2z0"/>
    <w:rsid w:val="00AB7026"/>
    <w:rPr>
      <w:rFonts w:ascii="Symbol" w:hAnsi="Symbol"/>
    </w:rPr>
  </w:style>
  <w:style w:type="character" w:customStyle="1" w:styleId="WW8Num3z2">
    <w:name w:val="WW8Num3z2"/>
    <w:rsid w:val="00AB7026"/>
    <w:rPr>
      <w:rFonts w:ascii="Times New Roman" w:hAnsi="Times New Roman"/>
    </w:rPr>
  </w:style>
  <w:style w:type="character" w:customStyle="1" w:styleId="WW8Num3z3">
    <w:name w:val="WW8Num3z3"/>
    <w:rsid w:val="00AB7026"/>
    <w:rPr>
      <w:rFonts w:ascii="Symbol" w:hAnsi="Symbol"/>
    </w:rPr>
  </w:style>
  <w:style w:type="character" w:customStyle="1" w:styleId="WW8Num4z0">
    <w:name w:val="WW8Num4z0"/>
    <w:rsid w:val="00AB7026"/>
    <w:rPr>
      <w:rFonts w:ascii="Symbol" w:hAnsi="Symbol"/>
    </w:rPr>
  </w:style>
  <w:style w:type="character" w:customStyle="1" w:styleId="WW8Num9z2">
    <w:name w:val="WW8Num9z2"/>
    <w:rsid w:val="00AB7026"/>
    <w:rPr>
      <w:rFonts w:ascii="Times New Roman" w:hAnsi="Times New Roman"/>
    </w:rPr>
  </w:style>
  <w:style w:type="character" w:customStyle="1" w:styleId="WW8Num9z3">
    <w:name w:val="WW8Num9z3"/>
    <w:rsid w:val="00AB7026"/>
    <w:rPr>
      <w:rFonts w:ascii="Symbol" w:hAnsi="Symbol"/>
    </w:rPr>
  </w:style>
  <w:style w:type="character" w:customStyle="1" w:styleId="WW8Num14z1">
    <w:name w:val="WW8Num14z1"/>
    <w:rsid w:val="00AB7026"/>
    <w:rPr>
      <w:rFonts w:ascii="Courier New" w:hAnsi="Courier New"/>
    </w:rPr>
  </w:style>
  <w:style w:type="character" w:customStyle="1" w:styleId="WW8Num14z2">
    <w:name w:val="WW8Num14z2"/>
    <w:rsid w:val="00AB7026"/>
    <w:rPr>
      <w:rFonts w:ascii="Wingdings" w:hAnsi="Wingdings"/>
    </w:rPr>
  </w:style>
  <w:style w:type="character" w:customStyle="1" w:styleId="WW8Num14z3">
    <w:name w:val="WW8Num14z3"/>
    <w:rsid w:val="00AB7026"/>
    <w:rPr>
      <w:rFonts w:ascii="Symbol" w:hAnsi="Symbol"/>
    </w:rPr>
  </w:style>
  <w:style w:type="character" w:customStyle="1" w:styleId="WW8Num19z0">
    <w:name w:val="WW8Num19z0"/>
    <w:rsid w:val="00AB7026"/>
    <w:rPr>
      <w:rFonts w:ascii="Times New Roman" w:hAnsi="Times New Roman"/>
    </w:rPr>
  </w:style>
  <w:style w:type="character" w:styleId="FollowedHyperlink">
    <w:name w:val="FollowedHyperlink"/>
    <w:rsid w:val="00AB7026"/>
    <w:rPr>
      <w:rFonts w:cs="Times New Roman"/>
      <w:color w:val="800080"/>
      <w:u w:val="single"/>
    </w:rPr>
  </w:style>
  <w:style w:type="character" w:customStyle="1" w:styleId="FootnoteCharacters">
    <w:name w:val="Footnote Characters"/>
    <w:rsid w:val="00AB7026"/>
    <w:rPr>
      <w:rFonts w:cs="Times New Roman"/>
      <w:vertAlign w:val="superscript"/>
    </w:rPr>
  </w:style>
  <w:style w:type="paragraph" w:customStyle="1" w:styleId="Heading">
    <w:name w:val="Heading"/>
    <w:basedOn w:val="Normal"/>
    <w:next w:val="BodyText"/>
    <w:rsid w:val="00AB7026"/>
    <w:pPr>
      <w:keepNext/>
      <w:widowControl/>
      <w:suppressAutoHyphens/>
      <w:spacing w:before="240" w:after="120"/>
      <w:jc w:val="both"/>
    </w:pPr>
    <w:rPr>
      <w:rFonts w:ascii="Arial" w:eastAsia="SimSun" w:hAnsi="Arial" w:cs="Tahoma"/>
      <w:kern w:val="0"/>
      <w:sz w:val="28"/>
      <w:szCs w:val="28"/>
      <w:lang w:val="en-GB" w:eastAsia="ar-SA"/>
    </w:rPr>
  </w:style>
  <w:style w:type="paragraph" w:customStyle="1" w:styleId="Index">
    <w:name w:val="Index"/>
    <w:basedOn w:val="Normal"/>
    <w:rsid w:val="00AB7026"/>
    <w:pPr>
      <w:widowControl/>
      <w:suppressLineNumbers/>
      <w:suppressAutoHyphens/>
      <w:spacing w:after="240"/>
      <w:jc w:val="both"/>
    </w:pPr>
    <w:rPr>
      <w:rFonts w:ascii="Times New Roman" w:hAnsi="Times New Roman" w:cs="Tahoma"/>
      <w:kern w:val="0"/>
      <w:szCs w:val="20"/>
      <w:lang w:val="en-GB" w:eastAsia="ar-SA"/>
    </w:rPr>
  </w:style>
  <w:style w:type="paragraph" w:customStyle="1" w:styleId="Address">
    <w:name w:val="Address"/>
    <w:basedOn w:val="Normal"/>
    <w:rsid w:val="00AB7026"/>
    <w:pPr>
      <w:widowControl/>
      <w:suppressAutoHyphens/>
    </w:pPr>
    <w:rPr>
      <w:rFonts w:ascii="Times New Roman" w:hAnsi="Times New Roman"/>
      <w:kern w:val="0"/>
      <w:szCs w:val="20"/>
      <w:lang w:val="en-GB" w:eastAsia="ar-SA"/>
    </w:rPr>
  </w:style>
  <w:style w:type="paragraph" w:customStyle="1" w:styleId="AddressTL">
    <w:name w:val="AddressTL"/>
    <w:basedOn w:val="Normal"/>
    <w:next w:val="Normal"/>
    <w:rsid w:val="00AB7026"/>
    <w:pPr>
      <w:widowControl/>
      <w:suppressAutoHyphens/>
      <w:spacing w:after="720"/>
    </w:pPr>
    <w:rPr>
      <w:rFonts w:ascii="Times New Roman" w:hAnsi="Times New Roman"/>
      <w:kern w:val="0"/>
      <w:szCs w:val="20"/>
      <w:lang w:val="en-GB" w:eastAsia="ar-SA"/>
    </w:rPr>
  </w:style>
  <w:style w:type="paragraph" w:customStyle="1" w:styleId="AddressTR">
    <w:name w:val="AddressTR"/>
    <w:basedOn w:val="Normal"/>
    <w:next w:val="Normal"/>
    <w:rsid w:val="00AB7026"/>
    <w:pPr>
      <w:widowControl/>
      <w:suppressAutoHyphens/>
      <w:spacing w:after="720"/>
      <w:ind w:left="5103"/>
    </w:pPr>
    <w:rPr>
      <w:rFonts w:ascii="Times New Roman" w:hAnsi="Times New Roman"/>
      <w:kern w:val="0"/>
      <w:szCs w:val="20"/>
      <w:lang w:val="en-GB" w:eastAsia="ar-SA"/>
    </w:rPr>
  </w:style>
  <w:style w:type="paragraph" w:styleId="BodyTextFirstIndent">
    <w:name w:val="Body Text First Indent"/>
    <w:basedOn w:val="BodyText"/>
    <w:link w:val="BodyTextFirstIndentChar"/>
    <w:rsid w:val="00AB7026"/>
    <w:pPr>
      <w:suppressAutoHyphens/>
      <w:spacing w:after="120"/>
      <w:ind w:firstLine="210"/>
      <w:jc w:val="both"/>
    </w:pPr>
    <w:rPr>
      <w:sz w:val="20"/>
      <w:szCs w:val="20"/>
      <w:lang w:val="en-GB" w:eastAsia="ar-SA"/>
    </w:rPr>
  </w:style>
  <w:style w:type="character" w:customStyle="1" w:styleId="BodyTextFirstIndentChar">
    <w:name w:val="Body Text First Indent Char"/>
    <w:basedOn w:val="BodyTextChar"/>
    <w:link w:val="BodyTextFirstIndent"/>
    <w:rsid w:val="00AB7026"/>
    <w:rPr>
      <w:rFonts w:ascii="Times New Roman" w:hAnsi="Times New Roman"/>
      <w:kern w:val="0"/>
      <w:sz w:val="20"/>
      <w:szCs w:val="20"/>
      <w:lang w:val="en-US" w:eastAsia="ar-SA"/>
    </w:rPr>
  </w:style>
  <w:style w:type="paragraph" w:styleId="BodyTextFirstIndent2">
    <w:name w:val="Body Text First Indent 2"/>
    <w:basedOn w:val="BodyTextIndent"/>
    <w:link w:val="BodyTextFirstIndent2Char"/>
    <w:rsid w:val="00AB7026"/>
    <w:pPr>
      <w:widowControl/>
      <w:suppressAutoHyphens/>
      <w:spacing w:after="120"/>
      <w:ind w:left="283" w:firstLine="210"/>
      <w:jc w:val="both"/>
    </w:pPr>
    <w:rPr>
      <w:i w:val="0"/>
      <w:lang w:val="en-GB" w:eastAsia="ar-SA"/>
    </w:rPr>
  </w:style>
  <w:style w:type="character" w:customStyle="1" w:styleId="BodyTextFirstIndent2Char">
    <w:name w:val="Body Text First Indent 2 Char"/>
    <w:basedOn w:val="BodyTextIndentChar"/>
    <w:link w:val="BodyTextFirstIndent2"/>
    <w:rsid w:val="00AB7026"/>
    <w:rPr>
      <w:rFonts w:ascii="Times New Roman" w:hAnsi="Times New Roman"/>
      <w:kern w:val="0"/>
      <w:sz w:val="20"/>
      <w:szCs w:val="20"/>
      <w:lang w:val="en-US" w:eastAsia="ar-SA"/>
    </w:rPr>
  </w:style>
  <w:style w:type="paragraph" w:styleId="Closing">
    <w:name w:val="Closing"/>
    <w:basedOn w:val="Normal"/>
    <w:next w:val="Signature"/>
    <w:link w:val="ClosingChar"/>
    <w:rsid w:val="00AB7026"/>
    <w:pPr>
      <w:widowControl/>
      <w:tabs>
        <w:tab w:val="left" w:pos="5103"/>
      </w:tabs>
      <w:suppressAutoHyphens/>
      <w:spacing w:before="240" w:after="240"/>
      <w:ind w:left="5103"/>
    </w:pPr>
    <w:rPr>
      <w:rFonts w:ascii="Times New Roman" w:hAnsi="Times New Roman"/>
      <w:kern w:val="0"/>
      <w:sz w:val="20"/>
      <w:szCs w:val="20"/>
      <w:lang w:val="en-GB" w:eastAsia="ar-SA"/>
    </w:rPr>
  </w:style>
  <w:style w:type="character" w:customStyle="1" w:styleId="ClosingChar">
    <w:name w:val="Closing Char"/>
    <w:basedOn w:val="DefaultParagraphFont"/>
    <w:link w:val="Closing"/>
    <w:rsid w:val="00AB7026"/>
    <w:rPr>
      <w:rFonts w:ascii="Times New Roman" w:hAnsi="Times New Roman"/>
      <w:kern w:val="0"/>
      <w:sz w:val="20"/>
      <w:szCs w:val="20"/>
      <w:lang w:eastAsia="ar-SA"/>
    </w:rPr>
  </w:style>
  <w:style w:type="paragraph" w:styleId="Signature">
    <w:name w:val="Signature"/>
    <w:basedOn w:val="Normal"/>
    <w:next w:val="Contact"/>
    <w:link w:val="SignatureChar"/>
    <w:rsid w:val="00AB7026"/>
    <w:pPr>
      <w:widowControl/>
      <w:tabs>
        <w:tab w:val="left" w:pos="5103"/>
      </w:tabs>
      <w:suppressAutoHyphens/>
      <w:spacing w:before="1200"/>
      <w:ind w:left="5103"/>
      <w:jc w:val="center"/>
    </w:pPr>
    <w:rPr>
      <w:rFonts w:ascii="Times New Roman" w:hAnsi="Times New Roman"/>
      <w:kern w:val="0"/>
      <w:sz w:val="20"/>
      <w:szCs w:val="20"/>
      <w:lang w:val="en-GB" w:eastAsia="ar-SA"/>
    </w:rPr>
  </w:style>
  <w:style w:type="character" w:customStyle="1" w:styleId="SignatureChar">
    <w:name w:val="Signature Char"/>
    <w:basedOn w:val="DefaultParagraphFont"/>
    <w:link w:val="Signature"/>
    <w:rsid w:val="00AB7026"/>
    <w:rPr>
      <w:rFonts w:ascii="Times New Roman" w:hAnsi="Times New Roman"/>
      <w:kern w:val="0"/>
      <w:sz w:val="20"/>
      <w:szCs w:val="20"/>
      <w:lang w:eastAsia="ar-SA"/>
    </w:rPr>
  </w:style>
  <w:style w:type="paragraph" w:customStyle="1" w:styleId="Contact">
    <w:name w:val="Contact"/>
    <w:basedOn w:val="Normal"/>
    <w:next w:val="Enclosures"/>
    <w:rsid w:val="00AB7026"/>
    <w:pPr>
      <w:widowControl/>
      <w:suppressAutoHyphens/>
      <w:spacing w:before="480"/>
      <w:ind w:left="567" w:hanging="567"/>
    </w:pPr>
    <w:rPr>
      <w:rFonts w:ascii="Times New Roman" w:hAnsi="Times New Roman"/>
      <w:kern w:val="0"/>
      <w:szCs w:val="20"/>
      <w:lang w:val="en-GB" w:eastAsia="ar-SA"/>
    </w:rPr>
  </w:style>
  <w:style w:type="paragraph" w:customStyle="1" w:styleId="Enclosures">
    <w:name w:val="Enclosures"/>
    <w:basedOn w:val="Normal"/>
    <w:next w:val="Participants"/>
    <w:rsid w:val="00AB7026"/>
    <w:pPr>
      <w:keepNext/>
      <w:keepLines/>
      <w:widowControl/>
      <w:tabs>
        <w:tab w:val="left" w:pos="5670"/>
      </w:tabs>
      <w:suppressAutoHyphens/>
      <w:spacing w:before="480"/>
      <w:ind w:left="1985" w:hanging="1985"/>
    </w:pPr>
    <w:rPr>
      <w:rFonts w:ascii="Times New Roman" w:hAnsi="Times New Roman"/>
      <w:kern w:val="0"/>
      <w:szCs w:val="20"/>
      <w:lang w:val="en-GB" w:eastAsia="ar-SA"/>
    </w:rPr>
  </w:style>
  <w:style w:type="paragraph" w:customStyle="1" w:styleId="Participants">
    <w:name w:val="Participants"/>
    <w:basedOn w:val="Normal"/>
    <w:next w:val="Copies"/>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en-GB" w:eastAsia="ar-SA"/>
    </w:rPr>
  </w:style>
  <w:style w:type="paragraph" w:styleId="CommentText">
    <w:name w:val="annotation text"/>
    <w:basedOn w:val="Normal"/>
    <w:link w:val="CommentTextChar"/>
    <w:uiPriority w:val="99"/>
    <w:semiHidden/>
    <w:rsid w:val="00AB7026"/>
    <w:pPr>
      <w:widowControl/>
      <w:suppressAutoHyphens/>
      <w:spacing w:after="240"/>
      <w:jc w:val="both"/>
    </w:pPr>
    <w:rPr>
      <w:rFonts w:ascii="Times New Roman" w:hAnsi="Times New Roman"/>
      <w:kern w:val="0"/>
      <w:sz w:val="20"/>
      <w:szCs w:val="20"/>
      <w:lang w:val="en-GB" w:eastAsia="ar-SA"/>
    </w:rPr>
  </w:style>
  <w:style w:type="character" w:customStyle="1" w:styleId="CommentTextChar">
    <w:name w:val="Comment Text Char"/>
    <w:basedOn w:val="DefaultParagraphFont"/>
    <w:link w:val="CommentText"/>
    <w:uiPriority w:val="99"/>
    <w:semiHidden/>
    <w:rsid w:val="00AB7026"/>
    <w:rPr>
      <w:rFonts w:ascii="Times New Roman" w:hAnsi="Times New Roman"/>
      <w:kern w:val="0"/>
      <w:sz w:val="20"/>
      <w:szCs w:val="20"/>
      <w:lang w:eastAsia="ar-SA"/>
    </w:rPr>
  </w:style>
  <w:style w:type="paragraph" w:customStyle="1" w:styleId="References">
    <w:name w:val="References"/>
    <w:basedOn w:val="Normal"/>
    <w:next w:val="AddressTR"/>
    <w:rsid w:val="00AB7026"/>
    <w:pPr>
      <w:widowControl/>
      <w:suppressAutoHyphens/>
      <w:spacing w:after="240"/>
      <w:ind w:left="5103"/>
    </w:pPr>
    <w:rPr>
      <w:rFonts w:ascii="Times New Roman" w:hAnsi="Times New Roman"/>
      <w:kern w:val="0"/>
      <w:sz w:val="20"/>
      <w:szCs w:val="20"/>
      <w:lang w:val="en-GB" w:eastAsia="ar-SA"/>
    </w:rPr>
  </w:style>
  <w:style w:type="paragraph" w:styleId="DocumentMap">
    <w:name w:val="Document Map"/>
    <w:basedOn w:val="Normal"/>
    <w:link w:val="DocumentMapChar"/>
    <w:semiHidden/>
    <w:rsid w:val="00AB7026"/>
    <w:pPr>
      <w:widowControl/>
      <w:shd w:val="clear" w:color="auto" w:fill="000080"/>
      <w:suppressAutoHyphens/>
      <w:spacing w:after="240"/>
      <w:jc w:val="both"/>
    </w:pPr>
    <w:rPr>
      <w:rFonts w:ascii="Tahoma" w:hAnsi="Tahoma"/>
      <w:kern w:val="0"/>
      <w:sz w:val="20"/>
      <w:szCs w:val="20"/>
      <w:lang w:val="en-GB" w:eastAsia="ar-SA"/>
    </w:rPr>
  </w:style>
  <w:style w:type="character" w:customStyle="1" w:styleId="DocumentMapChar">
    <w:name w:val="Document Map Char"/>
    <w:basedOn w:val="DefaultParagraphFont"/>
    <w:link w:val="DocumentMap"/>
    <w:semiHidden/>
    <w:rsid w:val="00AB7026"/>
    <w:rPr>
      <w:rFonts w:ascii="Tahoma" w:hAnsi="Tahoma"/>
      <w:kern w:val="0"/>
      <w:sz w:val="20"/>
      <w:szCs w:val="20"/>
      <w:shd w:val="clear" w:color="auto" w:fill="000080"/>
      <w:lang w:eastAsia="ar-SA"/>
    </w:rPr>
  </w:style>
  <w:style w:type="paragraph" w:customStyle="1" w:styleId="DoubSign">
    <w:name w:val="DoubSign"/>
    <w:basedOn w:val="Normal"/>
    <w:next w:val="Contact"/>
    <w:rsid w:val="00AB7026"/>
    <w:pPr>
      <w:widowControl/>
      <w:tabs>
        <w:tab w:val="left" w:pos="5103"/>
      </w:tabs>
      <w:suppressAutoHyphens/>
      <w:spacing w:before="1200"/>
    </w:pPr>
    <w:rPr>
      <w:rFonts w:ascii="Times New Roman" w:hAnsi="Times New Roman"/>
      <w:kern w:val="0"/>
      <w:szCs w:val="20"/>
      <w:lang w:val="en-GB" w:eastAsia="ar-SA"/>
    </w:rPr>
  </w:style>
  <w:style w:type="paragraph" w:styleId="EnvelopeAddress">
    <w:name w:val="envelope address"/>
    <w:basedOn w:val="Normal"/>
    <w:rsid w:val="00AB7026"/>
    <w:pPr>
      <w:widowControl/>
      <w:suppressAutoHyphens/>
      <w:jc w:val="both"/>
    </w:pPr>
    <w:rPr>
      <w:rFonts w:ascii="Times New Roman" w:hAnsi="Times New Roman"/>
      <w:kern w:val="0"/>
      <w:szCs w:val="20"/>
      <w:lang w:val="en-GB" w:eastAsia="ar-SA"/>
    </w:rPr>
  </w:style>
  <w:style w:type="paragraph" w:styleId="EnvelopeReturn">
    <w:name w:val="envelope return"/>
    <w:basedOn w:val="Normal"/>
    <w:rsid w:val="00AB7026"/>
    <w:pPr>
      <w:widowControl/>
      <w:suppressAutoHyphens/>
      <w:jc w:val="both"/>
    </w:pPr>
    <w:rPr>
      <w:rFonts w:ascii="Times New Roman" w:hAnsi="Times New Roman"/>
      <w:kern w:val="0"/>
      <w:sz w:val="20"/>
      <w:szCs w:val="20"/>
      <w:lang w:val="en-GB" w:eastAsia="ar-SA"/>
    </w:rPr>
  </w:style>
  <w:style w:type="paragraph" w:styleId="Index1">
    <w:name w:val="index 1"/>
    <w:basedOn w:val="Normal"/>
    <w:next w:val="Normal"/>
    <w:autoRedefine/>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Index2">
    <w:name w:val="index 2"/>
    <w:basedOn w:val="Normal"/>
    <w:next w:val="Normal"/>
    <w:autoRedefine/>
    <w:semiHidden/>
    <w:rsid w:val="00AB7026"/>
    <w:pPr>
      <w:widowControl/>
      <w:suppressAutoHyphens/>
      <w:spacing w:after="240"/>
      <w:ind w:left="480" w:hanging="240"/>
      <w:jc w:val="both"/>
    </w:pPr>
    <w:rPr>
      <w:rFonts w:ascii="Times New Roman" w:hAnsi="Times New Roman"/>
      <w:kern w:val="0"/>
      <w:szCs w:val="20"/>
      <w:lang w:val="en-GB" w:eastAsia="ar-SA"/>
    </w:rPr>
  </w:style>
  <w:style w:type="paragraph" w:styleId="Index3">
    <w:name w:val="index 3"/>
    <w:basedOn w:val="Normal"/>
    <w:next w:val="Normal"/>
    <w:autoRedefine/>
    <w:semiHidden/>
    <w:rsid w:val="00AB7026"/>
    <w:pPr>
      <w:widowControl/>
      <w:suppressAutoHyphens/>
      <w:spacing w:after="240"/>
      <w:ind w:left="720" w:hanging="240"/>
      <w:jc w:val="both"/>
    </w:pPr>
    <w:rPr>
      <w:rFonts w:ascii="Times New Roman" w:hAnsi="Times New Roman"/>
      <w:kern w:val="0"/>
      <w:szCs w:val="20"/>
      <w:lang w:val="en-GB" w:eastAsia="ar-SA"/>
    </w:rPr>
  </w:style>
  <w:style w:type="paragraph" w:styleId="Index4">
    <w:name w:val="index 4"/>
    <w:basedOn w:val="Normal"/>
    <w:next w:val="Normal"/>
    <w:autoRedefine/>
    <w:semiHidden/>
    <w:rsid w:val="00AB7026"/>
    <w:pPr>
      <w:widowControl/>
      <w:suppressAutoHyphens/>
      <w:spacing w:after="240"/>
      <w:ind w:left="960" w:hanging="240"/>
      <w:jc w:val="both"/>
    </w:pPr>
    <w:rPr>
      <w:rFonts w:ascii="Times New Roman" w:hAnsi="Times New Roman"/>
      <w:kern w:val="0"/>
      <w:szCs w:val="20"/>
      <w:lang w:val="en-GB" w:eastAsia="ar-SA"/>
    </w:rPr>
  </w:style>
  <w:style w:type="paragraph" w:styleId="Index5">
    <w:name w:val="index 5"/>
    <w:basedOn w:val="Normal"/>
    <w:next w:val="Normal"/>
    <w:autoRedefine/>
    <w:semiHidden/>
    <w:rsid w:val="00AB7026"/>
    <w:pPr>
      <w:widowControl/>
      <w:suppressAutoHyphens/>
      <w:spacing w:after="240"/>
      <w:ind w:left="1200" w:hanging="240"/>
      <w:jc w:val="both"/>
    </w:pPr>
    <w:rPr>
      <w:rFonts w:ascii="Times New Roman" w:hAnsi="Times New Roman"/>
      <w:kern w:val="0"/>
      <w:szCs w:val="20"/>
      <w:lang w:val="en-GB" w:eastAsia="ar-SA"/>
    </w:rPr>
  </w:style>
  <w:style w:type="paragraph" w:styleId="Index6">
    <w:name w:val="index 6"/>
    <w:basedOn w:val="Normal"/>
    <w:next w:val="Normal"/>
    <w:autoRedefine/>
    <w:semiHidden/>
    <w:rsid w:val="00AB7026"/>
    <w:pPr>
      <w:widowControl/>
      <w:suppressAutoHyphens/>
      <w:spacing w:after="240"/>
      <w:ind w:left="1440" w:hanging="240"/>
      <w:jc w:val="both"/>
    </w:pPr>
    <w:rPr>
      <w:rFonts w:ascii="Times New Roman" w:hAnsi="Times New Roman"/>
      <w:kern w:val="0"/>
      <w:szCs w:val="20"/>
      <w:lang w:val="en-GB" w:eastAsia="ar-SA"/>
    </w:rPr>
  </w:style>
  <w:style w:type="paragraph" w:styleId="Index7">
    <w:name w:val="index 7"/>
    <w:basedOn w:val="Normal"/>
    <w:next w:val="Normal"/>
    <w:autoRedefine/>
    <w:semiHidden/>
    <w:rsid w:val="00AB7026"/>
    <w:pPr>
      <w:widowControl/>
      <w:suppressAutoHyphens/>
      <w:spacing w:after="240"/>
      <w:ind w:left="1680" w:hanging="240"/>
      <w:jc w:val="both"/>
    </w:pPr>
    <w:rPr>
      <w:rFonts w:ascii="Times New Roman" w:hAnsi="Times New Roman"/>
      <w:kern w:val="0"/>
      <w:szCs w:val="20"/>
      <w:lang w:val="en-GB" w:eastAsia="ar-SA"/>
    </w:rPr>
  </w:style>
  <w:style w:type="paragraph" w:styleId="Index8">
    <w:name w:val="index 8"/>
    <w:basedOn w:val="Normal"/>
    <w:next w:val="Normal"/>
    <w:autoRedefine/>
    <w:semiHidden/>
    <w:rsid w:val="00AB7026"/>
    <w:pPr>
      <w:widowControl/>
      <w:suppressAutoHyphens/>
      <w:spacing w:after="240"/>
      <w:ind w:left="1920" w:hanging="240"/>
      <w:jc w:val="both"/>
    </w:pPr>
    <w:rPr>
      <w:rFonts w:ascii="Times New Roman" w:hAnsi="Times New Roman"/>
      <w:kern w:val="0"/>
      <w:szCs w:val="20"/>
      <w:lang w:val="en-GB" w:eastAsia="ar-SA"/>
    </w:rPr>
  </w:style>
  <w:style w:type="paragraph" w:styleId="Index9">
    <w:name w:val="index 9"/>
    <w:basedOn w:val="Normal"/>
    <w:next w:val="Normal"/>
    <w:autoRedefine/>
    <w:semiHidden/>
    <w:rsid w:val="00AB7026"/>
    <w:pPr>
      <w:widowControl/>
      <w:suppressAutoHyphens/>
      <w:spacing w:after="240"/>
      <w:ind w:left="2160" w:hanging="240"/>
      <w:jc w:val="both"/>
    </w:pPr>
    <w:rPr>
      <w:rFonts w:ascii="Times New Roman" w:hAnsi="Times New Roman"/>
      <w:kern w:val="0"/>
      <w:szCs w:val="20"/>
      <w:lang w:val="en-GB" w:eastAsia="ar-SA"/>
    </w:rPr>
  </w:style>
  <w:style w:type="paragraph" w:styleId="IndexHeading">
    <w:name w:val="index heading"/>
    <w:basedOn w:val="Normal"/>
    <w:next w:val="Index1"/>
    <w:semiHidden/>
    <w:rsid w:val="00AB7026"/>
    <w:pPr>
      <w:widowControl/>
      <w:suppressAutoHyphens/>
      <w:spacing w:after="240"/>
      <w:jc w:val="both"/>
    </w:pPr>
    <w:rPr>
      <w:rFonts w:ascii="Arial" w:hAnsi="Arial"/>
      <w:b/>
      <w:kern w:val="0"/>
      <w:szCs w:val="20"/>
      <w:lang w:val="en-GB" w:eastAsia="ar-SA"/>
    </w:rPr>
  </w:style>
  <w:style w:type="paragraph" w:styleId="List2">
    <w:name w:val="List 2"/>
    <w:basedOn w:val="Normal"/>
    <w:rsid w:val="00AB7026"/>
    <w:pPr>
      <w:widowControl/>
      <w:suppressAutoHyphens/>
      <w:spacing w:after="240"/>
      <w:ind w:left="566" w:hanging="283"/>
      <w:jc w:val="both"/>
    </w:pPr>
    <w:rPr>
      <w:rFonts w:ascii="Times New Roman" w:hAnsi="Times New Roman"/>
      <w:kern w:val="0"/>
      <w:szCs w:val="20"/>
      <w:lang w:val="en-GB" w:eastAsia="ar-SA"/>
    </w:rPr>
  </w:style>
  <w:style w:type="paragraph" w:styleId="List3">
    <w:name w:val="List 3"/>
    <w:basedOn w:val="Normal"/>
    <w:rsid w:val="00AB7026"/>
    <w:pPr>
      <w:widowControl/>
      <w:suppressAutoHyphens/>
      <w:spacing w:after="240"/>
      <w:ind w:left="849" w:hanging="283"/>
      <w:jc w:val="both"/>
    </w:pPr>
    <w:rPr>
      <w:rFonts w:ascii="Times New Roman" w:hAnsi="Times New Roman"/>
      <w:kern w:val="0"/>
      <w:szCs w:val="20"/>
      <w:lang w:val="en-GB" w:eastAsia="ar-SA"/>
    </w:rPr>
  </w:style>
  <w:style w:type="paragraph" w:styleId="List4">
    <w:name w:val="List 4"/>
    <w:basedOn w:val="Normal"/>
    <w:rsid w:val="00AB7026"/>
    <w:pPr>
      <w:widowControl/>
      <w:suppressAutoHyphens/>
      <w:spacing w:after="240"/>
      <w:ind w:left="1132" w:hanging="283"/>
      <w:jc w:val="both"/>
    </w:pPr>
    <w:rPr>
      <w:rFonts w:ascii="Times New Roman" w:hAnsi="Times New Roman"/>
      <w:kern w:val="0"/>
      <w:szCs w:val="20"/>
      <w:lang w:val="en-GB" w:eastAsia="ar-SA"/>
    </w:rPr>
  </w:style>
  <w:style w:type="paragraph" w:styleId="List5">
    <w:name w:val="List 5"/>
    <w:basedOn w:val="Normal"/>
    <w:rsid w:val="00AB7026"/>
    <w:pPr>
      <w:widowControl/>
      <w:suppressAutoHyphens/>
      <w:spacing w:after="240"/>
      <w:ind w:left="1415" w:hanging="283"/>
      <w:jc w:val="both"/>
    </w:pPr>
    <w:rPr>
      <w:rFonts w:ascii="Times New Roman" w:hAnsi="Times New Roman"/>
      <w:kern w:val="0"/>
      <w:szCs w:val="20"/>
      <w:lang w:val="en-GB" w:eastAsia="ar-SA"/>
    </w:rPr>
  </w:style>
  <w:style w:type="paragraph" w:styleId="ListBullet2">
    <w:name w:val="List Bullet 2"/>
    <w:basedOn w:val="Text2"/>
    <w:autoRedefine/>
    <w:rsid w:val="00AB7026"/>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B7026"/>
    <w:pPr>
      <w:tabs>
        <w:tab w:val="clear" w:pos="2302"/>
        <w:tab w:val="num" w:pos="360"/>
      </w:tabs>
      <w:ind w:left="360" w:hanging="360"/>
    </w:pPr>
  </w:style>
  <w:style w:type="paragraph" w:styleId="ListBullet4">
    <w:name w:val="List Bullet 4"/>
    <w:basedOn w:val="Text4"/>
    <w:autoRedefine/>
    <w:rsid w:val="00AB7026"/>
    <w:pPr>
      <w:numPr>
        <w:numId w:val="1"/>
      </w:numPr>
      <w:tabs>
        <w:tab w:val="clear" w:pos="1440"/>
        <w:tab w:val="num" w:pos="360"/>
      </w:tabs>
      <w:ind w:left="360"/>
    </w:pPr>
  </w:style>
  <w:style w:type="paragraph" w:styleId="ListBullet5">
    <w:name w:val="List Bullet 5"/>
    <w:basedOn w:val="Normal"/>
    <w:autoRedefine/>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ListContinue">
    <w:name w:val="List Continue"/>
    <w:basedOn w:val="Normal"/>
    <w:rsid w:val="00AB7026"/>
    <w:pPr>
      <w:widowControl/>
      <w:numPr>
        <w:numId w:val="16"/>
      </w:numPr>
      <w:tabs>
        <w:tab w:val="clear" w:pos="709"/>
      </w:tabs>
      <w:suppressAutoHyphens/>
      <w:spacing w:after="120"/>
      <w:ind w:left="283" w:firstLine="0"/>
      <w:jc w:val="both"/>
    </w:pPr>
    <w:rPr>
      <w:rFonts w:ascii="Times New Roman" w:hAnsi="Times New Roman"/>
      <w:kern w:val="0"/>
      <w:szCs w:val="20"/>
      <w:lang w:val="en-GB" w:eastAsia="ar-SA"/>
    </w:rPr>
  </w:style>
  <w:style w:type="paragraph" w:styleId="ListContinue2">
    <w:name w:val="List Continue 2"/>
    <w:basedOn w:val="Normal"/>
    <w:rsid w:val="00AB7026"/>
    <w:pPr>
      <w:widowControl/>
      <w:suppressAutoHyphens/>
      <w:spacing w:after="120"/>
      <w:ind w:left="566"/>
      <w:jc w:val="both"/>
    </w:pPr>
    <w:rPr>
      <w:rFonts w:ascii="Times New Roman" w:hAnsi="Times New Roman"/>
      <w:kern w:val="0"/>
      <w:szCs w:val="20"/>
      <w:lang w:val="en-GB" w:eastAsia="ar-SA"/>
    </w:rPr>
  </w:style>
  <w:style w:type="paragraph" w:styleId="ListContinue3">
    <w:name w:val="List Continue 3"/>
    <w:basedOn w:val="Normal"/>
    <w:rsid w:val="00AB7026"/>
    <w:pPr>
      <w:widowControl/>
      <w:suppressAutoHyphens/>
      <w:spacing w:after="120"/>
      <w:ind w:left="849"/>
      <w:jc w:val="both"/>
    </w:pPr>
    <w:rPr>
      <w:rFonts w:ascii="Times New Roman" w:hAnsi="Times New Roman"/>
      <w:kern w:val="0"/>
      <w:szCs w:val="20"/>
      <w:lang w:val="en-GB" w:eastAsia="ar-SA"/>
    </w:rPr>
  </w:style>
  <w:style w:type="paragraph" w:styleId="ListContinue4">
    <w:name w:val="List Continue 4"/>
    <w:basedOn w:val="Normal"/>
    <w:rsid w:val="00AB7026"/>
    <w:pPr>
      <w:widowControl/>
      <w:suppressAutoHyphens/>
      <w:spacing w:after="120"/>
      <w:ind w:left="1132"/>
      <w:jc w:val="both"/>
    </w:pPr>
    <w:rPr>
      <w:rFonts w:ascii="Times New Roman" w:hAnsi="Times New Roman"/>
      <w:kern w:val="0"/>
      <w:szCs w:val="20"/>
      <w:lang w:val="en-GB" w:eastAsia="ar-SA"/>
    </w:rPr>
  </w:style>
  <w:style w:type="paragraph" w:styleId="ListContinue5">
    <w:name w:val="List Continue 5"/>
    <w:basedOn w:val="Normal"/>
    <w:rsid w:val="00AB7026"/>
    <w:pPr>
      <w:widowControl/>
      <w:suppressAutoHyphens/>
      <w:spacing w:after="120"/>
      <w:ind w:left="1415"/>
      <w:jc w:val="both"/>
    </w:pPr>
    <w:rPr>
      <w:rFonts w:ascii="Times New Roman" w:hAnsi="Times New Roman"/>
      <w:kern w:val="0"/>
      <w:szCs w:val="20"/>
      <w:lang w:val="en-GB" w:eastAsia="ar-SA"/>
    </w:rPr>
  </w:style>
  <w:style w:type="paragraph" w:styleId="ListNumber2">
    <w:name w:val="List Number 2"/>
    <w:basedOn w:val="Text2"/>
    <w:rsid w:val="00AB7026"/>
    <w:pPr>
      <w:numPr>
        <w:numId w:val="2"/>
      </w:numPr>
      <w:tabs>
        <w:tab w:val="clear" w:pos="2302"/>
      </w:tabs>
      <w:suppressAutoHyphens/>
      <w:overflowPunct/>
      <w:autoSpaceDE/>
      <w:autoSpaceDN/>
      <w:adjustRightInd/>
      <w:textAlignment w:val="auto"/>
    </w:pPr>
    <w:rPr>
      <w:rFonts w:eastAsia="Calibri"/>
      <w:sz w:val="24"/>
      <w:lang w:val="en-GB" w:eastAsia="ar-SA"/>
    </w:rPr>
  </w:style>
  <w:style w:type="paragraph" w:styleId="ListNumber3">
    <w:name w:val="List Number 3"/>
    <w:basedOn w:val="Text3"/>
    <w:rsid w:val="00AB7026"/>
    <w:pPr>
      <w:tabs>
        <w:tab w:val="clear" w:pos="2302"/>
        <w:tab w:val="num" w:pos="360"/>
      </w:tabs>
      <w:ind w:left="360" w:hanging="360"/>
    </w:pPr>
  </w:style>
  <w:style w:type="paragraph" w:styleId="ListNumber4">
    <w:name w:val="List Number 4"/>
    <w:basedOn w:val="Text4"/>
    <w:rsid w:val="00AB7026"/>
    <w:pPr>
      <w:tabs>
        <w:tab w:val="num" w:pos="283"/>
      </w:tabs>
      <w:ind w:left="283" w:hanging="283"/>
    </w:pPr>
  </w:style>
  <w:style w:type="paragraph" w:styleId="ListNumber5">
    <w:name w:val="List Number 5"/>
    <w:basedOn w:val="Normal"/>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MacroText">
    <w:name w:val="macro"/>
    <w:link w:val="MacroTextChar"/>
    <w:semiHidden/>
    <w:rsid w:val="00AB7026"/>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kern w:val="0"/>
      <w:sz w:val="20"/>
      <w:szCs w:val="20"/>
      <w:lang w:eastAsia="ar-SA"/>
    </w:rPr>
  </w:style>
  <w:style w:type="character" w:customStyle="1" w:styleId="MacroTextChar">
    <w:name w:val="Macro Text Char"/>
    <w:basedOn w:val="DefaultParagraphFont"/>
    <w:link w:val="MacroText"/>
    <w:semiHidden/>
    <w:rsid w:val="00AB7026"/>
    <w:rPr>
      <w:rFonts w:ascii="Courier New" w:eastAsia="Times New Roman" w:hAnsi="Courier New"/>
      <w:kern w:val="0"/>
      <w:sz w:val="20"/>
      <w:szCs w:val="20"/>
      <w:lang w:eastAsia="ar-SA"/>
    </w:rPr>
  </w:style>
  <w:style w:type="paragraph" w:styleId="MessageHeader">
    <w:name w:val="Message Header"/>
    <w:basedOn w:val="Normal"/>
    <w:link w:val="MessageHeaderChar"/>
    <w:rsid w:val="00AB7026"/>
    <w:pPr>
      <w:widowControl/>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hAnsi="Arial"/>
      <w:kern w:val="0"/>
      <w:sz w:val="20"/>
      <w:szCs w:val="20"/>
      <w:lang w:val="en-GB" w:eastAsia="ar-SA"/>
    </w:rPr>
  </w:style>
  <w:style w:type="character" w:customStyle="1" w:styleId="MessageHeaderChar">
    <w:name w:val="Message Header Char"/>
    <w:basedOn w:val="DefaultParagraphFont"/>
    <w:link w:val="MessageHeader"/>
    <w:rsid w:val="00AB7026"/>
    <w:rPr>
      <w:rFonts w:ascii="Arial" w:hAnsi="Arial"/>
      <w:kern w:val="0"/>
      <w:sz w:val="20"/>
      <w:szCs w:val="20"/>
      <w:shd w:val="clear" w:color="auto" w:fill="CCCCCC"/>
      <w:lang w:eastAsia="ar-SA"/>
    </w:rPr>
  </w:style>
  <w:style w:type="paragraph" w:styleId="NormalIndent">
    <w:name w:val="Normal Indent"/>
    <w:basedOn w:val="Normal"/>
    <w:rsid w:val="00AB7026"/>
    <w:pPr>
      <w:widowControl/>
      <w:suppressAutoHyphens/>
      <w:spacing w:after="240"/>
      <w:ind w:left="720"/>
      <w:jc w:val="both"/>
    </w:pPr>
    <w:rPr>
      <w:rFonts w:ascii="Times New Roman" w:hAnsi="Times New Roman"/>
      <w:kern w:val="0"/>
      <w:szCs w:val="20"/>
      <w:lang w:val="en-GB" w:eastAsia="ar-SA"/>
    </w:rPr>
  </w:style>
  <w:style w:type="paragraph" w:styleId="NoteHeading">
    <w:name w:val="Note Heading"/>
    <w:basedOn w:val="Normal"/>
    <w:next w:val="Normal"/>
    <w:link w:val="NoteHeadingChar"/>
    <w:rsid w:val="00AB7026"/>
    <w:pPr>
      <w:widowControl/>
      <w:suppressAutoHyphens/>
      <w:spacing w:after="240"/>
      <w:jc w:val="both"/>
    </w:pPr>
    <w:rPr>
      <w:rFonts w:ascii="Times New Roman" w:hAnsi="Times New Roman"/>
      <w:kern w:val="0"/>
      <w:sz w:val="20"/>
      <w:szCs w:val="20"/>
      <w:lang w:val="en-GB" w:eastAsia="ar-SA"/>
    </w:rPr>
  </w:style>
  <w:style w:type="character" w:customStyle="1" w:styleId="NoteHeadingChar">
    <w:name w:val="Note Heading Char"/>
    <w:basedOn w:val="DefaultParagraphFont"/>
    <w:link w:val="NoteHeading"/>
    <w:rsid w:val="00AB7026"/>
    <w:rPr>
      <w:rFonts w:ascii="Times New Roman" w:hAnsi="Times New Roman"/>
      <w:kern w:val="0"/>
      <w:sz w:val="20"/>
      <w:szCs w:val="20"/>
      <w:lang w:eastAsia="ar-SA"/>
    </w:rPr>
  </w:style>
  <w:style w:type="paragraph" w:customStyle="1" w:styleId="Subject">
    <w:name w:val="Subject"/>
    <w:basedOn w:val="Normal"/>
    <w:next w:val="Normal"/>
    <w:rsid w:val="00AB7026"/>
    <w:pPr>
      <w:widowControl/>
      <w:suppressAutoHyphens/>
      <w:spacing w:after="480"/>
      <w:ind w:left="1531" w:hanging="1531"/>
    </w:pPr>
    <w:rPr>
      <w:rFonts w:ascii="Times New Roman" w:hAnsi="Times New Roman"/>
      <w:b/>
      <w:kern w:val="0"/>
      <w:szCs w:val="20"/>
      <w:lang w:val="en-GB" w:eastAsia="ar-SA"/>
    </w:rPr>
  </w:style>
  <w:style w:type="paragraph" w:customStyle="1" w:styleId="NoteList">
    <w:name w:val="NoteList"/>
    <w:basedOn w:val="Normal"/>
    <w:next w:val="Subject"/>
    <w:rsid w:val="00AB7026"/>
    <w:pPr>
      <w:widowControl/>
      <w:tabs>
        <w:tab w:val="left" w:pos="5823"/>
      </w:tabs>
      <w:suppressAutoHyphens/>
      <w:spacing w:before="720" w:after="720"/>
      <w:ind w:left="5104" w:hanging="3119"/>
    </w:pPr>
    <w:rPr>
      <w:rFonts w:ascii="Times New Roman" w:hAnsi="Times New Roman"/>
      <w:b/>
      <w:smallCaps/>
      <w:kern w:val="0"/>
      <w:szCs w:val="20"/>
      <w:lang w:val="en-GB" w:eastAsia="ar-SA"/>
    </w:rPr>
  </w:style>
  <w:style w:type="paragraph" w:customStyle="1" w:styleId="NumPar2">
    <w:name w:val="NumPar 2"/>
    <w:basedOn w:val="Heading2"/>
    <w:next w:val="Text2"/>
    <w:rsid w:val="00AB7026"/>
    <w:pPr>
      <w:keepNext w:val="0"/>
      <w:suppressAutoHyphens/>
      <w:spacing w:after="240"/>
      <w:jc w:val="both"/>
    </w:pPr>
    <w:rPr>
      <w:b w:val="0"/>
      <w:bCs w:val="0"/>
      <w:szCs w:val="20"/>
      <w:lang w:val="en-GB" w:eastAsia="ar-SA"/>
    </w:rPr>
  </w:style>
  <w:style w:type="paragraph" w:customStyle="1" w:styleId="NumPar3">
    <w:name w:val="NumPar 3"/>
    <w:basedOn w:val="Heading3"/>
    <w:next w:val="Text3"/>
    <w:rsid w:val="00AB7026"/>
    <w:pPr>
      <w:keepNext w:val="0"/>
      <w:suppressAutoHyphens/>
      <w:spacing w:after="240" w:line="240" w:lineRule="auto"/>
    </w:pPr>
    <w:rPr>
      <w:b w:val="0"/>
      <w:bCs w:val="0"/>
      <w:sz w:val="24"/>
      <w:lang w:val="en-GB" w:eastAsia="ar-SA"/>
    </w:rPr>
  </w:style>
  <w:style w:type="paragraph" w:customStyle="1" w:styleId="NumPar4">
    <w:name w:val="NumPar 4"/>
    <w:basedOn w:val="Heading4"/>
    <w:next w:val="Text4"/>
    <w:rsid w:val="00AB7026"/>
    <w:pPr>
      <w:keepNext w:val="0"/>
      <w:suppressAutoHyphens/>
      <w:spacing w:after="240"/>
      <w:ind w:left="0" w:firstLine="0"/>
      <w:jc w:val="both"/>
    </w:pPr>
    <w:rPr>
      <w:b w:val="0"/>
      <w:bCs w:val="0"/>
      <w:i w:val="0"/>
      <w:iCs w:val="0"/>
      <w:szCs w:val="20"/>
      <w:lang w:val="en-GB" w:eastAsia="ar-SA"/>
    </w:rPr>
  </w:style>
  <w:style w:type="paragraph" w:styleId="Salutation">
    <w:name w:val="Salutation"/>
    <w:basedOn w:val="Normal"/>
    <w:next w:val="Normal"/>
    <w:link w:val="SalutationChar"/>
    <w:rsid w:val="00AB7026"/>
    <w:pPr>
      <w:widowControl/>
      <w:suppressAutoHyphens/>
      <w:spacing w:after="240"/>
      <w:jc w:val="both"/>
    </w:pPr>
    <w:rPr>
      <w:rFonts w:ascii="Times New Roman" w:hAnsi="Times New Roman"/>
      <w:kern w:val="0"/>
      <w:sz w:val="20"/>
      <w:szCs w:val="20"/>
      <w:lang w:val="en-GB" w:eastAsia="ar-SA"/>
    </w:rPr>
  </w:style>
  <w:style w:type="character" w:customStyle="1" w:styleId="SalutationChar">
    <w:name w:val="Salutation Char"/>
    <w:basedOn w:val="DefaultParagraphFont"/>
    <w:link w:val="Salutation"/>
    <w:rsid w:val="00AB7026"/>
    <w:rPr>
      <w:rFonts w:ascii="Times New Roman" w:hAnsi="Times New Roman"/>
      <w:kern w:val="0"/>
      <w:sz w:val="20"/>
      <w:szCs w:val="20"/>
      <w:lang w:eastAsia="ar-SA"/>
    </w:rPr>
  </w:style>
  <w:style w:type="paragraph" w:styleId="Subtitle">
    <w:name w:val="Subtitle"/>
    <w:basedOn w:val="Normal"/>
    <w:next w:val="BodyText"/>
    <w:link w:val="SubtitleChar"/>
    <w:qFormat/>
    <w:rsid w:val="00AB7026"/>
    <w:pPr>
      <w:widowControl/>
      <w:suppressAutoHyphens/>
      <w:spacing w:after="60"/>
      <w:jc w:val="center"/>
    </w:pPr>
    <w:rPr>
      <w:rFonts w:ascii="Arial" w:hAnsi="Arial"/>
      <w:kern w:val="0"/>
      <w:sz w:val="20"/>
      <w:szCs w:val="20"/>
      <w:lang w:val="en-GB" w:eastAsia="ar-SA"/>
    </w:rPr>
  </w:style>
  <w:style w:type="character" w:customStyle="1" w:styleId="SubtitleChar">
    <w:name w:val="Subtitle Char"/>
    <w:basedOn w:val="DefaultParagraphFont"/>
    <w:link w:val="Subtitle"/>
    <w:rsid w:val="00AB7026"/>
    <w:rPr>
      <w:rFonts w:ascii="Arial" w:hAnsi="Arial"/>
      <w:kern w:val="0"/>
      <w:sz w:val="20"/>
      <w:szCs w:val="20"/>
      <w:lang w:eastAsia="ar-SA"/>
    </w:rPr>
  </w:style>
  <w:style w:type="paragraph" w:styleId="TableofAuthorities">
    <w:name w:val="table of authorities"/>
    <w:basedOn w:val="Normal"/>
    <w:next w:val="Normal"/>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TableofFigures">
    <w:name w:val="table of figures"/>
    <w:basedOn w:val="Normal"/>
    <w:next w:val="Normal"/>
    <w:semiHidden/>
    <w:rsid w:val="00AB7026"/>
    <w:pPr>
      <w:widowControl/>
      <w:suppressAutoHyphens/>
      <w:spacing w:after="240"/>
      <w:ind w:left="480" w:hanging="480"/>
      <w:jc w:val="both"/>
    </w:pPr>
    <w:rPr>
      <w:rFonts w:ascii="Times New Roman" w:hAnsi="Times New Roman"/>
      <w:kern w:val="0"/>
      <w:szCs w:val="20"/>
      <w:lang w:val="en-GB" w:eastAsia="ar-SA"/>
    </w:rPr>
  </w:style>
  <w:style w:type="paragraph" w:styleId="TOAHeading">
    <w:name w:val="toa heading"/>
    <w:basedOn w:val="Normal"/>
    <w:next w:val="Normal"/>
    <w:semiHidden/>
    <w:rsid w:val="00AB7026"/>
    <w:pPr>
      <w:widowControl/>
      <w:suppressAutoHyphens/>
      <w:spacing w:before="120" w:after="240"/>
      <w:jc w:val="both"/>
    </w:pPr>
    <w:rPr>
      <w:rFonts w:ascii="Arial" w:hAnsi="Arial"/>
      <w:b/>
      <w:kern w:val="0"/>
      <w:szCs w:val="20"/>
      <w:lang w:val="en-GB" w:eastAsia="ar-SA"/>
    </w:rPr>
  </w:style>
  <w:style w:type="paragraph" w:styleId="TOC1">
    <w:name w:val="toc 1"/>
    <w:basedOn w:val="Normal"/>
    <w:next w:val="Normal"/>
    <w:autoRedefine/>
    <w:semiHidden/>
    <w:rsid w:val="00AB7026"/>
    <w:pPr>
      <w:widowControl/>
      <w:tabs>
        <w:tab w:val="right" w:leader="dot" w:pos="8640"/>
      </w:tabs>
      <w:suppressAutoHyphens/>
      <w:spacing w:before="120" w:after="120"/>
      <w:ind w:left="482" w:right="720" w:hanging="482"/>
      <w:jc w:val="both"/>
    </w:pPr>
    <w:rPr>
      <w:rFonts w:ascii="Times New Roman" w:hAnsi="Times New Roman"/>
      <w:caps/>
      <w:kern w:val="0"/>
      <w:szCs w:val="20"/>
      <w:lang w:val="en-GB" w:eastAsia="ar-SA"/>
    </w:rPr>
  </w:style>
  <w:style w:type="paragraph" w:styleId="TOC2">
    <w:name w:val="toc 2"/>
    <w:basedOn w:val="Normal"/>
    <w:next w:val="Normal"/>
    <w:autoRedefine/>
    <w:semiHidden/>
    <w:rsid w:val="00AB7026"/>
    <w:pPr>
      <w:widowControl/>
      <w:tabs>
        <w:tab w:val="right" w:leader="dot" w:pos="8640"/>
      </w:tabs>
      <w:suppressAutoHyphens/>
      <w:spacing w:before="60" w:after="60"/>
      <w:ind w:left="1077" w:right="720" w:hanging="595"/>
      <w:jc w:val="both"/>
    </w:pPr>
    <w:rPr>
      <w:rFonts w:ascii="Times New Roman" w:hAnsi="Times New Roman"/>
      <w:kern w:val="0"/>
      <w:szCs w:val="20"/>
      <w:lang w:val="en-GB" w:eastAsia="ar-SA"/>
    </w:rPr>
  </w:style>
  <w:style w:type="paragraph" w:styleId="TOC3">
    <w:name w:val="toc 3"/>
    <w:basedOn w:val="Normal"/>
    <w:next w:val="Normal"/>
    <w:autoRedefine/>
    <w:semiHidden/>
    <w:rsid w:val="00AB7026"/>
    <w:pPr>
      <w:widowControl/>
      <w:tabs>
        <w:tab w:val="right" w:leader="dot" w:pos="8640"/>
      </w:tabs>
      <w:suppressAutoHyphens/>
      <w:spacing w:before="60" w:after="60"/>
      <w:ind w:left="1916" w:right="720" w:hanging="839"/>
      <w:jc w:val="both"/>
    </w:pPr>
    <w:rPr>
      <w:rFonts w:ascii="Times New Roman" w:hAnsi="Times New Roman"/>
      <w:kern w:val="0"/>
      <w:szCs w:val="20"/>
      <w:lang w:val="en-GB" w:eastAsia="ar-SA"/>
    </w:rPr>
  </w:style>
  <w:style w:type="paragraph" w:styleId="TOC4">
    <w:name w:val="toc 4"/>
    <w:basedOn w:val="Normal"/>
    <w:next w:val="Normal"/>
    <w:autoRedefine/>
    <w:semiHidden/>
    <w:rsid w:val="00AB7026"/>
    <w:pPr>
      <w:widowControl/>
      <w:tabs>
        <w:tab w:val="right" w:leader="dot" w:pos="8641"/>
      </w:tabs>
      <w:suppressAutoHyphens/>
      <w:spacing w:before="60" w:after="60"/>
      <w:ind w:left="2880" w:right="720" w:hanging="964"/>
      <w:jc w:val="both"/>
    </w:pPr>
    <w:rPr>
      <w:rFonts w:ascii="Times New Roman" w:hAnsi="Times New Roman"/>
      <w:kern w:val="0"/>
      <w:szCs w:val="20"/>
      <w:lang w:val="en-GB" w:eastAsia="ar-SA"/>
    </w:rPr>
  </w:style>
  <w:style w:type="paragraph" w:styleId="TOC5">
    <w:name w:val="toc 5"/>
    <w:basedOn w:val="Normal"/>
    <w:next w:val="Normal"/>
    <w:autoRedefine/>
    <w:semiHidden/>
    <w:rsid w:val="00AB7026"/>
    <w:pPr>
      <w:widowControl/>
      <w:tabs>
        <w:tab w:val="right" w:leader="dot" w:pos="8641"/>
      </w:tabs>
      <w:suppressAutoHyphens/>
      <w:spacing w:before="240" w:after="120"/>
      <w:ind w:right="720"/>
      <w:jc w:val="both"/>
    </w:pPr>
    <w:rPr>
      <w:rFonts w:ascii="Times New Roman" w:hAnsi="Times New Roman"/>
      <w:caps/>
      <w:kern w:val="0"/>
      <w:szCs w:val="20"/>
      <w:lang w:val="en-GB" w:eastAsia="ar-SA"/>
    </w:rPr>
  </w:style>
  <w:style w:type="paragraph" w:styleId="TOC6">
    <w:name w:val="toc 6"/>
    <w:basedOn w:val="Normal"/>
    <w:next w:val="Normal"/>
    <w:autoRedefine/>
    <w:semiHidden/>
    <w:rsid w:val="00AB7026"/>
    <w:pPr>
      <w:widowControl/>
      <w:numPr>
        <w:numId w:val="15"/>
      </w:numPr>
      <w:tabs>
        <w:tab w:val="clear" w:pos="765"/>
      </w:tabs>
      <w:suppressAutoHyphens/>
      <w:spacing w:after="240"/>
      <w:ind w:left="1200" w:firstLine="0"/>
      <w:jc w:val="both"/>
    </w:pPr>
    <w:rPr>
      <w:rFonts w:ascii="Times New Roman" w:hAnsi="Times New Roman"/>
      <w:kern w:val="0"/>
      <w:szCs w:val="20"/>
      <w:lang w:val="en-GB" w:eastAsia="ar-SA"/>
    </w:rPr>
  </w:style>
  <w:style w:type="paragraph" w:styleId="TOC7">
    <w:name w:val="toc 7"/>
    <w:basedOn w:val="Normal"/>
    <w:next w:val="Normal"/>
    <w:autoRedefine/>
    <w:semiHidden/>
    <w:rsid w:val="00AB7026"/>
    <w:pPr>
      <w:widowControl/>
      <w:suppressAutoHyphens/>
      <w:spacing w:after="240"/>
      <w:ind w:left="1440"/>
      <w:jc w:val="both"/>
    </w:pPr>
    <w:rPr>
      <w:rFonts w:ascii="Times New Roman" w:hAnsi="Times New Roman"/>
      <w:kern w:val="0"/>
      <w:szCs w:val="20"/>
      <w:lang w:val="en-GB" w:eastAsia="ar-SA"/>
    </w:rPr>
  </w:style>
  <w:style w:type="paragraph" w:styleId="TOC8">
    <w:name w:val="toc 8"/>
    <w:basedOn w:val="Normal"/>
    <w:next w:val="Normal"/>
    <w:autoRedefine/>
    <w:semiHidden/>
    <w:rsid w:val="00AB7026"/>
    <w:pPr>
      <w:widowControl/>
      <w:suppressAutoHyphens/>
      <w:spacing w:after="240"/>
      <w:ind w:left="1680"/>
      <w:jc w:val="both"/>
    </w:pPr>
    <w:rPr>
      <w:rFonts w:ascii="Times New Roman" w:hAnsi="Times New Roman"/>
      <w:kern w:val="0"/>
      <w:szCs w:val="20"/>
      <w:lang w:val="en-GB" w:eastAsia="ar-SA"/>
    </w:rPr>
  </w:style>
  <w:style w:type="paragraph" w:styleId="TOC9">
    <w:name w:val="toc 9"/>
    <w:basedOn w:val="Normal"/>
    <w:next w:val="Normal"/>
    <w:autoRedefine/>
    <w:semiHidden/>
    <w:rsid w:val="00AB7026"/>
    <w:pPr>
      <w:widowControl/>
      <w:suppressAutoHyphens/>
      <w:spacing w:after="240"/>
      <w:ind w:left="1920"/>
      <w:jc w:val="both"/>
    </w:pPr>
    <w:rPr>
      <w:rFonts w:ascii="Times New Roman" w:hAnsi="Times New Roman"/>
      <w:kern w:val="0"/>
      <w:szCs w:val="20"/>
      <w:lang w:val="en-GB" w:eastAsia="ar-SA"/>
    </w:rPr>
  </w:style>
  <w:style w:type="paragraph" w:customStyle="1" w:styleId="YReferences">
    <w:name w:val="YReferences"/>
    <w:basedOn w:val="Normal"/>
    <w:next w:val="Normal"/>
    <w:rsid w:val="00AB7026"/>
    <w:pPr>
      <w:widowControl/>
      <w:suppressAutoHyphens/>
      <w:spacing w:after="480"/>
      <w:ind w:left="1531" w:hanging="1531"/>
      <w:jc w:val="both"/>
    </w:pPr>
    <w:rPr>
      <w:rFonts w:ascii="Times New Roman" w:hAnsi="Times New Roman"/>
      <w:kern w:val="0"/>
      <w:szCs w:val="20"/>
      <w:lang w:val="en-GB" w:eastAsia="ar-SA"/>
    </w:rPr>
  </w:style>
  <w:style w:type="paragraph" w:customStyle="1" w:styleId="ListDash3">
    <w:name w:val="List Dash 3"/>
    <w:basedOn w:val="Text3"/>
    <w:rsid w:val="00AB7026"/>
    <w:pPr>
      <w:numPr>
        <w:numId w:val="17"/>
      </w:numPr>
      <w:tabs>
        <w:tab w:val="clear" w:pos="1191"/>
        <w:tab w:val="clear" w:pos="2302"/>
        <w:tab w:val="num" w:pos="2199"/>
      </w:tabs>
      <w:ind w:left="2199" w:hanging="283"/>
    </w:pPr>
  </w:style>
  <w:style w:type="paragraph" w:customStyle="1" w:styleId="ListDash4">
    <w:name w:val="List Dash 4"/>
    <w:basedOn w:val="Text4"/>
    <w:rsid w:val="00AB7026"/>
    <w:pPr>
      <w:tabs>
        <w:tab w:val="num" w:pos="360"/>
      </w:tabs>
      <w:ind w:left="360" w:hanging="360"/>
    </w:pPr>
  </w:style>
  <w:style w:type="paragraph" w:customStyle="1" w:styleId="ListNumber1">
    <w:name w:val="List Number 1"/>
    <w:basedOn w:val="Text1"/>
    <w:rsid w:val="00AB7026"/>
    <w:pPr>
      <w:numPr>
        <w:numId w:val="3"/>
      </w:numPr>
      <w:suppressAutoHyphens/>
      <w:overflowPunct/>
      <w:autoSpaceDE/>
      <w:autoSpaceDN/>
      <w:adjustRightInd/>
      <w:textAlignment w:val="auto"/>
    </w:pPr>
    <w:rPr>
      <w:rFonts w:eastAsia="Calibri"/>
      <w:sz w:val="24"/>
      <w:lang w:val="en-GB" w:eastAsia="ar-SA"/>
    </w:rPr>
  </w:style>
  <w:style w:type="paragraph" w:customStyle="1" w:styleId="ListNumber1Level3">
    <w:name w:val="List Number 1 (Level 3)"/>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B7026"/>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B7026"/>
    <w:pPr>
      <w:tabs>
        <w:tab w:val="clear" w:pos="2302"/>
        <w:tab w:val="num" w:pos="360"/>
      </w:tabs>
      <w:ind w:left="360" w:hanging="360"/>
    </w:pPr>
  </w:style>
  <w:style w:type="paragraph" w:customStyle="1" w:styleId="ListNumber3Level3">
    <w:name w:val="List Number 3 (Level 3)"/>
    <w:basedOn w:val="Text3"/>
    <w:rsid w:val="00AB7026"/>
    <w:pPr>
      <w:tabs>
        <w:tab w:val="clear" w:pos="2302"/>
        <w:tab w:val="num" w:pos="360"/>
      </w:tabs>
      <w:ind w:left="360" w:hanging="360"/>
    </w:pPr>
  </w:style>
  <w:style w:type="paragraph" w:customStyle="1" w:styleId="ListNumber3Level4">
    <w:name w:val="List Number 3 (Level 4)"/>
    <w:basedOn w:val="Text3"/>
    <w:rsid w:val="00AB7026"/>
    <w:pPr>
      <w:tabs>
        <w:tab w:val="clear" w:pos="2302"/>
        <w:tab w:val="num" w:pos="360"/>
      </w:tabs>
      <w:ind w:left="360" w:hanging="360"/>
    </w:pPr>
  </w:style>
  <w:style w:type="paragraph" w:customStyle="1" w:styleId="ListNumber4Level2">
    <w:name w:val="List Number 4 (Level 2)"/>
    <w:basedOn w:val="Text4"/>
    <w:rsid w:val="00AB7026"/>
    <w:pPr>
      <w:tabs>
        <w:tab w:val="num" w:pos="283"/>
      </w:tabs>
      <w:ind w:left="283" w:hanging="283"/>
    </w:pPr>
  </w:style>
  <w:style w:type="paragraph" w:customStyle="1" w:styleId="ListNumber4Level3">
    <w:name w:val="List Number 4 (Level 3)"/>
    <w:basedOn w:val="Text4"/>
    <w:rsid w:val="00AB7026"/>
    <w:pPr>
      <w:tabs>
        <w:tab w:val="num" w:pos="283"/>
      </w:tabs>
      <w:ind w:left="283" w:hanging="283"/>
    </w:pPr>
  </w:style>
  <w:style w:type="paragraph" w:customStyle="1" w:styleId="ListNumber4Level4">
    <w:name w:val="List Number 4 (Level 4)"/>
    <w:basedOn w:val="Text4"/>
    <w:rsid w:val="00AB7026"/>
    <w:pPr>
      <w:tabs>
        <w:tab w:val="num" w:pos="283"/>
      </w:tabs>
      <w:ind w:left="283" w:hanging="283"/>
    </w:pPr>
  </w:style>
  <w:style w:type="paragraph" w:customStyle="1" w:styleId="TOCHeading1">
    <w:name w:val="TOC Heading1"/>
    <w:basedOn w:val="Normal"/>
    <w:next w:val="Normal"/>
    <w:qFormat/>
    <w:rsid w:val="00AB7026"/>
    <w:pPr>
      <w:keepNext/>
      <w:widowControl/>
      <w:suppressAutoHyphens/>
      <w:spacing w:before="240" w:after="240"/>
      <w:jc w:val="center"/>
    </w:pPr>
    <w:rPr>
      <w:rFonts w:ascii="Times New Roman" w:hAnsi="Times New Roman"/>
      <w:b/>
      <w:kern w:val="0"/>
      <w:szCs w:val="20"/>
      <w:lang w:val="en-GB" w:eastAsia="ar-SA"/>
    </w:rPr>
  </w:style>
  <w:style w:type="paragraph" w:customStyle="1" w:styleId="DisclaimerNotice">
    <w:name w:val="Disclaimer Notice"/>
    <w:basedOn w:val="Normal"/>
    <w:next w:val="AddressTR"/>
    <w:rsid w:val="00AB7026"/>
    <w:pPr>
      <w:widowControl/>
      <w:suppressAutoHyphens/>
      <w:spacing w:after="240"/>
      <w:ind w:left="5103"/>
    </w:pPr>
    <w:rPr>
      <w:rFonts w:ascii="Times New Roman" w:hAnsi="Times New Roman"/>
      <w:i/>
      <w:kern w:val="0"/>
      <w:sz w:val="20"/>
      <w:szCs w:val="20"/>
      <w:lang w:val="en-GB" w:eastAsia="ar-SA"/>
    </w:rPr>
  </w:style>
  <w:style w:type="paragraph" w:customStyle="1" w:styleId="Disclaimer">
    <w:name w:val="Disclaimer"/>
    <w:basedOn w:val="Normal"/>
    <w:rsid w:val="00AB7026"/>
    <w:pPr>
      <w:keepLines/>
      <w:widowControl/>
      <w:pBdr>
        <w:top w:val="single" w:sz="4" w:space="1" w:color="000000"/>
      </w:pBdr>
      <w:suppressAutoHyphens/>
      <w:spacing w:before="480"/>
      <w:jc w:val="both"/>
    </w:pPr>
    <w:rPr>
      <w:rFonts w:ascii="Times New Roman" w:hAnsi="Times New Roman"/>
      <w:i/>
      <w:kern w:val="0"/>
      <w:szCs w:val="20"/>
      <w:lang w:val="en-GB" w:eastAsia="ar-SA"/>
    </w:rPr>
  </w:style>
  <w:style w:type="paragraph" w:customStyle="1" w:styleId="DisclaimerSJ">
    <w:name w:val="Disclaimer_SJ"/>
    <w:basedOn w:val="Normal"/>
    <w:next w:val="Normal"/>
    <w:rsid w:val="00AB7026"/>
    <w:pPr>
      <w:widowControl/>
      <w:suppressAutoHyphens/>
      <w:jc w:val="both"/>
    </w:pPr>
    <w:rPr>
      <w:rFonts w:ascii="Arial" w:hAnsi="Arial"/>
      <w:b/>
      <w:kern w:val="0"/>
      <w:sz w:val="16"/>
      <w:szCs w:val="20"/>
      <w:lang w:val="en-GB" w:eastAsia="ar-SA"/>
    </w:rPr>
  </w:style>
  <w:style w:type="paragraph" w:customStyle="1" w:styleId="ZCom">
    <w:name w:val="Z_Com"/>
    <w:basedOn w:val="Normal"/>
    <w:next w:val="ZDGName"/>
    <w:rsid w:val="00AB7026"/>
    <w:pPr>
      <w:suppressAutoHyphens/>
      <w:autoSpaceDE w:val="0"/>
      <w:ind w:right="85"/>
      <w:jc w:val="both"/>
    </w:pPr>
    <w:rPr>
      <w:rFonts w:ascii="Arial" w:hAnsi="Arial" w:cs="Arial"/>
      <w:kern w:val="0"/>
      <w:szCs w:val="24"/>
      <w:lang w:val="en-GB" w:eastAsia="ar-SA"/>
    </w:rPr>
  </w:style>
  <w:style w:type="paragraph" w:customStyle="1" w:styleId="ZDGName">
    <w:name w:val="Z_DGName"/>
    <w:basedOn w:val="Normal"/>
    <w:rsid w:val="00AB7026"/>
    <w:pPr>
      <w:suppressAutoHyphens/>
      <w:autoSpaceDE w:val="0"/>
      <w:ind w:right="85"/>
    </w:pPr>
    <w:rPr>
      <w:rFonts w:ascii="Arial" w:hAnsi="Arial" w:cs="Arial"/>
      <w:kern w:val="0"/>
      <w:sz w:val="16"/>
      <w:szCs w:val="16"/>
      <w:lang w:val="en-GB" w:eastAsia="ar-SA"/>
    </w:rPr>
  </w:style>
  <w:style w:type="paragraph" w:customStyle="1" w:styleId="TableContents">
    <w:name w:val="Table Contents"/>
    <w:basedOn w:val="Normal"/>
    <w:rsid w:val="00AB7026"/>
    <w:pPr>
      <w:widowControl/>
      <w:suppressLineNumbers/>
      <w:suppressAutoHyphens/>
      <w:spacing w:after="240"/>
      <w:jc w:val="both"/>
    </w:pPr>
    <w:rPr>
      <w:rFonts w:ascii="Times New Roman" w:hAnsi="Times New Roman"/>
      <w:kern w:val="0"/>
      <w:szCs w:val="20"/>
      <w:lang w:val="en-GB" w:eastAsia="ar-SA"/>
    </w:rPr>
  </w:style>
  <w:style w:type="paragraph" w:customStyle="1" w:styleId="TableHeading">
    <w:name w:val="Table Heading"/>
    <w:basedOn w:val="TableContents"/>
    <w:rsid w:val="00AB7026"/>
    <w:pPr>
      <w:jc w:val="center"/>
    </w:pPr>
    <w:rPr>
      <w:b/>
      <w:bCs/>
    </w:rPr>
  </w:style>
  <w:style w:type="character" w:styleId="CommentReference">
    <w:name w:val="annotation reference"/>
    <w:uiPriority w:val="99"/>
    <w:semiHidden/>
    <w:rsid w:val="00AB7026"/>
    <w:rPr>
      <w:rFonts w:cs="Times New Roman"/>
      <w:sz w:val="16"/>
      <w:szCs w:val="16"/>
    </w:rPr>
  </w:style>
  <w:style w:type="paragraph" w:styleId="CommentSubject">
    <w:name w:val="annotation subject"/>
    <w:basedOn w:val="CommentText"/>
    <w:next w:val="CommentText"/>
    <w:link w:val="CommentSubjectChar"/>
    <w:uiPriority w:val="99"/>
    <w:semiHidden/>
    <w:rsid w:val="00AB7026"/>
    <w:rPr>
      <w:b/>
      <w:bCs/>
    </w:rPr>
  </w:style>
  <w:style w:type="character" w:customStyle="1" w:styleId="CommentSubjectChar">
    <w:name w:val="Comment Subject Char"/>
    <w:basedOn w:val="CommentTextChar"/>
    <w:link w:val="CommentSubject"/>
    <w:uiPriority w:val="99"/>
    <w:semiHidden/>
    <w:rsid w:val="00AB7026"/>
    <w:rPr>
      <w:rFonts w:ascii="Times New Roman" w:hAnsi="Times New Roman"/>
      <w:b/>
      <w:bCs/>
      <w:kern w:val="0"/>
      <w:sz w:val="20"/>
      <w:szCs w:val="20"/>
      <w:lang w:eastAsia="ar-SA"/>
    </w:rPr>
  </w:style>
  <w:style w:type="paragraph" w:customStyle="1" w:styleId="CM4">
    <w:name w:val="CM4"/>
    <w:basedOn w:val="Normal"/>
    <w:next w:val="Normal"/>
    <w:rsid w:val="00AB7026"/>
    <w:pPr>
      <w:widowControl/>
      <w:autoSpaceDE w:val="0"/>
      <w:autoSpaceDN w:val="0"/>
      <w:adjustRightInd w:val="0"/>
    </w:pPr>
    <w:rPr>
      <w:rFonts w:ascii="EUAlbertina" w:hAnsi="EUAlbertina"/>
      <w:kern w:val="0"/>
      <w:szCs w:val="24"/>
      <w:lang w:val="en-GB" w:eastAsia="en-GB"/>
    </w:rPr>
  </w:style>
  <w:style w:type="paragraph" w:styleId="NormalWeb">
    <w:name w:val="Normal (Web)"/>
    <w:basedOn w:val="Normal"/>
    <w:uiPriority w:val="99"/>
    <w:semiHidden/>
    <w:unhideWhenUsed/>
    <w:rsid w:val="00AB7026"/>
    <w:pPr>
      <w:widowControl/>
      <w:spacing w:before="100" w:beforeAutospacing="1" w:after="100" w:afterAutospacing="1"/>
    </w:pPr>
    <w:rPr>
      <w:rFonts w:ascii="Times New Roman" w:hAnsi="Times New Roman"/>
      <w:kern w:val="0"/>
      <w:szCs w:val="24"/>
      <w:lang w:val="en-GB" w:eastAsia="en-GB"/>
    </w:rPr>
  </w:style>
  <w:style w:type="paragraph" w:customStyle="1" w:styleId="MediumGrid1-Accent21">
    <w:name w:val="Medium Grid 1 - Accent 21"/>
    <w:basedOn w:val="Normal"/>
    <w:uiPriority w:val="34"/>
    <w:qFormat/>
    <w:rsid w:val="00AB7026"/>
    <w:pPr>
      <w:widowControl/>
      <w:ind w:left="708"/>
    </w:pPr>
    <w:rPr>
      <w:rFonts w:ascii="Times New Roman" w:hAnsi="Times New Roman"/>
      <w:kern w:val="0"/>
      <w:sz w:val="20"/>
      <w:szCs w:val="24"/>
      <w:lang w:eastAsia="en-US"/>
    </w:rPr>
  </w:style>
  <w:style w:type="paragraph" w:customStyle="1" w:styleId="MediumList2-Accent21">
    <w:name w:val="Medium List 2 - Accent 21"/>
    <w:hidden/>
    <w:uiPriority w:val="71"/>
    <w:rsid w:val="00AB7026"/>
    <w:rPr>
      <w:rFonts w:ascii="Times New Roman" w:hAnsi="Times New Roman"/>
      <w:kern w:val="0"/>
      <w:sz w:val="20"/>
      <w:lang w:val="en-US" w:eastAsia="en-US"/>
    </w:rPr>
  </w:style>
  <w:style w:type="paragraph" w:customStyle="1" w:styleId="ColorfulList-Accent11">
    <w:name w:val="Colorful List - Accent 11"/>
    <w:basedOn w:val="Normal"/>
    <w:uiPriority w:val="34"/>
    <w:qFormat/>
    <w:rsid w:val="00AB7026"/>
    <w:pPr>
      <w:widowControl/>
      <w:ind w:left="708"/>
    </w:pPr>
    <w:rPr>
      <w:rFonts w:ascii="Times New Roman" w:hAnsi="Times New Roman"/>
      <w:kern w:val="0"/>
      <w:sz w:val="20"/>
      <w:szCs w:val="24"/>
      <w:lang w:eastAsia="en-US"/>
    </w:rPr>
  </w:style>
  <w:style w:type="paragraph" w:styleId="ListParagraph">
    <w:name w:val="List Paragraph"/>
    <w:basedOn w:val="Normal"/>
    <w:uiPriority w:val="34"/>
    <w:qFormat/>
    <w:rsid w:val="00AB7026"/>
    <w:pPr>
      <w:widowControl/>
      <w:ind w:left="720"/>
      <w:contextualSpacing/>
    </w:pPr>
    <w:rPr>
      <w:rFonts w:ascii="Times New Roman" w:hAnsi="Times New Roman"/>
      <w:kern w:val="0"/>
      <w:sz w:val="20"/>
      <w:szCs w:val="24"/>
      <w:lang w:eastAsia="en-US"/>
    </w:rPr>
  </w:style>
  <w:style w:type="numbering" w:customStyle="1" w:styleId="NoList3">
    <w:name w:val="No List3"/>
    <w:next w:val="NoList"/>
    <w:uiPriority w:val="99"/>
    <w:semiHidden/>
    <w:unhideWhenUsed/>
    <w:rsid w:val="00AB7026"/>
  </w:style>
  <w:style w:type="numbering" w:customStyle="1" w:styleId="NoList4">
    <w:name w:val="No List4"/>
    <w:next w:val="NoList"/>
    <w:uiPriority w:val="99"/>
    <w:semiHidden/>
    <w:unhideWhenUsed/>
    <w:rsid w:val="00AB7026"/>
  </w:style>
  <w:style w:type="paragraph" w:styleId="Revision">
    <w:name w:val="Revision"/>
    <w:hidden/>
    <w:uiPriority w:val="99"/>
    <w:semiHidden/>
    <w:rsid w:val="00AB7026"/>
    <w:rPr>
      <w:rFonts w:eastAsia="Calibri"/>
      <w:kern w:val="0"/>
      <w:sz w:val="22"/>
      <w:szCs w:val="22"/>
      <w:lang w:val="en-US" w:eastAsia="en-US"/>
    </w:rPr>
  </w:style>
  <w:style w:type="numbering" w:customStyle="1" w:styleId="NoList5">
    <w:name w:val="No List5"/>
    <w:next w:val="NoList"/>
    <w:uiPriority w:val="99"/>
    <w:semiHidden/>
    <w:unhideWhenUsed/>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B07-0EB2-4A09-AB3F-B8F695B3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1918</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2021-11-29T14:48:00Z</dcterms:created>
  <dcterms:modified xsi:type="dcterms:W3CDTF">2021-12-02T07:53:00Z</dcterms:modified>
</cp:coreProperties>
</file>