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94E46" w14:textId="0BD6E733" w:rsidR="007B4945" w:rsidRPr="00CC46EA" w:rsidRDefault="007B4945" w:rsidP="00CC46EA">
      <w:pPr>
        <w:pBdr>
          <w:top w:val="double" w:sz="4" w:space="1" w:color="auto"/>
          <w:left w:val="double" w:sz="4" w:space="4" w:color="auto"/>
          <w:bottom w:val="double" w:sz="4" w:space="1" w:color="auto"/>
          <w:right w:val="double" w:sz="4" w:space="4" w:color="auto"/>
        </w:pBdr>
        <w:autoSpaceDE w:val="0"/>
        <w:autoSpaceDN w:val="0"/>
        <w:adjustRightInd w:val="0"/>
        <w:jc w:val="both"/>
        <w:rPr>
          <w:rFonts w:asciiTheme="majorHAnsi" w:hAnsiTheme="majorHAnsi"/>
          <w:b/>
          <w:noProof/>
          <w:snapToGrid w:val="0"/>
          <w:sz w:val="20"/>
          <w:szCs w:val="20"/>
          <w:lang w:eastAsia="es-ES"/>
        </w:rPr>
      </w:pPr>
      <w:r w:rsidRPr="00CC46EA">
        <w:rPr>
          <w:rFonts w:asciiTheme="majorHAnsi" w:hAnsiTheme="majorHAnsi"/>
          <w:b/>
          <w:noProof/>
          <w:snapToGrid w:val="0"/>
          <w:sz w:val="20"/>
          <w:szCs w:val="20"/>
          <w:lang w:eastAsia="es-ES"/>
        </w:rPr>
        <w:t>21-</w:t>
      </w:r>
      <w:r w:rsidR="00B753AC">
        <w:rPr>
          <w:rFonts w:asciiTheme="majorHAnsi" w:hAnsiTheme="majorHAnsi"/>
          <w:b/>
          <w:noProof/>
          <w:snapToGrid w:val="0"/>
          <w:sz w:val="20"/>
          <w:szCs w:val="20"/>
          <w:lang w:eastAsia="es-ES"/>
        </w:rPr>
        <w:t>1</w:t>
      </w:r>
      <w:r w:rsidR="0067544C">
        <w:rPr>
          <w:rFonts w:asciiTheme="majorHAnsi" w:hAnsiTheme="majorHAnsi"/>
          <w:b/>
          <w:noProof/>
          <w:snapToGrid w:val="0"/>
          <w:sz w:val="20"/>
          <w:szCs w:val="20"/>
          <w:lang w:eastAsia="es-ES"/>
        </w:rPr>
        <w:t>4</w:t>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Pr="00CC46EA">
        <w:rPr>
          <w:rFonts w:asciiTheme="majorHAnsi" w:hAnsiTheme="majorHAnsi"/>
          <w:b/>
          <w:noProof/>
          <w:snapToGrid w:val="0"/>
          <w:sz w:val="20"/>
          <w:szCs w:val="20"/>
          <w:lang w:eastAsia="es-ES"/>
        </w:rPr>
        <w:tab/>
      </w:r>
      <w:r w:rsidR="0067544C">
        <w:rPr>
          <w:rFonts w:asciiTheme="majorHAnsi" w:hAnsiTheme="majorHAnsi"/>
          <w:b/>
          <w:noProof/>
          <w:snapToGrid w:val="0"/>
          <w:sz w:val="20"/>
          <w:szCs w:val="20"/>
          <w:lang w:eastAsia="es-ES"/>
        </w:rPr>
        <w:t>GEN</w:t>
      </w:r>
    </w:p>
    <w:p w14:paraId="27142845" w14:textId="77777777" w:rsidR="007B4945" w:rsidRPr="00CC46EA" w:rsidRDefault="007B4945" w:rsidP="00CC46EA">
      <w:pPr>
        <w:pBdr>
          <w:top w:val="double" w:sz="4" w:space="1" w:color="auto"/>
          <w:left w:val="double" w:sz="4" w:space="4" w:color="auto"/>
          <w:bottom w:val="double" w:sz="4" w:space="1" w:color="auto"/>
          <w:right w:val="double" w:sz="4" w:space="4" w:color="auto"/>
        </w:pBdr>
        <w:autoSpaceDE w:val="0"/>
        <w:autoSpaceDN w:val="0"/>
        <w:adjustRightInd w:val="0"/>
        <w:jc w:val="both"/>
        <w:rPr>
          <w:rFonts w:asciiTheme="majorHAnsi" w:hAnsiTheme="majorHAnsi"/>
          <w:b/>
          <w:noProof/>
          <w:snapToGrid w:val="0"/>
          <w:sz w:val="20"/>
          <w:szCs w:val="20"/>
          <w:lang w:eastAsia="es-ES"/>
        </w:rPr>
      </w:pPr>
    </w:p>
    <w:p w14:paraId="6CFBA350" w14:textId="504BB871" w:rsidR="00B745E6" w:rsidRPr="00CC46EA" w:rsidRDefault="008D0479" w:rsidP="00CC46EA">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b/>
          <w:noProof/>
          <w:snapToGrid w:val="0"/>
          <w:sz w:val="20"/>
          <w:szCs w:val="20"/>
          <w:lang w:eastAsia="es-ES"/>
        </w:rPr>
      </w:pPr>
      <w:r w:rsidRPr="00CC46EA">
        <w:rPr>
          <w:rFonts w:asciiTheme="majorHAnsi" w:hAnsiTheme="majorHAnsi"/>
          <w:b/>
          <w:noProof/>
          <w:snapToGrid w:val="0"/>
          <w:sz w:val="20"/>
          <w:szCs w:val="20"/>
          <w:lang w:eastAsia="es-ES"/>
        </w:rPr>
        <w:t xml:space="preserve">RECOMMANDATION </w:t>
      </w:r>
      <w:r w:rsidR="00A67AF2" w:rsidRPr="00CC46EA">
        <w:rPr>
          <w:rFonts w:asciiTheme="majorHAnsi" w:hAnsiTheme="majorHAnsi"/>
          <w:b/>
          <w:noProof/>
          <w:snapToGrid w:val="0"/>
          <w:sz w:val="20"/>
          <w:szCs w:val="20"/>
          <w:lang w:eastAsia="es-ES"/>
        </w:rPr>
        <w:t xml:space="preserve">DE L’ICCAT </w:t>
      </w:r>
      <w:r w:rsidRPr="00CC46EA">
        <w:rPr>
          <w:rFonts w:asciiTheme="majorHAnsi" w:hAnsiTheme="majorHAnsi"/>
          <w:b/>
          <w:noProof/>
          <w:snapToGrid w:val="0"/>
          <w:sz w:val="20"/>
          <w:szCs w:val="20"/>
          <w:lang w:eastAsia="es-ES"/>
        </w:rPr>
        <w:t xml:space="preserve">AMENDANT LA </w:t>
      </w:r>
      <w:r w:rsidR="000B14A0" w:rsidRPr="00CC46EA">
        <w:rPr>
          <w:rFonts w:asciiTheme="majorHAnsi" w:hAnsiTheme="majorHAnsi"/>
          <w:b/>
          <w:noProof/>
          <w:snapToGrid w:val="0"/>
          <w:sz w:val="20"/>
          <w:szCs w:val="20"/>
          <w:lang w:eastAsia="es-ES"/>
        </w:rPr>
        <w:t xml:space="preserve">RECOMMANDATION </w:t>
      </w:r>
      <w:r w:rsidRPr="00CC46EA">
        <w:rPr>
          <w:rFonts w:asciiTheme="majorHAnsi" w:hAnsiTheme="majorHAnsi"/>
          <w:b/>
          <w:noProof/>
          <w:snapToGrid w:val="0"/>
          <w:sz w:val="20"/>
          <w:szCs w:val="20"/>
          <w:lang w:eastAsia="es-ES"/>
        </w:rPr>
        <w:t xml:space="preserve">13-13 </w:t>
      </w:r>
      <w:r w:rsidR="000B14A0" w:rsidRPr="00CC46EA">
        <w:rPr>
          <w:rFonts w:asciiTheme="majorHAnsi" w:hAnsiTheme="majorHAnsi"/>
          <w:b/>
          <w:noProof/>
          <w:snapToGrid w:val="0"/>
          <w:sz w:val="20"/>
          <w:szCs w:val="20"/>
          <w:lang w:eastAsia="es-ES"/>
        </w:rPr>
        <w:t xml:space="preserve">CONCERNANT L’ÉTABLISSEMENT D’UN REGISTRE ICCAT DE </w:t>
      </w:r>
      <w:r w:rsidR="00D267B6">
        <w:rPr>
          <w:rFonts w:asciiTheme="majorHAnsi" w:hAnsiTheme="majorHAnsi"/>
          <w:b/>
          <w:noProof/>
          <w:snapToGrid w:val="0"/>
          <w:sz w:val="20"/>
          <w:szCs w:val="20"/>
          <w:lang w:eastAsia="es-ES"/>
        </w:rPr>
        <w:t>NAVIRES</w:t>
      </w:r>
      <w:r w:rsidR="000B14A0" w:rsidRPr="00CC46EA">
        <w:rPr>
          <w:rFonts w:asciiTheme="majorHAnsi" w:hAnsiTheme="majorHAnsi"/>
          <w:b/>
          <w:noProof/>
          <w:snapToGrid w:val="0"/>
          <w:sz w:val="20"/>
          <w:szCs w:val="20"/>
          <w:lang w:eastAsia="es-ES"/>
        </w:rPr>
        <w:t xml:space="preserve"> DE 20 MÈTRES OU PLUS DE LONGUEUR HORS-TOUT AUTORISÉS À OPÉRER DANS LA ZONE DE LA CONVENTION</w:t>
      </w:r>
    </w:p>
    <w:p w14:paraId="58D98055" w14:textId="77777777" w:rsidR="007B4945" w:rsidRPr="00CC46EA" w:rsidRDefault="007B4945" w:rsidP="00CC46EA">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i/>
          <w:iCs/>
          <w:sz w:val="20"/>
          <w:szCs w:val="20"/>
        </w:rPr>
      </w:pPr>
    </w:p>
    <w:p w14:paraId="25EA1AC7" w14:textId="7B710698" w:rsidR="00A67AF2" w:rsidRPr="00CC46EA" w:rsidRDefault="00A67AF2" w:rsidP="00CC46EA">
      <w:pPr>
        <w:rPr>
          <w:rFonts w:asciiTheme="majorHAnsi" w:hAnsiTheme="majorHAnsi"/>
          <w:sz w:val="20"/>
          <w:szCs w:val="20"/>
        </w:rPr>
      </w:pPr>
    </w:p>
    <w:p w14:paraId="3A16E9E2" w14:textId="77777777" w:rsidR="007B4945" w:rsidRPr="00CC46EA" w:rsidRDefault="007B4945" w:rsidP="00CC46EA">
      <w:pPr>
        <w:rPr>
          <w:rFonts w:asciiTheme="majorHAnsi" w:hAnsiTheme="majorHAnsi"/>
          <w:sz w:val="20"/>
          <w:szCs w:val="20"/>
        </w:rPr>
      </w:pPr>
    </w:p>
    <w:p w14:paraId="719F3FE5" w14:textId="77777777"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RAPPELANT</w:t>
      </w:r>
      <w:r w:rsidRPr="00CC46EA">
        <w:rPr>
          <w:rFonts w:asciiTheme="majorHAnsi" w:hAnsiTheme="majorHAnsi"/>
          <w:noProof/>
          <w:snapToGrid w:val="0"/>
          <w:sz w:val="20"/>
          <w:szCs w:val="20"/>
          <w:lang w:eastAsia="es-ES"/>
        </w:rPr>
        <w:t xml:space="preserve"> que l’ICCAT a adopté, lors de sa réunion de 2000, une </w:t>
      </w:r>
      <w:r w:rsidRPr="00CC46EA">
        <w:rPr>
          <w:rFonts w:asciiTheme="majorHAnsi" w:hAnsiTheme="majorHAnsi"/>
          <w:i/>
          <w:noProof/>
          <w:snapToGrid w:val="0"/>
          <w:sz w:val="20"/>
          <w:szCs w:val="20"/>
          <w:lang w:eastAsia="es-ES"/>
        </w:rPr>
        <w:t>Recommandation de l’ICCAT concernant l’immatriculation des bateaux pêchant des thonidés et des espèces voisines dans la zone de la Convention et l’échange d’information les concernant</w:t>
      </w:r>
      <w:r w:rsidRPr="00CC46EA">
        <w:rPr>
          <w:rFonts w:asciiTheme="majorHAnsi" w:hAnsiTheme="majorHAnsi"/>
          <w:noProof/>
          <w:snapToGrid w:val="0"/>
          <w:sz w:val="20"/>
          <w:szCs w:val="20"/>
          <w:lang w:eastAsia="es-ES"/>
        </w:rPr>
        <w:t xml:space="preserve"> (Rec.</w:t>
      </w:r>
      <w:r w:rsidRPr="00CC46EA">
        <w:rPr>
          <w:rFonts w:asciiTheme="majorHAnsi" w:hAnsiTheme="majorHAnsi"/>
          <w:snapToGrid w:val="0"/>
          <w:sz w:val="20"/>
          <w:szCs w:val="20"/>
          <w:lang w:eastAsia="es-ES"/>
        </w:rPr>
        <w:t xml:space="preserve"> 00-17)</w:t>
      </w:r>
      <w:r w:rsidRPr="00CC46EA">
        <w:rPr>
          <w:rFonts w:asciiTheme="majorHAnsi" w:hAnsiTheme="majorHAnsi"/>
          <w:i/>
          <w:snapToGrid w:val="0"/>
          <w:sz w:val="20"/>
          <w:szCs w:val="20"/>
          <w:lang w:eastAsia="es-ES"/>
        </w:rPr>
        <w:t> </w:t>
      </w:r>
      <w:r w:rsidRPr="00CC46EA">
        <w:rPr>
          <w:rFonts w:asciiTheme="majorHAnsi" w:hAnsiTheme="majorHAnsi"/>
          <w:snapToGrid w:val="0"/>
          <w:sz w:val="20"/>
          <w:szCs w:val="20"/>
          <w:lang w:eastAsia="es-ES"/>
        </w:rPr>
        <w:t>;</w:t>
      </w:r>
    </w:p>
    <w:p w14:paraId="05632F14" w14:textId="77777777" w:rsidR="000B14A0" w:rsidRPr="00CC46EA" w:rsidRDefault="000B14A0" w:rsidP="00326E41">
      <w:pPr>
        <w:tabs>
          <w:tab w:val="left" w:pos="360"/>
        </w:tabs>
        <w:ind w:left="360" w:firstLine="426"/>
        <w:jc w:val="both"/>
        <w:rPr>
          <w:rFonts w:asciiTheme="majorHAnsi" w:hAnsiTheme="majorHAnsi"/>
          <w:snapToGrid w:val="0"/>
          <w:sz w:val="20"/>
          <w:szCs w:val="20"/>
          <w:lang w:eastAsia="es-ES"/>
        </w:rPr>
      </w:pPr>
      <w:r w:rsidRPr="00CC46EA">
        <w:rPr>
          <w:rFonts w:asciiTheme="majorHAnsi" w:hAnsiTheme="majorHAnsi"/>
          <w:snapToGrid w:val="0"/>
          <w:sz w:val="20"/>
          <w:szCs w:val="20"/>
          <w:lang w:eastAsia="es-ES"/>
        </w:rPr>
        <w:tab/>
      </w:r>
    </w:p>
    <w:p w14:paraId="4911C18C" w14:textId="77777777"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RAPPELANT ÉGALEMENT</w:t>
      </w:r>
      <w:r w:rsidRPr="00CC46EA">
        <w:rPr>
          <w:rFonts w:asciiTheme="majorHAnsi" w:hAnsiTheme="majorHAnsi"/>
          <w:noProof/>
          <w:snapToGrid w:val="0"/>
          <w:sz w:val="20"/>
          <w:szCs w:val="20"/>
          <w:lang w:eastAsia="es-ES"/>
        </w:rPr>
        <w:t xml:space="preserve"> que l’ICCAT a adopté, lors de sa réunion de 1994, une </w:t>
      </w:r>
      <w:r w:rsidRPr="00CC46EA">
        <w:rPr>
          <w:rFonts w:asciiTheme="majorHAnsi" w:hAnsiTheme="majorHAnsi"/>
          <w:i/>
          <w:noProof/>
          <w:snapToGrid w:val="0"/>
          <w:sz w:val="20"/>
          <w:szCs w:val="20"/>
          <w:lang w:eastAsia="es-ES"/>
        </w:rPr>
        <w:t>Résolution de l’ICCAT concernant l’accord visant à promouvoir le respect des mesures internationales de conservation et de gestion par les bateaux de pêche hauturière</w:t>
      </w:r>
      <w:r w:rsidRPr="00CC46EA">
        <w:rPr>
          <w:rFonts w:asciiTheme="majorHAnsi" w:hAnsiTheme="majorHAnsi"/>
          <w:noProof/>
          <w:snapToGrid w:val="0"/>
          <w:sz w:val="20"/>
          <w:szCs w:val="20"/>
          <w:lang w:eastAsia="es-ES"/>
        </w:rPr>
        <w:t xml:space="preserve"> (Rés.</w:t>
      </w:r>
      <w:r w:rsidRPr="00CC46EA">
        <w:rPr>
          <w:rFonts w:asciiTheme="majorHAnsi" w:hAnsiTheme="majorHAnsi"/>
          <w:snapToGrid w:val="0"/>
          <w:sz w:val="20"/>
          <w:szCs w:val="20"/>
          <w:lang w:eastAsia="es-ES"/>
        </w:rPr>
        <w:t xml:space="preserve"> 94-08)</w:t>
      </w:r>
      <w:r w:rsidRPr="00CC46EA">
        <w:rPr>
          <w:rFonts w:asciiTheme="majorHAnsi" w:hAnsiTheme="majorHAnsi"/>
          <w:i/>
          <w:snapToGrid w:val="0"/>
          <w:sz w:val="20"/>
          <w:szCs w:val="20"/>
          <w:lang w:eastAsia="es-ES"/>
        </w:rPr>
        <w:t> </w:t>
      </w:r>
      <w:r w:rsidRPr="00CC46EA">
        <w:rPr>
          <w:rFonts w:asciiTheme="majorHAnsi" w:hAnsiTheme="majorHAnsi"/>
          <w:snapToGrid w:val="0"/>
          <w:sz w:val="20"/>
          <w:szCs w:val="20"/>
          <w:lang w:eastAsia="es-ES"/>
        </w:rPr>
        <w:t>;</w:t>
      </w:r>
    </w:p>
    <w:p w14:paraId="493AE2F0" w14:textId="77777777" w:rsidR="000B14A0" w:rsidRPr="00CC46EA" w:rsidRDefault="000B14A0" w:rsidP="00326E41">
      <w:pPr>
        <w:tabs>
          <w:tab w:val="left" w:pos="340"/>
        </w:tabs>
        <w:ind w:left="360" w:firstLine="426"/>
        <w:jc w:val="both"/>
        <w:rPr>
          <w:rFonts w:asciiTheme="majorHAnsi" w:hAnsiTheme="majorHAnsi"/>
          <w:snapToGrid w:val="0"/>
          <w:sz w:val="20"/>
          <w:szCs w:val="20"/>
          <w:lang w:eastAsia="es-ES"/>
        </w:rPr>
      </w:pPr>
    </w:p>
    <w:p w14:paraId="7320EB2C" w14:textId="36DDD032"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RAPPELANT ÉGALEMENT</w:t>
      </w:r>
      <w:r w:rsidRPr="00CC46EA">
        <w:rPr>
          <w:rFonts w:asciiTheme="majorHAnsi" w:hAnsiTheme="majorHAnsi"/>
          <w:noProof/>
          <w:snapToGrid w:val="0"/>
          <w:sz w:val="20"/>
          <w:szCs w:val="20"/>
          <w:lang w:eastAsia="es-ES"/>
        </w:rPr>
        <w:t xml:space="preserve"> que la Commission a pris diverses mesures afin de prévenir, contrecarrer et éliminer la pêche illicite, non déclarée et non réglementée (IUU) menée par de grands navires-thoniers ;</w:t>
      </w:r>
    </w:p>
    <w:p w14:paraId="50EAFCF5" w14:textId="77777777" w:rsidR="000B14A0" w:rsidRPr="00CC46EA" w:rsidRDefault="000B14A0" w:rsidP="00326E41">
      <w:pPr>
        <w:ind w:firstLine="426"/>
        <w:jc w:val="both"/>
        <w:rPr>
          <w:rFonts w:asciiTheme="majorHAnsi" w:hAnsiTheme="majorHAnsi"/>
          <w:snapToGrid w:val="0"/>
          <w:sz w:val="20"/>
          <w:szCs w:val="20"/>
          <w:lang w:eastAsia="es-ES"/>
        </w:rPr>
      </w:pPr>
    </w:p>
    <w:p w14:paraId="61F71426" w14:textId="2E69BFB6"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NOTANT</w:t>
      </w:r>
      <w:r w:rsidRPr="00CC46EA">
        <w:rPr>
          <w:rFonts w:asciiTheme="majorHAnsi" w:hAnsiTheme="majorHAnsi"/>
          <w:noProof/>
          <w:snapToGrid w:val="0"/>
          <w:sz w:val="20"/>
          <w:szCs w:val="20"/>
          <w:lang w:eastAsia="es-ES"/>
        </w:rPr>
        <w:t xml:space="preserve"> que les grands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de pêche sont très mobiles et changent facilement de lieux de pêche d’un océan à l’autre, et risquent fortement d’opérer dans la zone de la Convention sans s’être immatriculés au préalable auprès de la Commission ;</w:t>
      </w:r>
    </w:p>
    <w:p w14:paraId="5ECCEB24" w14:textId="77777777" w:rsidR="000B14A0" w:rsidRPr="00CC46EA" w:rsidRDefault="000B14A0" w:rsidP="00326E41">
      <w:pPr>
        <w:ind w:firstLine="426"/>
        <w:jc w:val="both"/>
        <w:rPr>
          <w:rFonts w:asciiTheme="majorHAnsi" w:hAnsiTheme="majorHAnsi"/>
          <w:snapToGrid w:val="0"/>
          <w:sz w:val="20"/>
          <w:szCs w:val="20"/>
          <w:lang w:eastAsia="es-ES"/>
        </w:rPr>
      </w:pPr>
    </w:p>
    <w:p w14:paraId="7665AF26" w14:textId="6CD4FE0E"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RAPPELANT</w:t>
      </w:r>
      <w:r w:rsidRPr="00CC46EA">
        <w:rPr>
          <w:rFonts w:asciiTheme="majorHAnsi" w:hAnsiTheme="majorHAnsi"/>
          <w:noProof/>
          <w:snapToGrid w:val="0"/>
          <w:sz w:val="20"/>
          <w:szCs w:val="20"/>
          <w:lang w:eastAsia="es-ES"/>
        </w:rPr>
        <w:t xml:space="preserve"> que le Conseil de la FAO a adopté, le 23 juin 2001, un Plan d’action international (IPOA) visant à prévenir, contrecarrer et éliminer la pêche illicite, non déclarée et non réglementée, que ce plan stipule que l’organisme régional de gestion des pêches devrait prendre des mesures afin de renforcer et de développer des moyens novateurs, en conformité avec </w:t>
      </w:r>
      <w:r w:rsidR="008E48FF" w:rsidRPr="00CC46EA">
        <w:rPr>
          <w:rFonts w:asciiTheme="majorHAnsi" w:hAnsiTheme="majorHAnsi"/>
          <w:noProof/>
          <w:snapToGrid w:val="0"/>
          <w:sz w:val="20"/>
          <w:szCs w:val="20"/>
          <w:lang w:eastAsia="es-ES"/>
        </w:rPr>
        <w:t xml:space="preserve">le droit </w:t>
      </w:r>
      <w:r w:rsidRPr="00CC46EA">
        <w:rPr>
          <w:rFonts w:asciiTheme="majorHAnsi" w:hAnsiTheme="majorHAnsi"/>
          <w:noProof/>
          <w:snapToGrid w:val="0"/>
          <w:sz w:val="20"/>
          <w:szCs w:val="20"/>
          <w:lang w:eastAsia="es-ES"/>
        </w:rPr>
        <w:t xml:space="preserve">international, tendant à prévenir, contrecarrer et éliminer la pêche IUU et notamment à établir des registres des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habilités à pêcher et des registres de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s’adonnant à la pêche IUU ;</w:t>
      </w:r>
    </w:p>
    <w:p w14:paraId="35FD344D" w14:textId="77777777" w:rsidR="000B14A0" w:rsidRPr="00CC46EA" w:rsidRDefault="000B14A0" w:rsidP="00326E41">
      <w:pPr>
        <w:ind w:firstLine="426"/>
        <w:jc w:val="both"/>
        <w:rPr>
          <w:rFonts w:asciiTheme="majorHAnsi" w:hAnsiTheme="majorHAnsi"/>
          <w:snapToGrid w:val="0"/>
          <w:sz w:val="20"/>
          <w:szCs w:val="20"/>
          <w:lang w:eastAsia="es-ES"/>
        </w:rPr>
      </w:pPr>
    </w:p>
    <w:p w14:paraId="4DCC2C3D" w14:textId="284DCC02"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RAPPELANT ÉGALEMENT</w:t>
      </w:r>
      <w:r w:rsidRPr="00CC46EA">
        <w:rPr>
          <w:rFonts w:asciiTheme="majorHAnsi" w:hAnsiTheme="majorHAnsi"/>
          <w:noProof/>
          <w:snapToGrid w:val="0"/>
          <w:sz w:val="20"/>
          <w:szCs w:val="20"/>
          <w:lang w:eastAsia="es-ES"/>
        </w:rPr>
        <w:t xml:space="preserve"> que la Commission en 2002, a établi un Registre ICCAT de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de 24</w:t>
      </w:r>
      <w:r w:rsidR="0008791D" w:rsidRPr="00CC46EA">
        <w:rPr>
          <w:rFonts w:asciiTheme="majorHAnsi" w:hAnsiTheme="majorHAnsi"/>
          <w:noProof/>
          <w:snapToGrid w:val="0"/>
          <w:sz w:val="20"/>
          <w:szCs w:val="20"/>
          <w:lang w:eastAsia="es-ES"/>
        </w:rPr>
        <w:t> </w:t>
      </w:r>
      <w:r w:rsidRPr="00CC46EA">
        <w:rPr>
          <w:rFonts w:asciiTheme="majorHAnsi" w:hAnsiTheme="majorHAnsi"/>
          <w:noProof/>
          <w:snapToGrid w:val="0"/>
          <w:sz w:val="20"/>
          <w:szCs w:val="20"/>
          <w:lang w:eastAsia="es-ES"/>
        </w:rPr>
        <w:t>mètres ou plus de longueur hors-tout, et que, en 2009, la Commission a élargi la liste afin d’inclure tous les navires de 20 mètres ou plus de longueur hors-tout ;</w:t>
      </w:r>
    </w:p>
    <w:p w14:paraId="2CC9F7D4" w14:textId="77777777" w:rsidR="000B14A0" w:rsidRPr="00CC46EA" w:rsidRDefault="000B14A0" w:rsidP="00326E41">
      <w:pPr>
        <w:ind w:firstLine="426"/>
        <w:jc w:val="both"/>
        <w:rPr>
          <w:rFonts w:asciiTheme="majorHAnsi" w:hAnsiTheme="majorHAnsi"/>
          <w:snapToGrid w:val="0"/>
          <w:sz w:val="20"/>
          <w:szCs w:val="20"/>
          <w:lang w:eastAsia="es-ES"/>
        </w:rPr>
      </w:pPr>
    </w:p>
    <w:p w14:paraId="5B35476C" w14:textId="77777777" w:rsidR="000B14A0" w:rsidRPr="00CC46EA" w:rsidRDefault="000B14A0" w:rsidP="00326E41">
      <w:pPr>
        <w:ind w:firstLine="426"/>
        <w:jc w:val="both"/>
        <w:rPr>
          <w:rFonts w:asciiTheme="majorHAnsi" w:hAnsiTheme="majorHAnsi"/>
          <w:i/>
          <w:snapToGrid w:val="0"/>
          <w:sz w:val="20"/>
          <w:szCs w:val="20"/>
          <w:lang w:eastAsia="es-ES"/>
        </w:rPr>
      </w:pPr>
      <w:r w:rsidRPr="00CC46EA">
        <w:rPr>
          <w:rFonts w:asciiTheme="majorHAnsi" w:hAnsiTheme="majorHAnsi"/>
          <w:i/>
          <w:noProof/>
          <w:snapToGrid w:val="0"/>
          <w:sz w:val="20"/>
          <w:szCs w:val="20"/>
          <w:lang w:eastAsia="es-ES"/>
        </w:rPr>
        <w:t xml:space="preserve">NOTANT EN OUTRE QUE </w:t>
      </w:r>
      <w:r w:rsidRPr="00CC46EA">
        <w:rPr>
          <w:rFonts w:asciiTheme="majorHAnsi" w:hAnsiTheme="majorHAnsi"/>
          <w:noProof/>
          <w:snapToGrid w:val="0"/>
          <w:sz w:val="20"/>
          <w:szCs w:val="20"/>
          <w:lang w:eastAsia="es-ES"/>
        </w:rPr>
        <w:t>le Comité de la sécurité maritime de l'Organisation maritime internationale (« OMI »), lors de sa 92</w:t>
      </w:r>
      <w:r w:rsidRPr="00CC46EA">
        <w:rPr>
          <w:rFonts w:asciiTheme="majorHAnsi" w:hAnsiTheme="majorHAnsi"/>
          <w:noProof/>
          <w:snapToGrid w:val="0"/>
          <w:sz w:val="20"/>
          <w:szCs w:val="20"/>
          <w:vertAlign w:val="superscript"/>
          <w:lang w:eastAsia="es-ES"/>
        </w:rPr>
        <w:t>e</w:t>
      </w:r>
      <w:r w:rsidRPr="00CC46EA">
        <w:rPr>
          <w:rFonts w:asciiTheme="majorHAnsi" w:hAnsiTheme="majorHAnsi"/>
          <w:noProof/>
          <w:snapToGrid w:val="0"/>
          <w:sz w:val="20"/>
          <w:szCs w:val="20"/>
          <w:lang w:eastAsia="es-ES"/>
        </w:rPr>
        <w:t xml:space="preserve"> réunion, a approuvé des amendements au système de numéros d'identification des navires de l'OMI supprimant l'exclusion des navires exclusivement affectés à la pêche, qui seront examinés pour adoption finale par l'Assemblée de l'OMI à sa 28e réunion du mois de novembre 2013 </w:t>
      </w:r>
      <w:r w:rsidRPr="00CC46EA">
        <w:rPr>
          <w:rFonts w:asciiTheme="majorHAnsi" w:hAnsiTheme="majorHAnsi"/>
          <w:i/>
          <w:noProof/>
          <w:snapToGrid w:val="0"/>
          <w:sz w:val="20"/>
          <w:szCs w:val="20"/>
          <w:lang w:eastAsia="es-ES"/>
        </w:rPr>
        <w:t>;</w:t>
      </w:r>
    </w:p>
    <w:p w14:paraId="2601D80C" w14:textId="08A73FFC" w:rsidR="000B14A0" w:rsidRPr="00CC46EA" w:rsidRDefault="000B14A0" w:rsidP="00326E41">
      <w:pPr>
        <w:ind w:firstLine="426"/>
        <w:jc w:val="both"/>
        <w:rPr>
          <w:rFonts w:asciiTheme="majorHAnsi" w:hAnsiTheme="majorHAnsi"/>
          <w:i/>
          <w:snapToGrid w:val="0"/>
          <w:sz w:val="20"/>
          <w:szCs w:val="20"/>
          <w:lang w:eastAsia="es-ES"/>
        </w:rPr>
      </w:pPr>
    </w:p>
    <w:p w14:paraId="11E708E3" w14:textId="5492AF7B" w:rsidR="008D0479" w:rsidRPr="00CC46EA" w:rsidRDefault="008D0479" w:rsidP="00326E41">
      <w:pPr>
        <w:ind w:right="59" w:firstLine="426"/>
        <w:jc w:val="both"/>
        <w:rPr>
          <w:rFonts w:asciiTheme="majorHAnsi" w:hAnsiTheme="majorHAnsi"/>
          <w:sz w:val="20"/>
          <w:szCs w:val="20"/>
        </w:rPr>
      </w:pPr>
      <w:r w:rsidRPr="00CC46EA">
        <w:rPr>
          <w:rFonts w:asciiTheme="majorHAnsi" w:hAnsiTheme="majorHAnsi"/>
          <w:i/>
          <w:iCs/>
          <w:sz w:val="20"/>
          <w:szCs w:val="20"/>
        </w:rPr>
        <w:t>RECONNAISSANT</w:t>
      </w:r>
      <w:r w:rsidRPr="00CC46EA">
        <w:rPr>
          <w:rFonts w:asciiTheme="majorHAnsi" w:hAnsiTheme="majorHAnsi"/>
          <w:sz w:val="20"/>
          <w:szCs w:val="20"/>
        </w:rPr>
        <w:t xml:space="preserve"> qu’en 2017, l'Organisation maritime internationale (OMI) a adopté la résolution A.1117(30), qui étend les critères d'éligibilité au numéro OMI à tous les navires de pêche in-bord motorisés, y compris ceux en bois, </w:t>
      </w:r>
      <w:r w:rsidR="00705682" w:rsidRPr="00CC46EA">
        <w:rPr>
          <w:rFonts w:asciiTheme="majorHAnsi" w:hAnsiTheme="majorHAnsi"/>
          <w:sz w:val="20"/>
          <w:szCs w:val="20"/>
        </w:rPr>
        <w:t>d’une longueur hors-tout égale ou supérieure à</w:t>
      </w:r>
      <w:r w:rsidRPr="00CC46EA">
        <w:rPr>
          <w:rFonts w:asciiTheme="majorHAnsi" w:hAnsiTheme="majorHAnsi"/>
          <w:sz w:val="20"/>
          <w:szCs w:val="20"/>
        </w:rPr>
        <w:t xml:space="preserve"> 12 mètres </w:t>
      </w:r>
      <w:r w:rsidR="00705682" w:rsidRPr="00CC46EA">
        <w:rPr>
          <w:rFonts w:asciiTheme="majorHAnsi" w:hAnsiTheme="majorHAnsi"/>
          <w:sz w:val="20"/>
          <w:szCs w:val="20"/>
        </w:rPr>
        <w:t xml:space="preserve">qui sont </w:t>
      </w:r>
      <w:r w:rsidRPr="00CC46EA">
        <w:rPr>
          <w:rFonts w:asciiTheme="majorHAnsi" w:hAnsiTheme="majorHAnsi"/>
          <w:sz w:val="20"/>
          <w:szCs w:val="20"/>
        </w:rPr>
        <w:t xml:space="preserve">autorisés à </w:t>
      </w:r>
      <w:r w:rsidR="00705682" w:rsidRPr="00CC46EA">
        <w:rPr>
          <w:rFonts w:asciiTheme="majorHAnsi" w:hAnsiTheme="majorHAnsi"/>
          <w:sz w:val="20"/>
          <w:szCs w:val="20"/>
        </w:rPr>
        <w:t>être exploités</w:t>
      </w:r>
      <w:r w:rsidRPr="00CC46EA">
        <w:rPr>
          <w:rFonts w:asciiTheme="majorHAnsi" w:hAnsiTheme="majorHAnsi"/>
          <w:sz w:val="20"/>
          <w:szCs w:val="20"/>
        </w:rPr>
        <w:t xml:space="preserve"> en dehors des eaux relevant de la juridiction nationale de l'État du pavillon</w:t>
      </w:r>
      <w:r w:rsidR="001D2DCA" w:rsidRPr="00CC46EA">
        <w:rPr>
          <w:rFonts w:asciiTheme="majorHAnsi" w:hAnsiTheme="majorHAnsi"/>
          <w:sz w:val="20"/>
          <w:szCs w:val="20"/>
        </w:rPr>
        <w:t> ;</w:t>
      </w:r>
    </w:p>
    <w:p w14:paraId="674CA496" w14:textId="77777777" w:rsidR="008D0479" w:rsidRPr="00CC46EA" w:rsidRDefault="008D0479" w:rsidP="00326E41">
      <w:pPr>
        <w:ind w:firstLine="426"/>
        <w:rPr>
          <w:rFonts w:asciiTheme="majorHAnsi" w:hAnsiTheme="majorHAnsi"/>
          <w:sz w:val="20"/>
          <w:szCs w:val="20"/>
        </w:rPr>
      </w:pPr>
    </w:p>
    <w:p w14:paraId="2FCA07B9" w14:textId="6007B21F" w:rsidR="000B14A0" w:rsidRPr="00CC46EA" w:rsidRDefault="000B14A0" w:rsidP="00326E41">
      <w:pPr>
        <w:ind w:firstLine="426"/>
        <w:jc w:val="both"/>
        <w:rPr>
          <w:rFonts w:asciiTheme="majorHAnsi" w:hAnsiTheme="majorHAnsi"/>
          <w:snapToGrid w:val="0"/>
          <w:sz w:val="20"/>
          <w:szCs w:val="20"/>
          <w:lang w:eastAsia="es-ES"/>
        </w:rPr>
      </w:pPr>
      <w:r w:rsidRPr="00CC46EA">
        <w:rPr>
          <w:rFonts w:asciiTheme="majorHAnsi" w:hAnsiTheme="majorHAnsi"/>
          <w:i/>
          <w:noProof/>
          <w:snapToGrid w:val="0"/>
          <w:sz w:val="20"/>
          <w:szCs w:val="20"/>
          <w:lang w:eastAsia="es-ES"/>
        </w:rPr>
        <w:t xml:space="preserve">RECONNAISSANT </w:t>
      </w:r>
      <w:r w:rsidRPr="00CC46EA">
        <w:rPr>
          <w:rFonts w:asciiTheme="majorHAnsi" w:hAnsiTheme="majorHAnsi"/>
          <w:noProof/>
          <w:snapToGrid w:val="0"/>
          <w:sz w:val="20"/>
          <w:szCs w:val="20"/>
          <w:lang w:eastAsia="es-ES"/>
        </w:rPr>
        <w:t>l'utilité et l</w:t>
      </w:r>
      <w:r w:rsidR="0008791D" w:rsidRPr="00CC46EA">
        <w:rPr>
          <w:rFonts w:asciiTheme="majorHAnsi" w:hAnsiTheme="majorHAnsi"/>
          <w:noProof/>
          <w:snapToGrid w:val="0"/>
          <w:sz w:val="20"/>
          <w:szCs w:val="20"/>
          <w:lang w:eastAsia="es-ES"/>
        </w:rPr>
        <w:t xml:space="preserve">e caractère pratique </w:t>
      </w:r>
      <w:r w:rsidRPr="00CC46EA">
        <w:rPr>
          <w:rFonts w:asciiTheme="majorHAnsi" w:hAnsiTheme="majorHAnsi"/>
          <w:noProof/>
          <w:snapToGrid w:val="0"/>
          <w:sz w:val="20"/>
          <w:szCs w:val="20"/>
          <w:lang w:eastAsia="es-ES"/>
        </w:rPr>
        <w:t>de l'utilisation de numéros OMI comme identifiant unique des navires de pêche (UV</w:t>
      </w:r>
      <w:r w:rsidR="0008791D" w:rsidRPr="00CC46EA">
        <w:rPr>
          <w:rFonts w:asciiTheme="majorHAnsi" w:hAnsiTheme="majorHAnsi"/>
          <w:noProof/>
          <w:snapToGrid w:val="0"/>
          <w:sz w:val="20"/>
          <w:szCs w:val="20"/>
          <w:lang w:eastAsia="es-ES"/>
        </w:rPr>
        <w:t>I</w:t>
      </w:r>
      <w:r w:rsidRPr="00CC46EA">
        <w:rPr>
          <w:rFonts w:asciiTheme="majorHAnsi" w:hAnsiTheme="majorHAnsi"/>
          <w:noProof/>
          <w:snapToGrid w:val="0"/>
          <w:sz w:val="20"/>
          <w:szCs w:val="20"/>
          <w:lang w:eastAsia="es-ES"/>
        </w:rPr>
        <w:t>) ;</w:t>
      </w:r>
    </w:p>
    <w:p w14:paraId="749702FE" w14:textId="4B59A1E7" w:rsidR="000B14A0" w:rsidRPr="00CC46EA" w:rsidRDefault="000B14A0" w:rsidP="00CC46EA">
      <w:pPr>
        <w:jc w:val="both"/>
        <w:rPr>
          <w:rFonts w:asciiTheme="majorHAnsi" w:hAnsiTheme="majorHAnsi"/>
          <w:snapToGrid w:val="0"/>
          <w:sz w:val="20"/>
          <w:szCs w:val="20"/>
          <w:lang w:eastAsia="es-ES"/>
        </w:rPr>
      </w:pPr>
    </w:p>
    <w:p w14:paraId="48A4F5A8" w14:textId="77777777" w:rsidR="007B4945" w:rsidRPr="00CC46EA" w:rsidRDefault="007B4945" w:rsidP="00CC46EA">
      <w:pPr>
        <w:jc w:val="both"/>
        <w:rPr>
          <w:rFonts w:asciiTheme="majorHAnsi" w:hAnsiTheme="majorHAnsi"/>
          <w:snapToGrid w:val="0"/>
          <w:sz w:val="20"/>
          <w:szCs w:val="20"/>
          <w:lang w:eastAsia="es-ES"/>
        </w:rPr>
      </w:pPr>
    </w:p>
    <w:p w14:paraId="605AD2B7" w14:textId="77777777" w:rsidR="000B14A0" w:rsidRPr="00CC46EA" w:rsidRDefault="000B14A0" w:rsidP="00CC46EA">
      <w:pPr>
        <w:jc w:val="center"/>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LA COMMISSION INTERNATIONALE POUR LA CONSERVATION</w:t>
      </w:r>
    </w:p>
    <w:p w14:paraId="1752ADD8" w14:textId="15BB6774" w:rsidR="000B14A0" w:rsidRPr="00CC46EA" w:rsidRDefault="000B14A0" w:rsidP="00CC46EA">
      <w:pPr>
        <w:jc w:val="center"/>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 xml:space="preserve">DES THONIDÉS DE L’ATLANTIQUE (ICCAT) RECOMMANDE </w:t>
      </w:r>
      <w:r w:rsidR="00AE221B" w:rsidRPr="00CC46EA">
        <w:rPr>
          <w:rFonts w:asciiTheme="majorHAnsi" w:hAnsiTheme="majorHAnsi"/>
          <w:noProof/>
          <w:snapToGrid w:val="0"/>
          <w:sz w:val="20"/>
          <w:szCs w:val="20"/>
          <w:lang w:eastAsia="es-ES"/>
        </w:rPr>
        <w:t xml:space="preserve">CE </w:t>
      </w:r>
      <w:r w:rsidRPr="00CC46EA">
        <w:rPr>
          <w:rFonts w:asciiTheme="majorHAnsi" w:hAnsiTheme="majorHAnsi"/>
          <w:noProof/>
          <w:snapToGrid w:val="0"/>
          <w:sz w:val="20"/>
          <w:szCs w:val="20"/>
          <w:lang w:eastAsia="es-ES"/>
        </w:rPr>
        <w:t>QU</w:t>
      </w:r>
      <w:r w:rsidR="00AE221B" w:rsidRPr="00CC46EA">
        <w:rPr>
          <w:rFonts w:asciiTheme="majorHAnsi" w:hAnsiTheme="majorHAnsi"/>
          <w:noProof/>
          <w:snapToGrid w:val="0"/>
          <w:sz w:val="20"/>
          <w:szCs w:val="20"/>
          <w:lang w:eastAsia="es-ES"/>
        </w:rPr>
        <w:t>I SUIT</w:t>
      </w:r>
      <w:r w:rsidRPr="00CC46EA">
        <w:rPr>
          <w:rFonts w:asciiTheme="majorHAnsi" w:hAnsiTheme="majorHAnsi"/>
          <w:noProof/>
          <w:snapToGrid w:val="0"/>
          <w:sz w:val="20"/>
          <w:szCs w:val="20"/>
          <w:lang w:eastAsia="es-ES"/>
        </w:rPr>
        <w:t> :</w:t>
      </w:r>
    </w:p>
    <w:p w14:paraId="59E3F881"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19C1602E" w14:textId="38789053" w:rsidR="000B14A0" w:rsidRPr="00CC46EA" w:rsidRDefault="000B14A0" w:rsidP="009348A3">
      <w:pPr>
        <w:autoSpaceDE w:val="0"/>
        <w:autoSpaceDN w:val="0"/>
        <w:adjustRightInd w:val="0"/>
        <w:ind w:left="435" w:hanging="435"/>
        <w:jc w:val="both"/>
        <w:rPr>
          <w:rFonts w:asciiTheme="majorHAnsi" w:hAnsiTheme="majorHAnsi"/>
          <w:snapToGrid w:val="0"/>
          <w:sz w:val="20"/>
          <w:szCs w:val="20"/>
          <w:lang w:eastAsia="es-ES"/>
        </w:rPr>
      </w:pPr>
      <w:r w:rsidRPr="00CC46EA">
        <w:rPr>
          <w:rFonts w:asciiTheme="majorHAnsi" w:hAnsiTheme="majorHAnsi"/>
          <w:snapToGrid w:val="0"/>
          <w:sz w:val="20"/>
          <w:szCs w:val="20"/>
          <w:lang w:eastAsia="es-ES"/>
        </w:rPr>
        <w:t>1.</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La Commission devra établir et maintenir un registre ICCAT des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de pêche mesurant 20 mètres ou plus de longueur hors-tout (ci-après dénommés « </w:t>
      </w:r>
      <w:r w:rsidR="00D267B6">
        <w:rPr>
          <w:rFonts w:asciiTheme="majorHAnsi" w:hAnsiTheme="majorHAnsi"/>
          <w:noProof/>
          <w:snapToGrid w:val="0"/>
          <w:sz w:val="20"/>
          <w:szCs w:val="20"/>
          <w:lang w:eastAsia="es-ES"/>
        </w:rPr>
        <w:t>g</w:t>
      </w:r>
      <w:r w:rsidRPr="00CC46EA">
        <w:rPr>
          <w:rFonts w:asciiTheme="majorHAnsi" w:hAnsiTheme="majorHAnsi"/>
          <w:noProof/>
          <w:snapToGrid w:val="0"/>
          <w:sz w:val="20"/>
          <w:szCs w:val="20"/>
          <w:lang w:eastAsia="es-ES"/>
        </w:rPr>
        <w:t xml:space="preserve">rands </w:t>
      </w:r>
      <w:r w:rsidR="00D267B6">
        <w:rPr>
          <w:rFonts w:asciiTheme="majorHAnsi" w:hAnsiTheme="majorHAnsi"/>
          <w:noProof/>
          <w:snapToGrid w:val="0"/>
          <w:sz w:val="20"/>
          <w:szCs w:val="20"/>
          <w:lang w:eastAsia="es-ES"/>
        </w:rPr>
        <w:t xml:space="preserve">navires </w:t>
      </w:r>
      <w:r w:rsidRPr="00CC46EA">
        <w:rPr>
          <w:rFonts w:asciiTheme="majorHAnsi" w:hAnsiTheme="majorHAnsi"/>
          <w:noProof/>
          <w:snapToGrid w:val="0"/>
          <w:sz w:val="20"/>
          <w:szCs w:val="20"/>
          <w:lang w:eastAsia="es-ES"/>
        </w:rPr>
        <w:t xml:space="preserve">de pêche » ou « LSFV ») habilités à pêcher des </w:t>
      </w:r>
      <w:r w:rsidRPr="00CC46EA">
        <w:rPr>
          <w:rFonts w:asciiTheme="majorHAnsi" w:hAnsiTheme="majorHAnsi"/>
          <w:sz w:val="20"/>
          <w:szCs w:val="20"/>
        </w:rPr>
        <w:t>thonidés</w:t>
      </w:r>
      <w:r w:rsidRPr="00CC46EA">
        <w:rPr>
          <w:rFonts w:asciiTheme="majorHAnsi" w:hAnsiTheme="majorHAnsi"/>
          <w:noProof/>
          <w:snapToGrid w:val="0"/>
          <w:sz w:val="20"/>
          <w:szCs w:val="20"/>
          <w:lang w:eastAsia="es-ES"/>
        </w:rPr>
        <w:t xml:space="preserve"> et des espèces apparentées dans la zone de la Convention.</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Aux fins de la présente Recommandation, les LSFV ne figurant pas dans ce registre sont considérés comme n’étant pas habilités à pêcher, retenir à bord, transborder ou débarquer des thonidés ou des espèces apparentées</w:t>
      </w:r>
      <w:r w:rsidR="00FB41F8" w:rsidRPr="00CC46EA">
        <w:rPr>
          <w:rFonts w:asciiTheme="majorHAnsi" w:hAnsiTheme="majorHAnsi"/>
          <w:noProof/>
          <w:snapToGrid w:val="0"/>
          <w:sz w:val="20"/>
          <w:szCs w:val="20"/>
          <w:lang w:eastAsia="es-ES"/>
        </w:rPr>
        <w:t xml:space="preserve"> ou bien des espèces capturées en association avec ces espèces</w:t>
      </w:r>
      <w:r w:rsidRPr="00CC46EA">
        <w:rPr>
          <w:rFonts w:asciiTheme="majorHAnsi" w:hAnsiTheme="majorHAnsi"/>
          <w:noProof/>
          <w:snapToGrid w:val="0"/>
          <w:sz w:val="20"/>
          <w:szCs w:val="20"/>
          <w:lang w:eastAsia="es-ES"/>
        </w:rPr>
        <w:t>.</w:t>
      </w:r>
    </w:p>
    <w:p w14:paraId="45D4C4AD" w14:textId="77777777" w:rsidR="009348A3" w:rsidRDefault="009348A3">
      <w:pPr>
        <w:rPr>
          <w:rFonts w:asciiTheme="majorHAnsi" w:hAnsiTheme="majorHAnsi"/>
          <w:snapToGrid w:val="0"/>
          <w:sz w:val="20"/>
          <w:szCs w:val="20"/>
          <w:lang w:eastAsia="es-ES"/>
        </w:rPr>
      </w:pPr>
      <w:r>
        <w:rPr>
          <w:rFonts w:asciiTheme="majorHAnsi" w:hAnsiTheme="majorHAnsi"/>
          <w:snapToGrid w:val="0"/>
          <w:sz w:val="20"/>
          <w:szCs w:val="20"/>
          <w:lang w:eastAsia="es-ES"/>
        </w:rPr>
        <w:br w:type="page"/>
      </w:r>
    </w:p>
    <w:p w14:paraId="79989706" w14:textId="5D274025"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snapToGrid w:val="0"/>
          <w:sz w:val="20"/>
          <w:szCs w:val="20"/>
          <w:lang w:eastAsia="es-ES"/>
        </w:rPr>
      </w:pPr>
      <w:r w:rsidRPr="00CC46EA">
        <w:rPr>
          <w:rFonts w:asciiTheme="majorHAnsi" w:hAnsiTheme="majorHAnsi"/>
          <w:snapToGrid w:val="0"/>
          <w:sz w:val="20"/>
          <w:szCs w:val="20"/>
          <w:lang w:eastAsia="es-ES"/>
        </w:rPr>
        <w:lastRenderedPageBreak/>
        <w:t>2.</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Chaque CPC devra soumettre au Secrétaire exécutif de l’ICCAT la liste de ses LSFV habilités à opérer dans la </w:t>
      </w:r>
      <w:r w:rsidRPr="00CC46EA">
        <w:rPr>
          <w:rFonts w:asciiTheme="majorHAnsi" w:hAnsiTheme="majorHAnsi"/>
          <w:sz w:val="20"/>
          <w:szCs w:val="20"/>
        </w:rPr>
        <w:t>zone</w:t>
      </w:r>
      <w:r w:rsidRPr="00CC46EA">
        <w:rPr>
          <w:rFonts w:asciiTheme="majorHAnsi" w:hAnsiTheme="majorHAnsi"/>
          <w:noProof/>
          <w:snapToGrid w:val="0"/>
          <w:sz w:val="20"/>
          <w:szCs w:val="20"/>
          <w:lang w:eastAsia="es-ES"/>
        </w:rPr>
        <w:t xml:space="preserve"> de la Convention.</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La liste initiale et les changements ultérieurs qui y seront apportés devront être soumis par voie électronique, dans un format fourni par le Secrétariat.</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Cette liste devra inclure l’information suivante :</w:t>
      </w:r>
    </w:p>
    <w:p w14:paraId="6DE6C20E"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48AF7D1C" w14:textId="3707350C"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 xml:space="preserve">Nom du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numéro d</w:t>
      </w:r>
      <w:r w:rsidR="00BD6AF5" w:rsidRPr="00CC46EA">
        <w:rPr>
          <w:rFonts w:asciiTheme="majorHAnsi" w:hAnsiTheme="majorHAnsi"/>
          <w:noProof/>
          <w:snapToGrid w:val="0"/>
          <w:sz w:val="20"/>
          <w:szCs w:val="20"/>
          <w:lang w:eastAsia="es-ES"/>
        </w:rPr>
        <w:t>’immatriculation</w:t>
      </w:r>
    </w:p>
    <w:p w14:paraId="0F5F75EA" w14:textId="04E239E6"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Numéro OMI ou LR</w:t>
      </w:r>
      <w:r w:rsidR="008D3330" w:rsidRPr="00CC46EA">
        <w:rPr>
          <w:rStyle w:val="FootnoteReference"/>
          <w:rFonts w:asciiTheme="majorHAnsi" w:hAnsiTheme="majorHAnsi"/>
          <w:sz w:val="20"/>
          <w:szCs w:val="20"/>
        </w:rPr>
        <w:footnoteReference w:customMarkFollows="1" w:id="1"/>
        <w:t>*</w:t>
      </w:r>
      <w:r w:rsidR="002578FB" w:rsidRPr="00CC46EA">
        <w:rPr>
          <w:rFonts w:asciiTheme="majorHAnsi" w:hAnsiTheme="majorHAnsi"/>
          <w:sz w:val="20"/>
          <w:szCs w:val="20"/>
        </w:rPr>
        <w:t xml:space="preserve"> </w:t>
      </w:r>
    </w:p>
    <w:p w14:paraId="5C3B4435" w14:textId="77777777"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Nom précédent (le cas échéant)</w:t>
      </w:r>
    </w:p>
    <w:p w14:paraId="68B499EA" w14:textId="77777777"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Pavillon précédent (le cas échéant)</w:t>
      </w:r>
    </w:p>
    <w:p w14:paraId="73819F17" w14:textId="77777777"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Informations précédentes sur la radiation d’autres registres (le cas échéant)</w:t>
      </w:r>
    </w:p>
    <w:p w14:paraId="4EC12393" w14:textId="77777777"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Indicatif d’appel radio international (le cas échéant)</w:t>
      </w:r>
    </w:p>
    <w:p w14:paraId="627E9FBB" w14:textId="1BD29EAA"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 xml:space="preserve">Type de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longueur et tonnes de jauge brute (TJB) ou, si possible, tonnage brut (TB)</w:t>
      </w:r>
    </w:p>
    <w:p w14:paraId="2EC2C744" w14:textId="645FF756"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Nom et adresse d</w:t>
      </w:r>
      <w:r w:rsidR="00E255A0" w:rsidRPr="00CC46EA">
        <w:rPr>
          <w:rFonts w:asciiTheme="majorHAnsi" w:hAnsiTheme="majorHAnsi"/>
          <w:noProof/>
          <w:snapToGrid w:val="0"/>
          <w:sz w:val="20"/>
          <w:szCs w:val="20"/>
          <w:lang w:eastAsia="es-ES"/>
        </w:rPr>
        <w:t xml:space="preserve">u ou des </w:t>
      </w:r>
      <w:r w:rsidRPr="00CC46EA">
        <w:rPr>
          <w:rFonts w:asciiTheme="majorHAnsi" w:hAnsiTheme="majorHAnsi"/>
          <w:noProof/>
          <w:snapToGrid w:val="0"/>
          <w:sz w:val="20"/>
          <w:szCs w:val="20"/>
          <w:lang w:eastAsia="es-ES"/>
        </w:rPr>
        <w:t>armateur(s) et opérateur(s)</w:t>
      </w:r>
    </w:p>
    <w:p w14:paraId="016338A0" w14:textId="77777777"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Engin utilisé</w:t>
      </w:r>
    </w:p>
    <w:p w14:paraId="567FF916" w14:textId="3A0AFB18" w:rsidR="000B14A0" w:rsidRPr="00CC46EA" w:rsidRDefault="000B14A0" w:rsidP="009348A3">
      <w:pPr>
        <w:numPr>
          <w:ilvl w:val="0"/>
          <w:numId w:val="17"/>
        </w:numPr>
        <w:tabs>
          <w:tab w:val="clear" w:pos="907"/>
        </w:tabs>
        <w:ind w:left="851"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Période autorisée pour la pêche et/ou le transbordement.</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 xml:space="preserve">Néanmoins, dans aucun cas, la période d’autorisation ne </w:t>
      </w:r>
      <w:r w:rsidR="00E255A0" w:rsidRPr="00CC46EA">
        <w:rPr>
          <w:rFonts w:asciiTheme="majorHAnsi" w:hAnsiTheme="majorHAnsi"/>
          <w:noProof/>
          <w:snapToGrid w:val="0"/>
          <w:sz w:val="20"/>
          <w:szCs w:val="20"/>
          <w:lang w:eastAsia="es-ES"/>
        </w:rPr>
        <w:t xml:space="preserve">devra pas </w:t>
      </w:r>
      <w:r w:rsidRPr="00CC46EA">
        <w:rPr>
          <w:rFonts w:asciiTheme="majorHAnsi" w:hAnsiTheme="majorHAnsi"/>
          <w:noProof/>
          <w:snapToGrid w:val="0"/>
          <w:sz w:val="20"/>
          <w:szCs w:val="20"/>
          <w:lang w:eastAsia="es-ES"/>
        </w:rPr>
        <w:t>comprendr</w:t>
      </w:r>
      <w:r w:rsidR="00E255A0" w:rsidRPr="00CC46EA">
        <w:rPr>
          <w:rFonts w:asciiTheme="majorHAnsi" w:hAnsiTheme="majorHAnsi"/>
          <w:noProof/>
          <w:snapToGrid w:val="0"/>
          <w:sz w:val="20"/>
          <w:szCs w:val="20"/>
          <w:lang w:eastAsia="es-ES"/>
        </w:rPr>
        <w:t>e</w:t>
      </w:r>
      <w:r w:rsidRPr="00CC46EA">
        <w:rPr>
          <w:rFonts w:asciiTheme="majorHAnsi" w:hAnsiTheme="majorHAnsi"/>
          <w:noProof/>
          <w:snapToGrid w:val="0"/>
          <w:sz w:val="20"/>
          <w:szCs w:val="20"/>
          <w:lang w:eastAsia="es-ES"/>
        </w:rPr>
        <w:t xml:space="preserve"> de dates antérieures de plus de </w:t>
      </w:r>
      <w:r w:rsidR="002578FB" w:rsidRPr="00CC46EA">
        <w:rPr>
          <w:rFonts w:asciiTheme="majorHAnsi" w:hAnsiTheme="majorHAnsi"/>
          <w:noProof/>
          <w:snapToGrid w:val="0"/>
          <w:sz w:val="20"/>
          <w:szCs w:val="20"/>
          <w:lang w:eastAsia="es-ES"/>
        </w:rPr>
        <w:t>45</w:t>
      </w:r>
      <w:r w:rsidRPr="00CC46EA">
        <w:rPr>
          <w:rFonts w:asciiTheme="majorHAnsi" w:hAnsiTheme="majorHAnsi"/>
          <w:noProof/>
          <w:snapToGrid w:val="0"/>
          <w:sz w:val="20"/>
          <w:szCs w:val="20"/>
          <w:lang w:eastAsia="es-ES"/>
        </w:rPr>
        <w:t xml:space="preserve"> jours</w:t>
      </w:r>
      <w:r w:rsidR="002578FB" w:rsidRPr="00CC46EA">
        <w:rPr>
          <w:rFonts w:asciiTheme="majorHAnsi" w:hAnsiTheme="majorHAnsi"/>
          <w:noProof/>
          <w:snapToGrid w:val="0"/>
          <w:sz w:val="20"/>
          <w:szCs w:val="20"/>
          <w:lang w:eastAsia="es-ES"/>
        </w:rPr>
        <w:t xml:space="preserve"> </w:t>
      </w:r>
      <w:r w:rsidRPr="00CC46EA">
        <w:rPr>
          <w:rFonts w:asciiTheme="majorHAnsi" w:hAnsiTheme="majorHAnsi"/>
          <w:noProof/>
          <w:snapToGrid w:val="0"/>
          <w:sz w:val="20"/>
          <w:szCs w:val="20"/>
          <w:lang w:eastAsia="es-ES"/>
        </w:rPr>
        <w:t>à la date de la présentation de la liste au Secrétari</w:t>
      </w:r>
      <w:r w:rsidR="009348A3">
        <w:rPr>
          <w:rFonts w:asciiTheme="majorHAnsi" w:hAnsiTheme="majorHAnsi"/>
          <w:noProof/>
          <w:snapToGrid w:val="0"/>
          <w:sz w:val="20"/>
          <w:szCs w:val="20"/>
          <w:lang w:eastAsia="es-ES"/>
        </w:rPr>
        <w:t>a</w:t>
      </w:r>
      <w:r w:rsidRPr="00CC46EA">
        <w:rPr>
          <w:rFonts w:asciiTheme="majorHAnsi" w:hAnsiTheme="majorHAnsi"/>
          <w:noProof/>
          <w:snapToGrid w:val="0"/>
          <w:sz w:val="20"/>
          <w:szCs w:val="20"/>
          <w:lang w:eastAsia="es-ES"/>
        </w:rPr>
        <w:t>t.</w:t>
      </w:r>
      <w:r w:rsidRPr="00CC46EA">
        <w:rPr>
          <w:rFonts w:asciiTheme="majorHAnsi" w:hAnsiTheme="majorHAnsi"/>
          <w:snapToGrid w:val="0"/>
          <w:sz w:val="20"/>
          <w:szCs w:val="20"/>
          <w:lang w:eastAsia="es-ES"/>
        </w:rPr>
        <w:t xml:space="preserve"> </w:t>
      </w:r>
    </w:p>
    <w:p w14:paraId="0683AC38"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04729C84" w14:textId="6CD13D25" w:rsidR="000B14A0" w:rsidRPr="00CC46EA" w:rsidRDefault="000B14A0" w:rsidP="009348A3">
      <w:pPr>
        <w:ind w:left="426"/>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Le registre de l’ICCAT devra comporter tous les LSFV soumis aux termes de ce paragraphe.</w:t>
      </w:r>
    </w:p>
    <w:p w14:paraId="3BEB21F6"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4682A213" w14:textId="1BBD4443" w:rsidR="000B14A0" w:rsidRPr="00CC46EA" w:rsidRDefault="000B14A0" w:rsidP="009348A3">
      <w:pPr>
        <w:tabs>
          <w:tab w:val="left" w:pos="660"/>
          <w:tab w:val="left" w:pos="990"/>
        </w:tabs>
        <w:autoSpaceDE w:val="0"/>
        <w:autoSpaceDN w:val="0"/>
        <w:adjustRightInd w:val="0"/>
        <w:ind w:left="435" w:hanging="435"/>
        <w:jc w:val="both"/>
        <w:rPr>
          <w:rFonts w:asciiTheme="majorHAnsi" w:hAnsiTheme="majorHAnsi"/>
          <w:snapToGrid w:val="0"/>
          <w:sz w:val="20"/>
          <w:szCs w:val="20"/>
          <w:lang w:eastAsia="es-ES"/>
        </w:rPr>
      </w:pPr>
      <w:r w:rsidRPr="00CC46EA">
        <w:rPr>
          <w:rFonts w:asciiTheme="majorHAnsi" w:hAnsiTheme="majorHAnsi"/>
          <w:snapToGrid w:val="0"/>
          <w:sz w:val="20"/>
          <w:szCs w:val="20"/>
          <w:lang w:eastAsia="es-ES"/>
        </w:rPr>
        <w:t>3.</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Chaque CPC devra rapidement notifier au Secrétaire exécutif de l’ICCAT tout ajout, toute suppression et/ou toute modification à apporter au registre de l’ICCAT au moment de la survenue de ces changements.</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 xml:space="preserve">Les périodes d’autorisation des modifications ou des ajouts ne </w:t>
      </w:r>
      <w:r w:rsidR="00DB5BF6" w:rsidRPr="00CC46EA">
        <w:rPr>
          <w:rFonts w:asciiTheme="majorHAnsi" w:hAnsiTheme="majorHAnsi"/>
          <w:noProof/>
          <w:snapToGrid w:val="0"/>
          <w:sz w:val="20"/>
          <w:szCs w:val="20"/>
          <w:lang w:eastAsia="es-ES"/>
        </w:rPr>
        <w:t xml:space="preserve">devront pas </w:t>
      </w:r>
      <w:r w:rsidRPr="00CC46EA">
        <w:rPr>
          <w:rFonts w:asciiTheme="majorHAnsi" w:hAnsiTheme="majorHAnsi"/>
          <w:noProof/>
          <w:snapToGrid w:val="0"/>
          <w:sz w:val="20"/>
          <w:szCs w:val="20"/>
          <w:lang w:eastAsia="es-ES"/>
        </w:rPr>
        <w:t>comprendr</w:t>
      </w:r>
      <w:r w:rsidR="00E255A0" w:rsidRPr="00CC46EA">
        <w:rPr>
          <w:rFonts w:asciiTheme="majorHAnsi" w:hAnsiTheme="majorHAnsi"/>
          <w:noProof/>
          <w:snapToGrid w:val="0"/>
          <w:sz w:val="20"/>
          <w:szCs w:val="20"/>
          <w:lang w:eastAsia="es-ES"/>
        </w:rPr>
        <w:t>e</w:t>
      </w:r>
      <w:r w:rsidRPr="00CC46EA">
        <w:rPr>
          <w:rFonts w:asciiTheme="majorHAnsi" w:hAnsiTheme="majorHAnsi"/>
          <w:noProof/>
          <w:snapToGrid w:val="0"/>
          <w:sz w:val="20"/>
          <w:szCs w:val="20"/>
          <w:lang w:eastAsia="es-ES"/>
        </w:rPr>
        <w:t xml:space="preserve"> de dates antérieures de plus de </w:t>
      </w:r>
      <w:r w:rsidR="002578FB" w:rsidRPr="00CC46EA">
        <w:rPr>
          <w:rFonts w:asciiTheme="majorHAnsi" w:hAnsiTheme="majorHAnsi"/>
          <w:noProof/>
          <w:snapToGrid w:val="0"/>
          <w:sz w:val="20"/>
          <w:szCs w:val="20"/>
          <w:lang w:eastAsia="es-ES"/>
        </w:rPr>
        <w:t>45</w:t>
      </w:r>
      <w:r w:rsidRPr="00CC46EA">
        <w:rPr>
          <w:rFonts w:asciiTheme="majorHAnsi" w:hAnsiTheme="majorHAnsi"/>
          <w:noProof/>
          <w:snapToGrid w:val="0"/>
          <w:sz w:val="20"/>
          <w:szCs w:val="20"/>
          <w:lang w:eastAsia="es-ES"/>
        </w:rPr>
        <w:t xml:space="preserve"> jours à la date de la présentation des changements au Secrétariat.</w:t>
      </w:r>
      <w:r w:rsidRPr="00CC46EA">
        <w:rPr>
          <w:rFonts w:asciiTheme="majorHAnsi" w:hAnsiTheme="majorHAnsi"/>
          <w:snapToGrid w:val="0"/>
          <w:sz w:val="20"/>
          <w:szCs w:val="20"/>
          <w:lang w:eastAsia="es-ES"/>
        </w:rPr>
        <w:t xml:space="preserve"> </w:t>
      </w:r>
      <w:r w:rsidRPr="00CC46EA">
        <w:rPr>
          <w:rFonts w:asciiTheme="majorHAnsi" w:hAnsiTheme="majorHAnsi"/>
          <w:noProof/>
          <w:snapToGrid w:val="0"/>
          <w:sz w:val="20"/>
          <w:szCs w:val="20"/>
          <w:lang w:eastAsia="es-ES"/>
        </w:rPr>
        <w:t xml:space="preserve">Le Secrétariat devra radier du registre ICCAT de navires </w:t>
      </w:r>
      <w:r w:rsidR="00E354C0" w:rsidRPr="00CC46EA">
        <w:rPr>
          <w:rFonts w:asciiTheme="majorHAnsi" w:hAnsiTheme="majorHAnsi"/>
          <w:noProof/>
          <w:snapToGrid w:val="0"/>
          <w:sz w:val="20"/>
          <w:szCs w:val="20"/>
          <w:lang w:eastAsia="es-ES"/>
        </w:rPr>
        <w:t>tout</w:t>
      </w:r>
      <w:r w:rsidRPr="00CC46EA">
        <w:rPr>
          <w:rFonts w:asciiTheme="majorHAnsi" w:hAnsiTheme="majorHAnsi"/>
          <w:noProof/>
          <w:snapToGrid w:val="0"/>
          <w:sz w:val="20"/>
          <w:szCs w:val="20"/>
          <w:lang w:eastAsia="es-ES"/>
        </w:rPr>
        <w:t xml:space="preserve"> navire dont la période d’autorisation est arrivée à échéance.</w:t>
      </w:r>
    </w:p>
    <w:p w14:paraId="1C90863A"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6F7A11F2" w14:textId="3EDB15FD"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snapToGrid w:val="0"/>
          <w:sz w:val="20"/>
          <w:szCs w:val="20"/>
          <w:lang w:eastAsia="es-ES"/>
        </w:rPr>
        <w:t>4.</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Le Secrétaire exécutif de l’ICCAT devra maintenir le registre de l’ICCAT et prendre les mesures visant à assurer la </w:t>
      </w:r>
      <w:r w:rsidR="00E354C0" w:rsidRPr="00CC46EA">
        <w:rPr>
          <w:rFonts w:asciiTheme="majorHAnsi" w:hAnsiTheme="majorHAnsi"/>
          <w:noProof/>
          <w:snapToGrid w:val="0"/>
          <w:sz w:val="20"/>
          <w:szCs w:val="20"/>
          <w:lang w:eastAsia="es-ES"/>
        </w:rPr>
        <w:t>diffusion</w:t>
      </w:r>
      <w:r w:rsidRPr="00CC46EA">
        <w:rPr>
          <w:rFonts w:asciiTheme="majorHAnsi" w:hAnsiTheme="majorHAnsi"/>
          <w:noProof/>
          <w:snapToGrid w:val="0"/>
          <w:sz w:val="20"/>
          <w:szCs w:val="20"/>
          <w:lang w:eastAsia="es-ES"/>
        </w:rPr>
        <w:t xml:space="preserve"> et la mise à disposition de ce registre par des moyens électroniques, y compris en le publiant sur le site web de l’ICCAT, d’une manière conforme aux exigences de confidentialité signalées par les CPC.</w:t>
      </w:r>
    </w:p>
    <w:p w14:paraId="390F5791" w14:textId="7777777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p>
    <w:p w14:paraId="1C9F29D3" w14:textId="29ED28C2" w:rsidR="000B14A0" w:rsidRPr="00CC46EA" w:rsidRDefault="000B14A0" w:rsidP="009348A3">
      <w:pPr>
        <w:tabs>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5.</w:t>
      </w:r>
      <w:r w:rsidRPr="00CC46EA">
        <w:rPr>
          <w:rFonts w:asciiTheme="majorHAnsi" w:hAnsiTheme="majorHAnsi"/>
          <w:noProof/>
          <w:snapToGrid w:val="0"/>
          <w:sz w:val="20"/>
          <w:szCs w:val="20"/>
          <w:lang w:eastAsia="es-ES"/>
        </w:rPr>
        <w:tab/>
        <w:t xml:space="preserve">Les CPC de pavillon des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figurant sur le registre devront :</w:t>
      </w:r>
    </w:p>
    <w:p w14:paraId="21143675"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1F79DFD4" w14:textId="58AE6C96"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a)</w:t>
      </w:r>
      <w:r w:rsidRPr="00CC46EA">
        <w:rPr>
          <w:rFonts w:asciiTheme="majorHAnsi" w:hAnsiTheme="majorHAnsi"/>
          <w:noProof/>
          <w:snapToGrid w:val="0"/>
          <w:sz w:val="20"/>
          <w:szCs w:val="20"/>
          <w:lang w:eastAsia="es-ES"/>
        </w:rPr>
        <w:tab/>
        <w:t xml:space="preserve">autoriser leurs LSFV à opérer dans la zone de la Convention uniquement si elles sont en mesure de remplir, en ce qui concerne ces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les exigences et responsabilités prévues par la Convention et ses mesures de gestion et de conservation,</w:t>
      </w:r>
    </w:p>
    <w:p w14:paraId="218C79C5" w14:textId="77777777"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b)</w:t>
      </w:r>
      <w:r w:rsidRPr="00CC46EA">
        <w:rPr>
          <w:rFonts w:asciiTheme="majorHAnsi" w:hAnsiTheme="majorHAnsi"/>
          <w:noProof/>
          <w:snapToGrid w:val="0"/>
          <w:sz w:val="20"/>
          <w:szCs w:val="20"/>
          <w:lang w:eastAsia="es-ES"/>
        </w:rPr>
        <w:tab/>
        <w:t>prendre les mesures nécessaires visant à s’assurer que leurs LSFV appliquent toutes les mesures de conservation et de gestion pertinentes de l’ICCAT,</w:t>
      </w:r>
    </w:p>
    <w:p w14:paraId="2528456C" w14:textId="159EFD1F"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c)</w:t>
      </w:r>
      <w:r w:rsidRPr="00CC46EA">
        <w:rPr>
          <w:rFonts w:asciiTheme="majorHAnsi" w:hAnsiTheme="majorHAnsi"/>
          <w:noProof/>
          <w:snapToGrid w:val="0"/>
          <w:sz w:val="20"/>
          <w:szCs w:val="20"/>
          <w:lang w:eastAsia="es-ES"/>
        </w:rPr>
        <w:tab/>
        <w:t xml:space="preserve">prendre les mesures nécessaires visant à s’assurer que leurs LSFV figurant sur le registre de l’ICCAT conservent à bord les certificats d’immatriculation des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valides ainsi que l’autorisation valide de pêcher et/ou de transborder,</w:t>
      </w:r>
    </w:p>
    <w:p w14:paraId="14FC0552" w14:textId="332D4921"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d)</w:t>
      </w:r>
      <w:r w:rsidRPr="00CC46EA">
        <w:rPr>
          <w:rFonts w:asciiTheme="majorHAnsi" w:hAnsiTheme="majorHAnsi"/>
          <w:noProof/>
          <w:snapToGrid w:val="0"/>
          <w:sz w:val="20"/>
          <w:szCs w:val="20"/>
          <w:lang w:eastAsia="es-ES"/>
        </w:rPr>
        <w:tab/>
        <w:t xml:space="preserve">garantir que leurs LSFV figurant sur le registre de l’ICCAT n’ont aucun antécédent d’activités de pêche IUU ou que, si ces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ont de tels antécédents, que les nouveaux armateurs ont fourni suffisamment de pièces justificatives démontrant que les armateurs et opérateurs précédents n'ont plus d'intérêts juridiques, bénéficiaires ou financiers dans ces navires, ni n'exercent de contrôle sur ceux-ci, ou après avoir pris tous les éléments pertinents en considération, que leurs LSFV ne prennent part ni ne sont associés à des activités de pêche IUU,</w:t>
      </w:r>
    </w:p>
    <w:p w14:paraId="2364E066" w14:textId="7E107446"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e)</w:t>
      </w:r>
      <w:r w:rsidRPr="00CC46EA">
        <w:rPr>
          <w:rFonts w:asciiTheme="majorHAnsi" w:hAnsiTheme="majorHAnsi"/>
          <w:noProof/>
          <w:snapToGrid w:val="0"/>
          <w:sz w:val="20"/>
          <w:szCs w:val="20"/>
          <w:lang w:eastAsia="es-ES"/>
        </w:rPr>
        <w:tab/>
        <w:t>s’assurer, dans la mesure du possible, dans le cadre de la législation nationale, que les armateurs et opérateurs de leurs LSFV figurant sur le registre de l’ICCAT ne prennent part ni ne sont associés à des activités de pêche de thonidés menées par des LSFV ne figurant pas sur le registre de l’ICCAT dans la zone de la Convention</w:t>
      </w:r>
      <w:r w:rsidR="003500A6" w:rsidRPr="00CC46EA">
        <w:rPr>
          <w:rFonts w:asciiTheme="majorHAnsi" w:hAnsiTheme="majorHAnsi"/>
          <w:noProof/>
          <w:snapToGrid w:val="0"/>
          <w:sz w:val="20"/>
          <w:szCs w:val="20"/>
          <w:lang w:eastAsia="es-ES"/>
        </w:rPr>
        <w:t>,</w:t>
      </w:r>
      <w:r w:rsidRPr="00CC46EA">
        <w:rPr>
          <w:rFonts w:asciiTheme="majorHAnsi" w:hAnsiTheme="majorHAnsi"/>
          <w:noProof/>
          <w:snapToGrid w:val="0"/>
          <w:sz w:val="20"/>
          <w:szCs w:val="20"/>
          <w:lang w:eastAsia="es-ES"/>
        </w:rPr>
        <w:t xml:space="preserve"> et</w:t>
      </w:r>
    </w:p>
    <w:p w14:paraId="2BDC0F33" w14:textId="343FED79" w:rsidR="009348A3"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f)</w:t>
      </w:r>
      <w:r w:rsidRPr="00CC46EA">
        <w:rPr>
          <w:rFonts w:asciiTheme="majorHAnsi" w:hAnsiTheme="majorHAnsi"/>
          <w:noProof/>
          <w:snapToGrid w:val="0"/>
          <w:sz w:val="20"/>
          <w:szCs w:val="20"/>
          <w:lang w:eastAsia="es-ES"/>
        </w:rPr>
        <w:tab/>
        <w:t>prendre les mesures nécessaires afin de s’assurer, dans la mesure du possible, dans le cadre de la législation nationale, que les armateurs des LSFV figurant sur le registre de l’ICCAT sont des ressortissants ou des entités juridiques des CPC de pavillon afin que toute mesure punitive ou de contrôle puisse être effectivement prise à leur encontre.</w:t>
      </w:r>
      <w:r w:rsidR="009348A3">
        <w:rPr>
          <w:rFonts w:asciiTheme="majorHAnsi" w:hAnsiTheme="majorHAnsi"/>
          <w:noProof/>
          <w:snapToGrid w:val="0"/>
          <w:sz w:val="20"/>
          <w:szCs w:val="20"/>
          <w:lang w:eastAsia="es-ES"/>
        </w:rPr>
        <w:br w:type="page"/>
      </w:r>
    </w:p>
    <w:p w14:paraId="187A3413" w14:textId="05912243" w:rsidR="000B14A0" w:rsidRPr="00CC46EA" w:rsidRDefault="002578FB" w:rsidP="00CC46EA">
      <w:pPr>
        <w:tabs>
          <w:tab w:val="left" w:pos="440"/>
          <w:tab w:val="left" w:pos="660"/>
          <w:tab w:val="left" w:pos="990"/>
        </w:tabs>
        <w:autoSpaceDE w:val="0"/>
        <w:autoSpaceDN w:val="0"/>
        <w:adjustRightInd w:val="0"/>
        <w:ind w:left="435" w:hanging="43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lastRenderedPageBreak/>
        <w:t>6</w:t>
      </w:r>
      <w:r w:rsidR="000B14A0" w:rsidRPr="00CC46EA">
        <w:rPr>
          <w:rFonts w:asciiTheme="majorHAnsi" w:hAnsiTheme="majorHAnsi"/>
          <w:noProof/>
          <w:snapToGrid w:val="0"/>
          <w:sz w:val="20"/>
          <w:szCs w:val="20"/>
          <w:lang w:eastAsia="es-ES"/>
        </w:rPr>
        <w:t>.</w:t>
      </w:r>
      <w:r w:rsidR="000B14A0"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Les</w:t>
      </w:r>
      <w:r w:rsidR="000B14A0" w:rsidRPr="00CC46EA">
        <w:rPr>
          <w:rFonts w:asciiTheme="majorHAnsi" w:hAnsiTheme="majorHAnsi"/>
          <w:noProof/>
          <w:snapToGrid w:val="0"/>
          <w:sz w:val="20"/>
          <w:szCs w:val="20"/>
          <w:lang w:eastAsia="es-ES"/>
        </w:rPr>
        <w:t xml:space="preserve"> CPC de pavillon </w:t>
      </w:r>
      <w:r w:rsidRPr="00CC46EA">
        <w:rPr>
          <w:rFonts w:asciiTheme="majorHAnsi" w:hAnsiTheme="majorHAnsi"/>
          <w:noProof/>
          <w:snapToGrid w:val="0"/>
          <w:sz w:val="20"/>
          <w:szCs w:val="20"/>
          <w:lang w:eastAsia="es-ES"/>
        </w:rPr>
        <w:t xml:space="preserve">devront </w:t>
      </w:r>
      <w:r w:rsidR="000B14A0" w:rsidRPr="00CC46EA">
        <w:rPr>
          <w:rFonts w:asciiTheme="majorHAnsi" w:hAnsiTheme="majorHAnsi"/>
          <w:noProof/>
          <w:snapToGrid w:val="0"/>
          <w:sz w:val="20"/>
          <w:szCs w:val="20"/>
          <w:lang w:eastAsia="es-ES"/>
        </w:rPr>
        <w:t>autorise</w:t>
      </w:r>
      <w:r w:rsidRPr="00CC46EA">
        <w:rPr>
          <w:rFonts w:asciiTheme="majorHAnsi" w:hAnsiTheme="majorHAnsi"/>
          <w:noProof/>
          <w:snapToGrid w:val="0"/>
          <w:sz w:val="20"/>
          <w:szCs w:val="20"/>
          <w:lang w:eastAsia="es-ES"/>
        </w:rPr>
        <w:t>r</w:t>
      </w:r>
      <w:r w:rsidR="000B14A0" w:rsidRPr="00CC46EA">
        <w:rPr>
          <w:rFonts w:asciiTheme="majorHAnsi" w:hAnsiTheme="majorHAnsi"/>
          <w:noProof/>
          <w:snapToGrid w:val="0"/>
          <w:sz w:val="20"/>
          <w:szCs w:val="20"/>
          <w:lang w:eastAsia="es-ES"/>
        </w:rPr>
        <w:t xml:space="preserve"> leurs LSFV commerciaux à opérer dans la zone de la Convention uniquement si le navire dispose d'un numéro OMI ou d'un numéro suivant la séquence de numérotation de sept chiffres attribué par IHS-Fairplay (numéro LR), le cas échéant.</w:t>
      </w:r>
      <w:r w:rsidR="000B14A0" w:rsidRPr="00CC46EA">
        <w:rPr>
          <w:rFonts w:asciiTheme="majorHAnsi" w:hAnsiTheme="majorHAnsi"/>
          <w:snapToGrid w:val="0"/>
          <w:sz w:val="20"/>
          <w:szCs w:val="20"/>
          <w:lang w:eastAsia="es-ES"/>
        </w:rPr>
        <w:t xml:space="preserve"> </w:t>
      </w:r>
      <w:r w:rsidR="000B14A0" w:rsidRPr="00CC46EA">
        <w:rPr>
          <w:rFonts w:asciiTheme="majorHAnsi" w:hAnsiTheme="majorHAnsi"/>
          <w:noProof/>
          <w:snapToGrid w:val="0"/>
          <w:sz w:val="20"/>
          <w:szCs w:val="20"/>
          <w:lang w:eastAsia="es-ES"/>
        </w:rPr>
        <w:t xml:space="preserve">Les navires ne disposant pas de ce numéro ne </w:t>
      </w:r>
      <w:r w:rsidRPr="00CC46EA">
        <w:rPr>
          <w:rFonts w:asciiTheme="majorHAnsi" w:hAnsiTheme="majorHAnsi"/>
          <w:noProof/>
          <w:snapToGrid w:val="0"/>
          <w:sz w:val="20"/>
          <w:szCs w:val="20"/>
          <w:lang w:eastAsia="es-ES"/>
        </w:rPr>
        <w:t>devront</w:t>
      </w:r>
      <w:r w:rsidR="000B14A0" w:rsidRPr="00CC46EA">
        <w:rPr>
          <w:rFonts w:asciiTheme="majorHAnsi" w:hAnsiTheme="majorHAnsi"/>
          <w:noProof/>
          <w:snapToGrid w:val="0"/>
          <w:sz w:val="20"/>
          <w:szCs w:val="20"/>
          <w:lang w:eastAsia="es-ES"/>
        </w:rPr>
        <w:t xml:space="preserve"> pas </w:t>
      </w:r>
      <w:r w:rsidRPr="00CC46EA">
        <w:rPr>
          <w:rFonts w:asciiTheme="majorHAnsi" w:hAnsiTheme="majorHAnsi"/>
          <w:noProof/>
          <w:snapToGrid w:val="0"/>
          <w:sz w:val="20"/>
          <w:szCs w:val="20"/>
          <w:lang w:eastAsia="es-ES"/>
        </w:rPr>
        <w:t xml:space="preserve">être </w:t>
      </w:r>
      <w:r w:rsidR="000B14A0" w:rsidRPr="00CC46EA">
        <w:rPr>
          <w:rFonts w:asciiTheme="majorHAnsi" w:hAnsiTheme="majorHAnsi"/>
          <w:noProof/>
          <w:snapToGrid w:val="0"/>
          <w:sz w:val="20"/>
          <w:szCs w:val="20"/>
          <w:lang w:eastAsia="es-ES"/>
        </w:rPr>
        <w:t>inclus dans le registre de l'ICCAT.</w:t>
      </w:r>
    </w:p>
    <w:p w14:paraId="232C8762"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7E528334" w14:textId="2418638A" w:rsidR="000B14A0" w:rsidRPr="00CC46EA" w:rsidRDefault="002578FB" w:rsidP="00CC46EA">
      <w:pPr>
        <w:tabs>
          <w:tab w:val="left" w:pos="440"/>
          <w:tab w:val="left" w:pos="660"/>
          <w:tab w:val="left" w:pos="990"/>
        </w:tabs>
        <w:autoSpaceDE w:val="0"/>
        <w:autoSpaceDN w:val="0"/>
        <w:adjustRightInd w:val="0"/>
        <w:ind w:left="435" w:hanging="43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7</w:t>
      </w:r>
      <w:r w:rsidR="000B14A0" w:rsidRPr="00CC46EA">
        <w:rPr>
          <w:rFonts w:asciiTheme="majorHAnsi" w:hAnsiTheme="majorHAnsi"/>
          <w:noProof/>
          <w:snapToGrid w:val="0"/>
          <w:sz w:val="20"/>
          <w:szCs w:val="20"/>
          <w:lang w:eastAsia="es-ES"/>
        </w:rPr>
        <w:t>.</w:t>
      </w:r>
      <w:r w:rsidR="000B14A0" w:rsidRPr="00CC46EA">
        <w:rPr>
          <w:rFonts w:asciiTheme="majorHAnsi" w:hAnsiTheme="majorHAnsi"/>
          <w:snapToGrid w:val="0"/>
          <w:sz w:val="20"/>
          <w:szCs w:val="20"/>
          <w:lang w:eastAsia="es-ES"/>
        </w:rPr>
        <w:t xml:space="preserve"> </w:t>
      </w:r>
      <w:r w:rsidRPr="00CC46EA">
        <w:rPr>
          <w:rFonts w:asciiTheme="majorHAnsi" w:hAnsiTheme="majorHAnsi"/>
          <w:snapToGrid w:val="0"/>
          <w:sz w:val="20"/>
          <w:szCs w:val="20"/>
          <w:lang w:eastAsia="es-ES"/>
        </w:rPr>
        <w:tab/>
      </w:r>
      <w:r w:rsidR="000B14A0" w:rsidRPr="00CC46EA">
        <w:rPr>
          <w:rFonts w:asciiTheme="majorHAnsi" w:hAnsiTheme="majorHAnsi"/>
          <w:noProof/>
          <w:snapToGrid w:val="0"/>
          <w:sz w:val="20"/>
          <w:szCs w:val="20"/>
          <w:lang w:eastAsia="es-ES"/>
        </w:rPr>
        <w:t xml:space="preserve">Le paragraphe </w:t>
      </w:r>
      <w:r w:rsidRPr="00CC46EA">
        <w:rPr>
          <w:rFonts w:asciiTheme="majorHAnsi" w:hAnsiTheme="majorHAnsi"/>
          <w:noProof/>
          <w:snapToGrid w:val="0"/>
          <w:sz w:val="20"/>
          <w:szCs w:val="20"/>
          <w:lang w:eastAsia="es-ES"/>
        </w:rPr>
        <w:t>6</w:t>
      </w:r>
      <w:r w:rsidR="000B14A0" w:rsidRPr="00CC46EA">
        <w:rPr>
          <w:rFonts w:asciiTheme="majorHAnsi" w:hAnsiTheme="majorHAnsi"/>
          <w:noProof/>
          <w:snapToGrid w:val="0"/>
          <w:sz w:val="20"/>
          <w:szCs w:val="20"/>
          <w:lang w:eastAsia="es-ES"/>
        </w:rPr>
        <w:t xml:space="preserve"> ne </w:t>
      </w:r>
      <w:r w:rsidRPr="00CC46EA">
        <w:rPr>
          <w:rFonts w:asciiTheme="majorHAnsi" w:hAnsiTheme="majorHAnsi"/>
          <w:noProof/>
          <w:snapToGrid w:val="0"/>
          <w:sz w:val="20"/>
          <w:szCs w:val="20"/>
          <w:lang w:eastAsia="es-ES"/>
        </w:rPr>
        <w:t xml:space="preserve">devra pas </w:t>
      </w:r>
      <w:r w:rsidR="000B14A0" w:rsidRPr="00CC46EA">
        <w:rPr>
          <w:rFonts w:asciiTheme="majorHAnsi" w:hAnsiTheme="majorHAnsi"/>
          <w:noProof/>
          <w:snapToGrid w:val="0"/>
          <w:sz w:val="20"/>
          <w:szCs w:val="20"/>
          <w:lang w:eastAsia="es-ES"/>
        </w:rPr>
        <w:t>s'applique</w:t>
      </w:r>
      <w:r w:rsidRPr="00CC46EA">
        <w:rPr>
          <w:rFonts w:asciiTheme="majorHAnsi" w:hAnsiTheme="majorHAnsi"/>
          <w:noProof/>
          <w:snapToGrid w:val="0"/>
          <w:sz w:val="20"/>
          <w:szCs w:val="20"/>
          <w:lang w:eastAsia="es-ES"/>
        </w:rPr>
        <w:t>r</w:t>
      </w:r>
      <w:r w:rsidR="000B14A0" w:rsidRPr="00CC46EA">
        <w:rPr>
          <w:rFonts w:asciiTheme="majorHAnsi" w:hAnsiTheme="majorHAnsi"/>
          <w:noProof/>
          <w:snapToGrid w:val="0"/>
          <w:sz w:val="20"/>
          <w:szCs w:val="20"/>
          <w:lang w:eastAsia="es-ES"/>
        </w:rPr>
        <w:t> :</w:t>
      </w:r>
    </w:p>
    <w:p w14:paraId="3E806278"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5E4E63BE" w14:textId="69DCF4BE"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a)</w:t>
      </w:r>
      <w:r w:rsidRPr="00CC46EA">
        <w:rPr>
          <w:rFonts w:asciiTheme="majorHAnsi" w:hAnsiTheme="majorHAnsi"/>
          <w:noProof/>
          <w:snapToGrid w:val="0"/>
          <w:sz w:val="20"/>
          <w:szCs w:val="20"/>
          <w:lang w:eastAsia="es-ES"/>
        </w:rPr>
        <w:tab/>
        <w:t>aux LSFV ne pouvant pas obtenir de numéro OMI/LR, pour autant que la CPC de pavillon fournisse une explication de son incapacité à obtenir un numéro OMI/LR dans sa communication d'informations conformément au paragraphe 2.</w:t>
      </w:r>
    </w:p>
    <w:p w14:paraId="00555B2D" w14:textId="77777777"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b)</w:t>
      </w:r>
      <w:r w:rsidRPr="00CC46EA">
        <w:rPr>
          <w:rFonts w:asciiTheme="majorHAnsi" w:hAnsiTheme="majorHAnsi"/>
          <w:noProof/>
          <w:snapToGrid w:val="0"/>
          <w:sz w:val="20"/>
          <w:szCs w:val="20"/>
          <w:lang w:eastAsia="es-ES"/>
        </w:rPr>
        <w:tab/>
        <w:t>aux LSFV en bois qui ne sont pas autorisés à pêcher en haute mer, pour autant que la CPC de pavillon communique au Secrétariat les LSFV auxquels elle applique cette exception dans la communication d’informations conformément au paragraphe 2.</w:t>
      </w:r>
    </w:p>
    <w:p w14:paraId="55C27A7F" w14:textId="77777777" w:rsidR="00915428" w:rsidRDefault="00915428" w:rsidP="00CC46EA">
      <w:pPr>
        <w:tabs>
          <w:tab w:val="left" w:pos="440"/>
          <w:tab w:val="left" w:pos="660"/>
          <w:tab w:val="left" w:pos="990"/>
        </w:tabs>
        <w:autoSpaceDE w:val="0"/>
        <w:autoSpaceDN w:val="0"/>
        <w:adjustRightInd w:val="0"/>
        <w:ind w:left="435" w:hanging="435"/>
        <w:jc w:val="both"/>
        <w:rPr>
          <w:rFonts w:asciiTheme="majorHAnsi" w:hAnsiTheme="majorHAnsi"/>
          <w:snapToGrid w:val="0"/>
          <w:sz w:val="20"/>
          <w:szCs w:val="20"/>
          <w:lang w:eastAsia="es-ES"/>
        </w:rPr>
      </w:pPr>
    </w:p>
    <w:p w14:paraId="65977715" w14:textId="01A46FC8" w:rsidR="000B14A0" w:rsidRPr="00CC46EA" w:rsidRDefault="002578FB" w:rsidP="009348A3">
      <w:pPr>
        <w:tabs>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snapToGrid w:val="0"/>
          <w:sz w:val="20"/>
          <w:szCs w:val="20"/>
          <w:lang w:eastAsia="es-ES"/>
        </w:rPr>
        <w:t>8</w:t>
      </w:r>
      <w:r w:rsidR="000B14A0" w:rsidRPr="00CC46EA">
        <w:rPr>
          <w:rFonts w:asciiTheme="majorHAnsi" w:hAnsiTheme="majorHAnsi"/>
          <w:noProof/>
          <w:snapToGrid w:val="0"/>
          <w:sz w:val="20"/>
          <w:szCs w:val="20"/>
          <w:lang w:eastAsia="es-ES"/>
        </w:rPr>
        <w:t>.</w:t>
      </w:r>
      <w:r w:rsidR="000B14A0" w:rsidRPr="00CC46EA">
        <w:rPr>
          <w:rFonts w:asciiTheme="majorHAnsi" w:hAnsiTheme="majorHAnsi"/>
          <w:noProof/>
          <w:snapToGrid w:val="0"/>
          <w:sz w:val="20"/>
          <w:szCs w:val="20"/>
          <w:lang w:eastAsia="es-ES"/>
        </w:rPr>
        <w:tab/>
        <w:t xml:space="preserve">Les CPC devront examiner leurs propres actions et mesures internes prises en vertu du </w:t>
      </w:r>
      <w:r w:rsidR="00664E08" w:rsidRPr="00CC46EA">
        <w:rPr>
          <w:rFonts w:asciiTheme="majorHAnsi" w:hAnsiTheme="majorHAnsi"/>
          <w:noProof/>
          <w:snapToGrid w:val="0"/>
          <w:sz w:val="20"/>
          <w:szCs w:val="20"/>
          <w:lang w:eastAsia="es-ES"/>
        </w:rPr>
        <w:t>p</w:t>
      </w:r>
      <w:r w:rsidR="000B14A0" w:rsidRPr="00CC46EA">
        <w:rPr>
          <w:rFonts w:asciiTheme="majorHAnsi" w:hAnsiTheme="majorHAnsi"/>
          <w:noProof/>
          <w:snapToGrid w:val="0"/>
          <w:sz w:val="20"/>
          <w:szCs w:val="20"/>
          <w:lang w:eastAsia="es-ES"/>
        </w:rPr>
        <w:t>aragraphe</w:t>
      </w:r>
      <w:r w:rsidR="00664E08" w:rsidRPr="00CC46EA">
        <w:rPr>
          <w:rFonts w:asciiTheme="majorHAnsi" w:hAnsiTheme="majorHAnsi"/>
          <w:noProof/>
          <w:snapToGrid w:val="0"/>
          <w:sz w:val="20"/>
          <w:szCs w:val="20"/>
          <w:lang w:eastAsia="es-ES"/>
        </w:rPr>
        <w:t> </w:t>
      </w:r>
      <w:r w:rsidR="000B14A0" w:rsidRPr="00CC46EA">
        <w:rPr>
          <w:rFonts w:asciiTheme="majorHAnsi" w:hAnsiTheme="majorHAnsi"/>
          <w:noProof/>
          <w:snapToGrid w:val="0"/>
          <w:sz w:val="20"/>
          <w:szCs w:val="20"/>
          <w:lang w:eastAsia="es-ES"/>
        </w:rPr>
        <w:t xml:space="preserve">5, y compris les mesures punitives et de sanction, et conformément à la législation nationale relative à la diffusion, présenter les résultats pertinents de cet examen à la Commission lors de sa réunion annuelle. Après considération des rapports des CPC sur les résultats pertinents de ces examens, la Commission devra, le cas échéant, demander aux CPC de pavillon des LSFV figurant sur le registre de l’ICCAT de prendre d’autres mesures en vue d’améliorer l’application, de la part de ces </w:t>
      </w:r>
      <w:r w:rsidR="00D267B6">
        <w:rPr>
          <w:rFonts w:asciiTheme="majorHAnsi" w:hAnsiTheme="majorHAnsi"/>
          <w:noProof/>
          <w:snapToGrid w:val="0"/>
          <w:sz w:val="20"/>
          <w:szCs w:val="20"/>
          <w:lang w:eastAsia="es-ES"/>
        </w:rPr>
        <w:t>navires</w:t>
      </w:r>
      <w:r w:rsidR="000B14A0" w:rsidRPr="00CC46EA">
        <w:rPr>
          <w:rFonts w:asciiTheme="majorHAnsi" w:hAnsiTheme="majorHAnsi"/>
          <w:noProof/>
          <w:snapToGrid w:val="0"/>
          <w:sz w:val="20"/>
          <w:szCs w:val="20"/>
          <w:lang w:eastAsia="es-ES"/>
        </w:rPr>
        <w:t>, des mesures de conservation et de gestion de l’ICCAT.</w:t>
      </w:r>
    </w:p>
    <w:p w14:paraId="7EC04122" w14:textId="7777777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p>
    <w:p w14:paraId="16C5DF06" w14:textId="77777777" w:rsidR="009348A3" w:rsidRDefault="002578FB" w:rsidP="009348A3">
      <w:pPr>
        <w:autoSpaceDE w:val="0"/>
        <w:autoSpaceDN w:val="0"/>
        <w:adjustRightInd w:val="0"/>
        <w:ind w:left="851" w:hanging="851"/>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9</w:t>
      </w:r>
      <w:r w:rsidR="000B14A0" w:rsidRPr="00CC46EA">
        <w:rPr>
          <w:rFonts w:asciiTheme="majorHAnsi" w:hAnsiTheme="majorHAnsi"/>
          <w:noProof/>
          <w:snapToGrid w:val="0"/>
          <w:sz w:val="20"/>
          <w:szCs w:val="20"/>
          <w:lang w:eastAsia="es-ES"/>
        </w:rPr>
        <w:t xml:space="preserve">. </w:t>
      </w:r>
      <w:r w:rsidR="00266EBA" w:rsidRPr="00CC46EA">
        <w:rPr>
          <w:rFonts w:asciiTheme="majorHAnsi" w:hAnsiTheme="majorHAnsi"/>
          <w:noProof/>
          <w:snapToGrid w:val="0"/>
          <w:sz w:val="20"/>
          <w:szCs w:val="20"/>
          <w:lang w:eastAsia="es-ES"/>
        </w:rPr>
        <w:tab/>
      </w:r>
    </w:p>
    <w:p w14:paraId="1617C49C" w14:textId="5F4C8CE4"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a)</w:t>
      </w:r>
      <w:r w:rsidRPr="00CC46EA">
        <w:rPr>
          <w:rFonts w:asciiTheme="majorHAnsi" w:hAnsiTheme="majorHAnsi"/>
          <w:noProof/>
          <w:snapToGrid w:val="0"/>
          <w:sz w:val="20"/>
          <w:szCs w:val="20"/>
          <w:lang w:eastAsia="es-ES"/>
        </w:rPr>
        <w:tab/>
        <w:t xml:space="preserve">Les CPC devront prendre les mesures, dans le cadre de leur législation applicable, afin d’interdire la pêche, la rétention à bord, le transbordement et le débarquement de thonidés et d’espèces apparentées </w:t>
      </w:r>
      <w:r w:rsidR="002578FB" w:rsidRPr="00CC46EA">
        <w:rPr>
          <w:rFonts w:asciiTheme="majorHAnsi" w:hAnsiTheme="majorHAnsi"/>
          <w:noProof/>
          <w:snapToGrid w:val="0"/>
          <w:sz w:val="20"/>
          <w:szCs w:val="20"/>
          <w:lang w:eastAsia="es-ES"/>
        </w:rPr>
        <w:t xml:space="preserve">et d’espèces capturées en association avec ces espèces </w:t>
      </w:r>
      <w:r w:rsidRPr="00CC46EA">
        <w:rPr>
          <w:rFonts w:asciiTheme="majorHAnsi" w:hAnsiTheme="majorHAnsi"/>
          <w:noProof/>
          <w:snapToGrid w:val="0"/>
          <w:sz w:val="20"/>
          <w:szCs w:val="20"/>
          <w:lang w:eastAsia="es-ES"/>
        </w:rPr>
        <w:t>par les LSFV ne figurant pas sur le registre de l’ICCAT.</w:t>
      </w:r>
    </w:p>
    <w:p w14:paraId="211ECD6D" w14:textId="77777777" w:rsidR="00915428" w:rsidRDefault="00915428" w:rsidP="00CC46EA">
      <w:pPr>
        <w:tabs>
          <w:tab w:val="left" w:pos="340"/>
        </w:tabs>
        <w:ind w:left="1077" w:hanging="357"/>
        <w:jc w:val="both"/>
        <w:rPr>
          <w:rFonts w:asciiTheme="majorHAnsi" w:hAnsiTheme="majorHAnsi"/>
          <w:noProof/>
          <w:snapToGrid w:val="0"/>
          <w:sz w:val="20"/>
          <w:szCs w:val="20"/>
          <w:lang w:eastAsia="es-ES"/>
        </w:rPr>
      </w:pPr>
    </w:p>
    <w:p w14:paraId="28DE4CDF" w14:textId="20E2352D"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b)</w:t>
      </w:r>
      <w:r w:rsidRPr="00CC46EA">
        <w:rPr>
          <w:rFonts w:asciiTheme="majorHAnsi" w:hAnsiTheme="majorHAnsi"/>
          <w:noProof/>
          <w:snapToGrid w:val="0"/>
          <w:sz w:val="20"/>
          <w:szCs w:val="20"/>
          <w:lang w:eastAsia="es-ES"/>
        </w:rPr>
        <w:tab/>
        <w:t>Pour assurer l’efficacité des mesures de conservation et de gestion de l’ICCAT concernant les espèces relevant des Programmes de documents statistiques :</w:t>
      </w:r>
    </w:p>
    <w:p w14:paraId="7337C354"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3D4D4FD2" w14:textId="50FFC855" w:rsidR="000B14A0" w:rsidRPr="00CC46EA" w:rsidRDefault="000B14A0" w:rsidP="009348A3">
      <w:pPr>
        <w:ind w:left="1276"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i)</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Les CPC de pavillon, ou si le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xml:space="preserve"> fait l’objet d’un accord d’affrètement, les CPC exportatrices, devront valider les documents statistiques uniquement pour les LSFV figurant sur le registre de l’ICCAT,</w:t>
      </w:r>
    </w:p>
    <w:p w14:paraId="59FC111E" w14:textId="653452FE" w:rsidR="000B14A0" w:rsidRPr="00CC46EA" w:rsidRDefault="000B14A0" w:rsidP="009348A3">
      <w:pPr>
        <w:ind w:left="1276"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ii)</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Les CPC devront exiger que les espèces relevant des Programmes de documents statistiques capturées par des LSFV dans la zone de la Convention soient accompagnées, lors de leur importation sur le territoire d’une Partie contractante, par des documents statistiques validés pour ces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figurant sur le registre de l’ICCAT, et</w:t>
      </w:r>
    </w:p>
    <w:p w14:paraId="36297FF8" w14:textId="72723141" w:rsidR="000B14A0" w:rsidRPr="00CC46EA" w:rsidRDefault="000B14A0" w:rsidP="009348A3">
      <w:pPr>
        <w:ind w:left="1276" w:hanging="425"/>
        <w:jc w:val="both"/>
        <w:rPr>
          <w:rFonts w:asciiTheme="majorHAnsi" w:hAnsiTheme="majorHAnsi"/>
          <w:snapToGrid w:val="0"/>
          <w:sz w:val="20"/>
          <w:szCs w:val="20"/>
          <w:lang w:eastAsia="es-ES"/>
        </w:rPr>
      </w:pPr>
      <w:r w:rsidRPr="00CC46EA">
        <w:rPr>
          <w:rFonts w:asciiTheme="majorHAnsi" w:hAnsiTheme="majorHAnsi"/>
          <w:noProof/>
          <w:snapToGrid w:val="0"/>
          <w:sz w:val="20"/>
          <w:szCs w:val="20"/>
          <w:lang w:eastAsia="es-ES"/>
        </w:rPr>
        <w:t>iii)</w:t>
      </w:r>
      <w:r w:rsidRPr="00CC46EA">
        <w:rPr>
          <w:rFonts w:asciiTheme="majorHAnsi" w:hAnsiTheme="majorHAnsi"/>
          <w:snapToGrid w:val="0"/>
          <w:sz w:val="20"/>
          <w:szCs w:val="20"/>
          <w:lang w:eastAsia="es-ES"/>
        </w:rPr>
        <w:tab/>
      </w:r>
      <w:r w:rsidRPr="00CC46EA">
        <w:rPr>
          <w:rFonts w:asciiTheme="majorHAnsi" w:hAnsiTheme="majorHAnsi"/>
          <w:noProof/>
          <w:snapToGrid w:val="0"/>
          <w:sz w:val="20"/>
          <w:szCs w:val="20"/>
          <w:lang w:eastAsia="es-ES"/>
        </w:rPr>
        <w:t xml:space="preserve">Les CPC important des espèces relevant des Programmes de documents statistiques devront coopérer avec les États de pavillon des </w:t>
      </w:r>
      <w:r w:rsidR="00D267B6">
        <w:rPr>
          <w:rFonts w:asciiTheme="majorHAnsi" w:hAnsiTheme="majorHAnsi"/>
          <w:noProof/>
          <w:snapToGrid w:val="0"/>
          <w:sz w:val="20"/>
          <w:szCs w:val="20"/>
          <w:lang w:eastAsia="es-ES"/>
        </w:rPr>
        <w:t>navires</w:t>
      </w:r>
      <w:r w:rsidRPr="00CC46EA">
        <w:rPr>
          <w:rFonts w:asciiTheme="majorHAnsi" w:hAnsiTheme="majorHAnsi"/>
          <w:noProof/>
          <w:snapToGrid w:val="0"/>
          <w:sz w:val="20"/>
          <w:szCs w:val="20"/>
          <w:lang w:eastAsia="es-ES"/>
        </w:rPr>
        <w:t xml:space="preserve"> à l’effet de garantir que les documents statistiques ne sont pas falsifiés ou ne contiennent pas de fausses informations.</w:t>
      </w:r>
    </w:p>
    <w:p w14:paraId="711F1F4A" w14:textId="77777777" w:rsidR="000B14A0" w:rsidRPr="00CC46EA" w:rsidRDefault="000B14A0" w:rsidP="00CC46EA">
      <w:pPr>
        <w:tabs>
          <w:tab w:val="left" w:pos="340"/>
        </w:tabs>
        <w:ind w:left="360" w:hanging="360"/>
        <w:jc w:val="both"/>
        <w:rPr>
          <w:rFonts w:asciiTheme="majorHAnsi" w:hAnsiTheme="majorHAnsi"/>
          <w:snapToGrid w:val="0"/>
          <w:sz w:val="20"/>
          <w:szCs w:val="20"/>
          <w:lang w:eastAsia="es-ES"/>
        </w:rPr>
      </w:pPr>
    </w:p>
    <w:p w14:paraId="52003DB0" w14:textId="4293A36F" w:rsidR="000B14A0" w:rsidRPr="00CC46EA" w:rsidRDefault="00BB0A56"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10</w:t>
      </w:r>
      <w:r w:rsidR="000B14A0" w:rsidRPr="00CC46EA">
        <w:rPr>
          <w:rFonts w:asciiTheme="majorHAnsi" w:hAnsiTheme="majorHAnsi"/>
          <w:noProof/>
          <w:snapToGrid w:val="0"/>
          <w:sz w:val="20"/>
          <w:szCs w:val="20"/>
          <w:lang w:eastAsia="es-ES"/>
        </w:rPr>
        <w:t>.</w:t>
      </w:r>
      <w:r w:rsidR="000B14A0" w:rsidRPr="00CC46EA">
        <w:rPr>
          <w:rFonts w:asciiTheme="majorHAnsi" w:hAnsiTheme="majorHAnsi"/>
          <w:noProof/>
          <w:snapToGrid w:val="0"/>
          <w:sz w:val="20"/>
          <w:szCs w:val="20"/>
          <w:lang w:eastAsia="es-ES"/>
        </w:rPr>
        <w:tab/>
        <w:t>Chaque CPC devra notifier au Secrétaire exécutif de l’ICCAT toute information factuelle montrant qu’il existe de</w:t>
      </w:r>
      <w:r w:rsidR="00664E08" w:rsidRPr="00CC46EA">
        <w:rPr>
          <w:rFonts w:asciiTheme="majorHAnsi" w:hAnsiTheme="majorHAnsi"/>
          <w:noProof/>
          <w:snapToGrid w:val="0"/>
          <w:sz w:val="20"/>
          <w:szCs w:val="20"/>
          <w:lang w:eastAsia="es-ES"/>
        </w:rPr>
        <w:t>s motifs raisonnables</w:t>
      </w:r>
      <w:r w:rsidR="000B14A0" w:rsidRPr="00CC46EA">
        <w:rPr>
          <w:rFonts w:asciiTheme="majorHAnsi" w:hAnsiTheme="majorHAnsi"/>
          <w:noProof/>
          <w:snapToGrid w:val="0"/>
          <w:sz w:val="20"/>
          <w:szCs w:val="20"/>
          <w:lang w:eastAsia="es-ES"/>
        </w:rPr>
        <w:t xml:space="preserve"> de soupçonner que des LSFV ne figurant pas sur le registre de l’ICCAT s’adonnent à la pêche et/ou au transbordement de thonidés et d’espèces apparentées </w:t>
      </w:r>
      <w:r w:rsidRPr="00CC46EA">
        <w:rPr>
          <w:rFonts w:asciiTheme="majorHAnsi" w:hAnsiTheme="majorHAnsi"/>
          <w:noProof/>
          <w:snapToGrid w:val="0"/>
          <w:sz w:val="20"/>
          <w:szCs w:val="20"/>
          <w:lang w:eastAsia="es-ES"/>
        </w:rPr>
        <w:t xml:space="preserve">et d’espèces capturées en association avec ces espèces </w:t>
      </w:r>
      <w:r w:rsidR="000B14A0" w:rsidRPr="00CC46EA">
        <w:rPr>
          <w:rFonts w:asciiTheme="majorHAnsi" w:hAnsiTheme="majorHAnsi"/>
          <w:noProof/>
          <w:snapToGrid w:val="0"/>
          <w:sz w:val="20"/>
          <w:szCs w:val="20"/>
          <w:lang w:eastAsia="es-ES"/>
        </w:rPr>
        <w:t>dans la zone de la Convention.</w:t>
      </w:r>
    </w:p>
    <w:p w14:paraId="40485BEB" w14:textId="7777777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p>
    <w:p w14:paraId="4817CEE9" w14:textId="77777777" w:rsidR="009348A3" w:rsidRDefault="00BB0A56" w:rsidP="00CC46EA">
      <w:pPr>
        <w:tabs>
          <w:tab w:val="left" w:pos="709"/>
        </w:tabs>
        <w:autoSpaceDE w:val="0"/>
        <w:autoSpaceDN w:val="0"/>
        <w:adjustRightInd w:val="0"/>
        <w:ind w:left="993" w:hanging="993"/>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11</w:t>
      </w:r>
      <w:r w:rsidR="000B14A0" w:rsidRPr="00CC46EA">
        <w:rPr>
          <w:rFonts w:asciiTheme="majorHAnsi" w:hAnsiTheme="majorHAnsi"/>
          <w:noProof/>
          <w:snapToGrid w:val="0"/>
          <w:sz w:val="20"/>
          <w:szCs w:val="20"/>
          <w:lang w:eastAsia="es-ES"/>
        </w:rPr>
        <w:t>.</w:t>
      </w:r>
      <w:r w:rsidR="000B14A0" w:rsidRPr="00CC46EA">
        <w:rPr>
          <w:rFonts w:asciiTheme="majorHAnsi" w:hAnsiTheme="majorHAnsi"/>
          <w:noProof/>
          <w:snapToGrid w:val="0"/>
          <w:sz w:val="20"/>
          <w:szCs w:val="20"/>
          <w:lang w:eastAsia="es-ES"/>
        </w:rPr>
        <w:tab/>
      </w:r>
    </w:p>
    <w:p w14:paraId="1CB77155" w14:textId="762D6F68"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a)</w:t>
      </w:r>
      <w:r w:rsidRPr="00CC46EA">
        <w:rPr>
          <w:rFonts w:asciiTheme="majorHAnsi" w:hAnsiTheme="majorHAnsi"/>
          <w:noProof/>
          <w:snapToGrid w:val="0"/>
          <w:sz w:val="20"/>
          <w:szCs w:val="20"/>
          <w:lang w:eastAsia="es-ES"/>
        </w:rPr>
        <w:tab/>
        <w:t xml:space="preserve">Si un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xml:space="preserve"> visé au </w:t>
      </w:r>
      <w:r w:rsidR="00BB0A56" w:rsidRPr="00CC46EA">
        <w:rPr>
          <w:rFonts w:asciiTheme="majorHAnsi" w:hAnsiTheme="majorHAnsi"/>
          <w:noProof/>
          <w:snapToGrid w:val="0"/>
          <w:sz w:val="20"/>
          <w:szCs w:val="20"/>
          <w:lang w:eastAsia="es-ES"/>
        </w:rPr>
        <w:t>p</w:t>
      </w:r>
      <w:r w:rsidRPr="00CC46EA">
        <w:rPr>
          <w:rFonts w:asciiTheme="majorHAnsi" w:hAnsiTheme="majorHAnsi"/>
          <w:noProof/>
          <w:snapToGrid w:val="0"/>
          <w:sz w:val="20"/>
          <w:szCs w:val="20"/>
          <w:lang w:eastAsia="es-ES"/>
        </w:rPr>
        <w:t xml:space="preserve">aragraphe </w:t>
      </w:r>
      <w:r w:rsidR="00BB0A56" w:rsidRPr="00CC46EA">
        <w:rPr>
          <w:rFonts w:asciiTheme="majorHAnsi" w:hAnsiTheme="majorHAnsi"/>
          <w:noProof/>
          <w:snapToGrid w:val="0"/>
          <w:sz w:val="20"/>
          <w:szCs w:val="20"/>
          <w:lang w:eastAsia="es-ES"/>
        </w:rPr>
        <w:t>10</w:t>
      </w:r>
      <w:r w:rsidRPr="00CC46EA">
        <w:rPr>
          <w:rFonts w:asciiTheme="majorHAnsi" w:hAnsiTheme="majorHAnsi"/>
          <w:noProof/>
          <w:snapToGrid w:val="0"/>
          <w:sz w:val="20"/>
          <w:szCs w:val="20"/>
          <w:lang w:eastAsia="es-ES"/>
        </w:rPr>
        <w:t xml:space="preserve"> arbore le pavillon d’une CPC, le Secrétaire exécutif devra demander à cette CPC de prendre les mesures nécessaires afin d’empêcher le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xml:space="preserve"> de capturer des thonidés ou des espèces apparentées dans la zone de la Convention.</w:t>
      </w:r>
    </w:p>
    <w:p w14:paraId="44839B8D" w14:textId="724F6668" w:rsidR="000B14A0" w:rsidRPr="00CC46EA" w:rsidRDefault="000B14A0" w:rsidP="009348A3">
      <w:pPr>
        <w:ind w:left="851" w:hanging="42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b)</w:t>
      </w:r>
      <w:r w:rsidRPr="00CC46EA">
        <w:rPr>
          <w:rFonts w:asciiTheme="majorHAnsi" w:hAnsiTheme="majorHAnsi"/>
          <w:noProof/>
          <w:snapToGrid w:val="0"/>
          <w:sz w:val="20"/>
          <w:szCs w:val="20"/>
          <w:lang w:eastAsia="es-ES"/>
        </w:rPr>
        <w:tab/>
        <w:t xml:space="preserve">Si le pavillon d’un </w:t>
      </w:r>
      <w:r w:rsidR="00D267B6">
        <w:rPr>
          <w:rFonts w:asciiTheme="majorHAnsi" w:hAnsiTheme="majorHAnsi"/>
          <w:noProof/>
          <w:snapToGrid w:val="0"/>
          <w:sz w:val="20"/>
          <w:szCs w:val="20"/>
          <w:lang w:eastAsia="es-ES"/>
        </w:rPr>
        <w:t>navire</w:t>
      </w:r>
      <w:r w:rsidRPr="00CC46EA">
        <w:rPr>
          <w:rFonts w:asciiTheme="majorHAnsi" w:hAnsiTheme="majorHAnsi"/>
          <w:noProof/>
          <w:snapToGrid w:val="0"/>
          <w:sz w:val="20"/>
          <w:szCs w:val="20"/>
          <w:lang w:eastAsia="es-ES"/>
        </w:rPr>
        <w:t xml:space="preserve"> visé au </w:t>
      </w:r>
      <w:r w:rsidR="00BB0A56" w:rsidRPr="00CC46EA">
        <w:rPr>
          <w:rFonts w:asciiTheme="majorHAnsi" w:hAnsiTheme="majorHAnsi"/>
          <w:noProof/>
          <w:snapToGrid w:val="0"/>
          <w:sz w:val="20"/>
          <w:szCs w:val="20"/>
          <w:lang w:eastAsia="es-ES"/>
        </w:rPr>
        <w:t>p</w:t>
      </w:r>
      <w:r w:rsidRPr="00CC46EA">
        <w:rPr>
          <w:rFonts w:asciiTheme="majorHAnsi" w:hAnsiTheme="majorHAnsi"/>
          <w:noProof/>
          <w:snapToGrid w:val="0"/>
          <w:sz w:val="20"/>
          <w:szCs w:val="20"/>
          <w:lang w:eastAsia="es-ES"/>
        </w:rPr>
        <w:t xml:space="preserve">aragraphe </w:t>
      </w:r>
      <w:r w:rsidR="00BB0A56" w:rsidRPr="00CC46EA">
        <w:rPr>
          <w:rFonts w:asciiTheme="majorHAnsi" w:hAnsiTheme="majorHAnsi"/>
          <w:noProof/>
          <w:snapToGrid w:val="0"/>
          <w:sz w:val="20"/>
          <w:szCs w:val="20"/>
          <w:lang w:eastAsia="es-ES"/>
        </w:rPr>
        <w:t>10</w:t>
      </w:r>
      <w:r w:rsidRPr="00CC46EA">
        <w:rPr>
          <w:rFonts w:asciiTheme="majorHAnsi" w:hAnsiTheme="majorHAnsi"/>
          <w:noProof/>
          <w:snapToGrid w:val="0"/>
          <w:sz w:val="20"/>
          <w:szCs w:val="20"/>
          <w:lang w:eastAsia="es-ES"/>
        </w:rPr>
        <w:t xml:space="preserve"> ne peut pas être déterminé ou est celui d’une Partie non</w:t>
      </w:r>
      <w:r w:rsidR="00326E41">
        <w:rPr>
          <w:rFonts w:asciiTheme="majorHAnsi" w:hAnsiTheme="majorHAnsi"/>
          <w:noProof/>
          <w:snapToGrid w:val="0"/>
          <w:sz w:val="20"/>
          <w:szCs w:val="20"/>
          <w:lang w:eastAsia="es-ES"/>
        </w:rPr>
        <w:t xml:space="preserve"> </w:t>
      </w:r>
      <w:r w:rsidRPr="00CC46EA">
        <w:rPr>
          <w:rFonts w:asciiTheme="majorHAnsi" w:hAnsiTheme="majorHAnsi"/>
          <w:noProof/>
          <w:snapToGrid w:val="0"/>
          <w:sz w:val="20"/>
          <w:szCs w:val="20"/>
          <w:lang w:eastAsia="es-ES"/>
        </w:rPr>
        <w:t>contractante sans statut de coopérant, le Secrétaire exécutif devra compiler ces informations pour examen futur par la Commission.</w:t>
      </w:r>
    </w:p>
    <w:p w14:paraId="07F3499E" w14:textId="7777777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p>
    <w:p w14:paraId="58BE744C" w14:textId="77777777" w:rsidR="009348A3" w:rsidRDefault="009348A3">
      <w:pPr>
        <w:rPr>
          <w:rFonts w:asciiTheme="majorHAnsi" w:hAnsiTheme="majorHAnsi"/>
          <w:noProof/>
          <w:snapToGrid w:val="0"/>
          <w:sz w:val="20"/>
          <w:szCs w:val="20"/>
          <w:lang w:eastAsia="es-ES"/>
        </w:rPr>
      </w:pPr>
      <w:r>
        <w:rPr>
          <w:rFonts w:asciiTheme="majorHAnsi" w:hAnsiTheme="majorHAnsi"/>
          <w:noProof/>
          <w:snapToGrid w:val="0"/>
          <w:sz w:val="20"/>
          <w:szCs w:val="20"/>
          <w:lang w:eastAsia="es-ES"/>
        </w:rPr>
        <w:br w:type="page"/>
      </w:r>
    </w:p>
    <w:p w14:paraId="1B5BDA43" w14:textId="36E70BDA"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lastRenderedPageBreak/>
        <w:t>1</w:t>
      </w:r>
      <w:r w:rsidR="00BB0A56" w:rsidRPr="00CC46EA">
        <w:rPr>
          <w:rFonts w:asciiTheme="majorHAnsi" w:hAnsiTheme="majorHAnsi"/>
          <w:noProof/>
          <w:snapToGrid w:val="0"/>
          <w:sz w:val="20"/>
          <w:szCs w:val="20"/>
          <w:lang w:eastAsia="es-ES"/>
        </w:rPr>
        <w:t>2</w:t>
      </w:r>
      <w:r w:rsidRPr="00CC46EA">
        <w:rPr>
          <w:rFonts w:asciiTheme="majorHAnsi" w:hAnsiTheme="majorHAnsi"/>
          <w:noProof/>
          <w:snapToGrid w:val="0"/>
          <w:sz w:val="20"/>
          <w:szCs w:val="20"/>
          <w:lang w:eastAsia="es-ES"/>
        </w:rPr>
        <w:t>.</w:t>
      </w:r>
      <w:r w:rsidRPr="00CC46EA">
        <w:rPr>
          <w:rFonts w:asciiTheme="majorHAnsi" w:hAnsiTheme="majorHAnsi"/>
          <w:noProof/>
          <w:snapToGrid w:val="0"/>
          <w:sz w:val="20"/>
          <w:szCs w:val="20"/>
          <w:lang w:eastAsia="es-ES"/>
        </w:rPr>
        <w:tab/>
        <w:t xml:space="preserve">La Commission et les CPC concernées devront communiquer </w:t>
      </w:r>
      <w:r w:rsidR="00266EBA" w:rsidRPr="00CC46EA">
        <w:rPr>
          <w:rFonts w:asciiTheme="majorHAnsi" w:hAnsiTheme="majorHAnsi"/>
          <w:noProof/>
          <w:snapToGrid w:val="0"/>
          <w:sz w:val="20"/>
          <w:szCs w:val="20"/>
          <w:lang w:eastAsia="es-ES"/>
        </w:rPr>
        <w:t xml:space="preserve">entre elles </w:t>
      </w:r>
      <w:r w:rsidRPr="00CC46EA">
        <w:rPr>
          <w:rFonts w:asciiTheme="majorHAnsi" w:hAnsiTheme="majorHAnsi"/>
          <w:noProof/>
          <w:snapToGrid w:val="0"/>
          <w:sz w:val="20"/>
          <w:szCs w:val="20"/>
          <w:lang w:eastAsia="es-ES"/>
        </w:rPr>
        <w:t xml:space="preserve">et déployer tous les efforts possibles, conjointement avec la FAO et d’autres organismes </w:t>
      </w:r>
      <w:r w:rsidR="00266EBA" w:rsidRPr="00CC46EA">
        <w:rPr>
          <w:rFonts w:asciiTheme="majorHAnsi" w:hAnsiTheme="majorHAnsi"/>
          <w:noProof/>
          <w:snapToGrid w:val="0"/>
          <w:sz w:val="20"/>
          <w:szCs w:val="20"/>
          <w:lang w:eastAsia="es-ES"/>
        </w:rPr>
        <w:t xml:space="preserve">régionaux </w:t>
      </w:r>
      <w:r w:rsidRPr="00CC46EA">
        <w:rPr>
          <w:rFonts w:asciiTheme="majorHAnsi" w:hAnsiTheme="majorHAnsi"/>
          <w:noProof/>
          <w:snapToGrid w:val="0"/>
          <w:sz w:val="20"/>
          <w:szCs w:val="20"/>
          <w:lang w:eastAsia="es-ES"/>
        </w:rPr>
        <w:t>de gestion des pêches, afin de développer et de mettre en œuvre les mesures appropriées, si les circonstances le permettent, y compris l’établissement de registres de nature similaire, en temps opportun, afin d’éviter toute répercussion néfaste sur les ressources thonières dans d’autres océans. Au nombre de ces répercussions néfastes, on peut citer l’intensité excessive de la pêche causée par un déplacement des LSFV-IUU de l’Atlantique vers d’autres océans.</w:t>
      </w:r>
    </w:p>
    <w:p w14:paraId="2DD10818" w14:textId="7777777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p>
    <w:p w14:paraId="1875B462" w14:textId="2E8897F7" w:rsidR="000B14A0" w:rsidRPr="00CC46EA" w:rsidRDefault="000B14A0" w:rsidP="00CC46EA">
      <w:pPr>
        <w:tabs>
          <w:tab w:val="left" w:pos="440"/>
          <w:tab w:val="left" w:pos="660"/>
          <w:tab w:val="left" w:pos="990"/>
        </w:tabs>
        <w:autoSpaceDE w:val="0"/>
        <w:autoSpaceDN w:val="0"/>
        <w:adjustRightInd w:val="0"/>
        <w:ind w:left="435" w:hanging="435"/>
        <w:jc w:val="both"/>
        <w:rPr>
          <w:rFonts w:asciiTheme="majorHAnsi" w:hAnsiTheme="majorHAnsi"/>
          <w:noProof/>
          <w:snapToGrid w:val="0"/>
          <w:sz w:val="20"/>
          <w:szCs w:val="20"/>
          <w:lang w:eastAsia="es-ES"/>
        </w:rPr>
      </w:pPr>
      <w:r w:rsidRPr="00CC46EA">
        <w:rPr>
          <w:rFonts w:asciiTheme="majorHAnsi" w:hAnsiTheme="majorHAnsi"/>
          <w:noProof/>
          <w:snapToGrid w:val="0"/>
          <w:sz w:val="20"/>
          <w:szCs w:val="20"/>
          <w:lang w:eastAsia="es-ES"/>
        </w:rPr>
        <w:t>1</w:t>
      </w:r>
      <w:r w:rsidR="00BB0A56" w:rsidRPr="00CC46EA">
        <w:rPr>
          <w:rFonts w:asciiTheme="majorHAnsi" w:hAnsiTheme="majorHAnsi"/>
          <w:noProof/>
          <w:snapToGrid w:val="0"/>
          <w:sz w:val="20"/>
          <w:szCs w:val="20"/>
          <w:lang w:eastAsia="es-ES"/>
        </w:rPr>
        <w:t>3</w:t>
      </w:r>
      <w:r w:rsidRPr="00CC46EA">
        <w:rPr>
          <w:rFonts w:asciiTheme="majorHAnsi" w:hAnsiTheme="majorHAnsi"/>
          <w:noProof/>
          <w:snapToGrid w:val="0"/>
          <w:sz w:val="20"/>
          <w:szCs w:val="20"/>
          <w:lang w:eastAsia="es-ES"/>
        </w:rPr>
        <w:t>.</w:t>
      </w:r>
      <w:r w:rsidRPr="00CC46EA">
        <w:rPr>
          <w:rFonts w:asciiTheme="majorHAnsi" w:hAnsiTheme="majorHAnsi"/>
          <w:noProof/>
          <w:snapToGrid w:val="0"/>
          <w:sz w:val="20"/>
          <w:szCs w:val="20"/>
          <w:lang w:eastAsia="es-ES"/>
        </w:rPr>
        <w:tab/>
        <w:t xml:space="preserve">La </w:t>
      </w:r>
      <w:r w:rsidRPr="00CC46EA">
        <w:rPr>
          <w:rFonts w:asciiTheme="majorHAnsi" w:hAnsiTheme="majorHAnsi"/>
          <w:i/>
          <w:noProof/>
          <w:snapToGrid w:val="0"/>
          <w:sz w:val="20"/>
          <w:szCs w:val="20"/>
          <w:lang w:eastAsia="es-ES"/>
        </w:rPr>
        <w:t>Recommandation de l’ICCAT concernant l’établissement d’un registre ICCAT des bateaux de 20 mètres ou plus de longueur hors-tout autorisés à opérer dans la zone de la Convention</w:t>
      </w:r>
      <w:r w:rsidRPr="00CC46EA">
        <w:rPr>
          <w:rFonts w:asciiTheme="majorHAnsi" w:hAnsiTheme="majorHAnsi"/>
          <w:noProof/>
          <w:snapToGrid w:val="0"/>
          <w:sz w:val="20"/>
          <w:szCs w:val="20"/>
          <w:lang w:eastAsia="es-ES"/>
        </w:rPr>
        <w:t xml:space="preserve"> (Rec. 1</w:t>
      </w:r>
      <w:r w:rsidR="003C14C0" w:rsidRPr="00CC46EA">
        <w:rPr>
          <w:rFonts w:asciiTheme="majorHAnsi" w:hAnsiTheme="majorHAnsi"/>
          <w:noProof/>
          <w:snapToGrid w:val="0"/>
          <w:sz w:val="20"/>
          <w:szCs w:val="20"/>
          <w:lang w:eastAsia="es-ES"/>
        </w:rPr>
        <w:t>3</w:t>
      </w:r>
      <w:r w:rsidRPr="00CC46EA">
        <w:rPr>
          <w:rFonts w:asciiTheme="majorHAnsi" w:hAnsiTheme="majorHAnsi"/>
          <w:noProof/>
          <w:snapToGrid w:val="0"/>
          <w:sz w:val="20"/>
          <w:szCs w:val="20"/>
          <w:lang w:eastAsia="es-ES"/>
        </w:rPr>
        <w:t>-1</w:t>
      </w:r>
      <w:r w:rsidR="003C14C0" w:rsidRPr="00CC46EA">
        <w:rPr>
          <w:rFonts w:asciiTheme="majorHAnsi" w:hAnsiTheme="majorHAnsi"/>
          <w:noProof/>
          <w:snapToGrid w:val="0"/>
          <w:sz w:val="20"/>
          <w:szCs w:val="20"/>
          <w:lang w:eastAsia="es-ES"/>
        </w:rPr>
        <w:t>3</w:t>
      </w:r>
      <w:r w:rsidRPr="00CC46EA">
        <w:rPr>
          <w:rFonts w:asciiTheme="majorHAnsi" w:hAnsiTheme="majorHAnsi"/>
          <w:noProof/>
          <w:snapToGrid w:val="0"/>
          <w:sz w:val="20"/>
          <w:szCs w:val="20"/>
          <w:lang w:eastAsia="es-ES"/>
        </w:rPr>
        <w:t>)</w:t>
      </w:r>
      <w:r w:rsidR="00BB0A56" w:rsidRPr="00CC46EA">
        <w:rPr>
          <w:rFonts w:asciiTheme="majorHAnsi" w:hAnsiTheme="majorHAnsi"/>
          <w:noProof/>
          <w:snapToGrid w:val="0"/>
          <w:sz w:val="20"/>
          <w:szCs w:val="20"/>
          <w:lang w:eastAsia="es-ES"/>
        </w:rPr>
        <w:t xml:space="preserve"> est abrogée et remplacée dans son intégralité par la présente Recommandation</w:t>
      </w:r>
      <w:r w:rsidRPr="00CC46EA">
        <w:rPr>
          <w:rFonts w:asciiTheme="majorHAnsi" w:hAnsiTheme="majorHAnsi"/>
          <w:noProof/>
          <w:snapToGrid w:val="0"/>
          <w:sz w:val="20"/>
          <w:szCs w:val="20"/>
          <w:lang w:eastAsia="es-ES"/>
        </w:rPr>
        <w:t>.</w:t>
      </w:r>
      <w:r w:rsidR="00BB0A56" w:rsidRPr="00CC46EA">
        <w:rPr>
          <w:rFonts w:asciiTheme="majorHAnsi" w:hAnsiTheme="majorHAnsi"/>
          <w:noProof/>
          <w:snapToGrid w:val="0"/>
          <w:sz w:val="20"/>
          <w:szCs w:val="20"/>
          <w:lang w:eastAsia="es-ES"/>
        </w:rPr>
        <w:t xml:space="preserve"> </w:t>
      </w:r>
      <w:r w:rsidR="00071B9C" w:rsidRPr="00CC46EA">
        <w:rPr>
          <w:rFonts w:asciiTheme="majorHAnsi" w:hAnsiTheme="majorHAnsi"/>
          <w:i/>
          <w:iCs/>
          <w:noProof/>
          <w:snapToGrid w:val="0"/>
          <w:sz w:val="20"/>
          <w:szCs w:val="20"/>
          <w:lang w:eastAsia="es-ES"/>
        </w:rPr>
        <w:t>La Recommandation de l’ICCAT visant à harmoniser et orienter la mise en œuvre des exigences ICCAT d’inscription des navires</w:t>
      </w:r>
      <w:r w:rsidR="00071B9C" w:rsidRPr="00CC46EA">
        <w:rPr>
          <w:rFonts w:asciiTheme="majorHAnsi" w:hAnsiTheme="majorHAnsi"/>
          <w:noProof/>
          <w:snapToGrid w:val="0"/>
          <w:sz w:val="20"/>
          <w:szCs w:val="20"/>
          <w:lang w:eastAsia="es-ES"/>
        </w:rPr>
        <w:t xml:space="preserve"> (Rec. 14-10) est remplacée par les dispositions de la présente Recommandation.</w:t>
      </w:r>
    </w:p>
    <w:p w14:paraId="7695C2E1" w14:textId="77777777" w:rsidR="000B14A0" w:rsidRPr="00CC46EA" w:rsidRDefault="000B14A0" w:rsidP="009348A3">
      <w:pPr>
        <w:autoSpaceDE w:val="0"/>
        <w:autoSpaceDN w:val="0"/>
        <w:adjustRightInd w:val="0"/>
        <w:rPr>
          <w:rFonts w:asciiTheme="majorHAnsi" w:hAnsiTheme="majorHAnsi"/>
          <w:b/>
          <w:bCs/>
          <w:sz w:val="20"/>
          <w:szCs w:val="20"/>
        </w:rPr>
      </w:pPr>
    </w:p>
    <w:sectPr w:rsidR="000B14A0" w:rsidRPr="00CC46EA" w:rsidSect="00905A58">
      <w:headerReference w:type="even" r:id="rId8"/>
      <w:footerReference w:type="even" r:id="rId9"/>
      <w:footerReference w:type="default" r:id="rId10"/>
      <w:headerReference w:type="first" r:id="rId11"/>
      <w:footerReference w:type="firs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866A" w14:textId="77777777" w:rsidR="004F2BAB" w:rsidRDefault="004F2BAB">
      <w:r>
        <w:separator/>
      </w:r>
    </w:p>
  </w:endnote>
  <w:endnote w:type="continuationSeparator" w:id="0">
    <w:p w14:paraId="5B48274E" w14:textId="77777777" w:rsidR="004F2BAB" w:rsidRDefault="004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417A" w14:textId="77777777" w:rsidR="0032541D" w:rsidRDefault="0032541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14:paraId="266BD9D6" w14:textId="77777777" w:rsidR="0032541D" w:rsidRDefault="0032541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550"/>
      <w:docPartObj>
        <w:docPartGallery w:val="Page Numbers (Bottom of Page)"/>
        <w:docPartUnique/>
      </w:docPartObj>
    </w:sdtPr>
    <w:sdtEndPr>
      <w:rPr>
        <w:rFonts w:asciiTheme="majorHAnsi" w:hAnsiTheme="majorHAnsi"/>
        <w:szCs w:val="20"/>
      </w:rPr>
    </w:sdtEndPr>
    <w:sdtContent>
      <w:sdt>
        <w:sdtPr>
          <w:id w:val="-1705238520"/>
          <w:docPartObj>
            <w:docPartGallery w:val="Page Numbers (Top of Page)"/>
            <w:docPartUnique/>
          </w:docPartObj>
        </w:sdtPr>
        <w:sdtEndPr>
          <w:rPr>
            <w:rFonts w:asciiTheme="majorHAnsi" w:hAnsiTheme="majorHAnsi"/>
            <w:szCs w:val="20"/>
          </w:rPr>
        </w:sdtEndPr>
        <w:sdtContent>
          <w:p w14:paraId="53140A03" w14:textId="137EC656" w:rsidR="0032541D" w:rsidRPr="001605DF" w:rsidRDefault="0032541D" w:rsidP="001605DF">
            <w:pPr>
              <w:pStyle w:val="Footer"/>
              <w:jc w:val="center"/>
              <w:rPr>
                <w:rFonts w:asciiTheme="majorHAnsi" w:hAnsiTheme="majorHAnsi"/>
                <w:szCs w:val="20"/>
              </w:rPr>
            </w:pPr>
            <w:r w:rsidRPr="001605DF">
              <w:rPr>
                <w:rFonts w:asciiTheme="majorHAnsi" w:hAnsiTheme="majorHAnsi"/>
                <w:bCs/>
                <w:szCs w:val="20"/>
              </w:rPr>
              <w:fldChar w:fldCharType="begin"/>
            </w:r>
            <w:r w:rsidRPr="001605DF">
              <w:rPr>
                <w:rFonts w:asciiTheme="majorHAnsi" w:hAnsiTheme="majorHAnsi"/>
                <w:bCs/>
                <w:szCs w:val="20"/>
              </w:rPr>
              <w:instrText xml:space="preserve"> PAGE </w:instrText>
            </w:r>
            <w:r w:rsidRPr="001605DF">
              <w:rPr>
                <w:rFonts w:asciiTheme="majorHAnsi" w:hAnsiTheme="majorHAnsi"/>
                <w:bCs/>
                <w:szCs w:val="20"/>
              </w:rPr>
              <w:fldChar w:fldCharType="separate"/>
            </w:r>
            <w:r>
              <w:rPr>
                <w:rFonts w:asciiTheme="majorHAnsi" w:hAnsiTheme="majorHAnsi"/>
                <w:bCs/>
                <w:szCs w:val="20"/>
              </w:rPr>
              <w:t>4</w:t>
            </w:r>
            <w:r w:rsidRPr="001605DF">
              <w:rPr>
                <w:rFonts w:asciiTheme="majorHAnsi" w:hAnsiTheme="majorHAnsi"/>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7D24" w14:textId="77777777" w:rsidR="0032541D" w:rsidRDefault="0032541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408A" w14:textId="77777777" w:rsidR="004F2BAB" w:rsidRDefault="004F2BAB">
      <w:r>
        <w:separator/>
      </w:r>
    </w:p>
  </w:footnote>
  <w:footnote w:type="continuationSeparator" w:id="0">
    <w:p w14:paraId="621C67D7" w14:textId="77777777" w:rsidR="004F2BAB" w:rsidRDefault="004F2BAB">
      <w:r>
        <w:continuationSeparator/>
      </w:r>
    </w:p>
  </w:footnote>
  <w:footnote w:id="1">
    <w:p w14:paraId="73865E72" w14:textId="7E423F5D" w:rsidR="008D3330" w:rsidRPr="008D3330" w:rsidRDefault="008D3330" w:rsidP="00DB5BF6">
      <w:pPr>
        <w:pStyle w:val="FootnoteText"/>
        <w:jc w:val="both"/>
        <w:rPr>
          <w:rFonts w:asciiTheme="majorHAnsi" w:hAnsiTheme="majorHAnsi"/>
          <w:sz w:val="16"/>
          <w:szCs w:val="16"/>
          <w:lang w:val="fr-FR"/>
        </w:rPr>
      </w:pPr>
      <w:r w:rsidRPr="008D3330">
        <w:rPr>
          <w:rStyle w:val="FootnoteReference"/>
          <w:lang w:val="fr-FR"/>
        </w:rPr>
        <w:t>*</w:t>
      </w:r>
      <w:r w:rsidRPr="009635C8">
        <w:rPr>
          <w:rFonts w:asciiTheme="majorHAnsi" w:hAnsiTheme="majorHAnsi"/>
          <w:sz w:val="16"/>
          <w:szCs w:val="16"/>
          <w:lang w:val="fr-FR"/>
        </w:rPr>
        <w:t>Tous les LSFV doivent obtenir un numéro OMI ou LR, à moins qu'une exception spécifiée au paragraphe 7 de la présente recommandation ne s'applique.</w:t>
      </w:r>
      <w:r w:rsidRPr="00DB5BF6">
        <w:rPr>
          <w:rFonts w:asciiTheme="majorHAnsi" w:hAnsiTheme="majorHAnsi"/>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B3CD" w14:textId="77777777" w:rsidR="0032541D" w:rsidRDefault="0032541D">
    <w:pPr>
      <w:pStyle w:val="Header"/>
      <w:rPr>
        <w:rFonts w:ascii="Univers" w:hAnsi="Univers"/>
        <w:sz w:val="16"/>
      </w:rPr>
    </w:pPr>
    <w:r>
      <w:rPr>
        <w:rFonts w:ascii="Univers" w:hAnsi="Univers"/>
        <w:sz w:val="16"/>
      </w:rPr>
      <w:t>RAPPORT ICCAT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ADBC" w14:textId="77777777" w:rsidR="0032541D" w:rsidRDefault="0032541D">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136CC1"/>
    <w:multiLevelType w:val="multilevel"/>
    <w:tmpl w:val="CEA64760"/>
    <w:lvl w:ilvl="0">
      <w:start w:val="5"/>
      <w:numFmt w:val="decimal"/>
      <w:lvlText w:val="%1"/>
      <w:lvlJc w:val="left"/>
      <w:pPr>
        <w:ind w:left="360" w:hanging="360"/>
      </w:pPr>
      <w:rPr>
        <w:rFonts w:eastAsiaTheme="minorHAnsi" w:hint="default"/>
      </w:rPr>
    </w:lvl>
    <w:lvl w:ilvl="1">
      <w:start w:val="5"/>
      <w:numFmt w:val="decimal"/>
      <w:lvlText w:val="%1.%2"/>
      <w:lvlJc w:val="left"/>
      <w:pPr>
        <w:ind w:left="1168" w:hanging="360"/>
      </w:pPr>
      <w:rPr>
        <w:rFonts w:eastAsiaTheme="minorHAnsi" w:hint="default"/>
      </w:rPr>
    </w:lvl>
    <w:lvl w:ilvl="2">
      <w:start w:val="1"/>
      <w:numFmt w:val="decimal"/>
      <w:lvlText w:val="%1.%2.%3"/>
      <w:lvlJc w:val="left"/>
      <w:pPr>
        <w:ind w:left="2336" w:hanging="720"/>
      </w:pPr>
      <w:rPr>
        <w:rFonts w:eastAsiaTheme="minorHAnsi" w:hint="default"/>
      </w:rPr>
    </w:lvl>
    <w:lvl w:ilvl="3">
      <w:start w:val="1"/>
      <w:numFmt w:val="decimal"/>
      <w:lvlText w:val="%1.%2.%3.%4"/>
      <w:lvlJc w:val="left"/>
      <w:pPr>
        <w:ind w:left="3144" w:hanging="720"/>
      </w:pPr>
      <w:rPr>
        <w:rFonts w:eastAsiaTheme="minorHAnsi" w:hint="default"/>
      </w:rPr>
    </w:lvl>
    <w:lvl w:ilvl="4">
      <w:start w:val="1"/>
      <w:numFmt w:val="decimal"/>
      <w:lvlText w:val="%1.%2.%3.%4.%5"/>
      <w:lvlJc w:val="left"/>
      <w:pPr>
        <w:ind w:left="4312" w:hanging="1080"/>
      </w:pPr>
      <w:rPr>
        <w:rFonts w:eastAsiaTheme="minorHAnsi" w:hint="default"/>
      </w:rPr>
    </w:lvl>
    <w:lvl w:ilvl="5">
      <w:start w:val="1"/>
      <w:numFmt w:val="decimal"/>
      <w:lvlText w:val="%1.%2.%3.%4.%5.%6"/>
      <w:lvlJc w:val="left"/>
      <w:pPr>
        <w:ind w:left="5120" w:hanging="1080"/>
      </w:pPr>
      <w:rPr>
        <w:rFonts w:eastAsiaTheme="minorHAnsi" w:hint="default"/>
      </w:rPr>
    </w:lvl>
    <w:lvl w:ilvl="6">
      <w:start w:val="1"/>
      <w:numFmt w:val="decimal"/>
      <w:lvlText w:val="%1.%2.%3.%4.%5.%6.%7"/>
      <w:lvlJc w:val="left"/>
      <w:pPr>
        <w:ind w:left="6288" w:hanging="1440"/>
      </w:pPr>
      <w:rPr>
        <w:rFonts w:eastAsiaTheme="minorHAnsi" w:hint="default"/>
      </w:rPr>
    </w:lvl>
    <w:lvl w:ilvl="7">
      <w:start w:val="1"/>
      <w:numFmt w:val="decimal"/>
      <w:lvlText w:val="%1.%2.%3.%4.%5.%6.%7.%8"/>
      <w:lvlJc w:val="left"/>
      <w:pPr>
        <w:ind w:left="7096" w:hanging="1440"/>
      </w:pPr>
      <w:rPr>
        <w:rFonts w:eastAsiaTheme="minorHAnsi" w:hint="default"/>
      </w:rPr>
    </w:lvl>
    <w:lvl w:ilvl="8">
      <w:start w:val="1"/>
      <w:numFmt w:val="decimal"/>
      <w:lvlText w:val="%1.%2.%3.%4.%5.%6.%7.%8.%9"/>
      <w:lvlJc w:val="left"/>
      <w:pPr>
        <w:ind w:left="8264" w:hanging="1800"/>
      </w:pPr>
      <w:rPr>
        <w:rFonts w:eastAsiaTheme="minorHAnsi" w:hint="default"/>
      </w:rPr>
    </w:lvl>
  </w:abstractNum>
  <w:abstractNum w:abstractNumId="3"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170F56"/>
    <w:multiLevelType w:val="multilevel"/>
    <w:tmpl w:val="379A9CD6"/>
    <w:lvl w:ilvl="0">
      <w:start w:val="5"/>
      <w:numFmt w:val="decimal"/>
      <w:lvlText w:val="%1"/>
      <w:lvlJc w:val="left"/>
      <w:pPr>
        <w:ind w:left="360" w:hanging="360"/>
      </w:pPr>
      <w:rPr>
        <w:rFonts w:hint="default"/>
      </w:rPr>
    </w:lvl>
    <w:lvl w:ilvl="1">
      <w:start w:val="4"/>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6"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8"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2446E7"/>
    <w:multiLevelType w:val="hybridMultilevel"/>
    <w:tmpl w:val="501CB60A"/>
    <w:lvl w:ilvl="0" w:tplc="0809000F">
      <w:start w:val="1"/>
      <w:numFmt w:val="decimal"/>
      <w:lvlText w:val="%1."/>
      <w:lvlJc w:val="left"/>
      <w:pPr>
        <w:ind w:left="5180" w:hanging="360"/>
      </w:pPr>
    </w:lvl>
    <w:lvl w:ilvl="1" w:tplc="08090019">
      <w:start w:val="1"/>
      <w:numFmt w:val="lowerLetter"/>
      <w:lvlText w:val="%2."/>
      <w:lvlJc w:val="left"/>
      <w:pPr>
        <w:ind w:left="448" w:hanging="360"/>
      </w:pPr>
    </w:lvl>
    <w:lvl w:ilvl="2" w:tplc="0809001B">
      <w:start w:val="1"/>
      <w:numFmt w:val="lowerRoman"/>
      <w:lvlText w:val="%3."/>
      <w:lvlJc w:val="right"/>
      <w:pPr>
        <w:ind w:left="1168" w:hanging="180"/>
      </w:pPr>
    </w:lvl>
    <w:lvl w:ilvl="3" w:tplc="0809000F">
      <w:start w:val="1"/>
      <w:numFmt w:val="decimal"/>
      <w:lvlText w:val="%4."/>
      <w:lvlJc w:val="left"/>
      <w:pPr>
        <w:ind w:left="1888" w:hanging="360"/>
      </w:pPr>
    </w:lvl>
    <w:lvl w:ilvl="4" w:tplc="08090019">
      <w:start w:val="1"/>
      <w:numFmt w:val="lowerLetter"/>
      <w:lvlText w:val="%5."/>
      <w:lvlJc w:val="left"/>
      <w:pPr>
        <w:ind w:left="2608" w:hanging="360"/>
      </w:pPr>
    </w:lvl>
    <w:lvl w:ilvl="5" w:tplc="0809001B">
      <w:start w:val="1"/>
      <w:numFmt w:val="lowerRoman"/>
      <w:lvlText w:val="%6."/>
      <w:lvlJc w:val="right"/>
      <w:pPr>
        <w:ind w:left="3328" w:hanging="180"/>
      </w:pPr>
    </w:lvl>
    <w:lvl w:ilvl="6" w:tplc="0809000F">
      <w:start w:val="1"/>
      <w:numFmt w:val="decimal"/>
      <w:lvlText w:val="%7."/>
      <w:lvlJc w:val="left"/>
      <w:pPr>
        <w:ind w:left="4048" w:hanging="360"/>
      </w:pPr>
    </w:lvl>
    <w:lvl w:ilvl="7" w:tplc="08090019">
      <w:start w:val="1"/>
      <w:numFmt w:val="lowerLetter"/>
      <w:lvlText w:val="%8."/>
      <w:lvlJc w:val="left"/>
      <w:pPr>
        <w:ind w:left="4768" w:hanging="360"/>
      </w:pPr>
    </w:lvl>
    <w:lvl w:ilvl="8" w:tplc="0809001B">
      <w:start w:val="1"/>
      <w:numFmt w:val="lowerRoman"/>
      <w:lvlText w:val="%9."/>
      <w:lvlJc w:val="right"/>
      <w:pPr>
        <w:ind w:left="5488" w:hanging="180"/>
      </w:pPr>
    </w:lvl>
  </w:abstractNum>
  <w:abstractNum w:abstractNumId="10"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621215DA"/>
    <w:multiLevelType w:val="hybridMultilevel"/>
    <w:tmpl w:val="0CD829EE"/>
    <w:lvl w:ilvl="0" w:tplc="775209A0">
      <w:start w:val="1"/>
      <w:numFmt w:val="bullet"/>
      <w:lvlText w:val="–"/>
      <w:lvlJc w:val="left"/>
      <w:pPr>
        <w:tabs>
          <w:tab w:val="num" w:pos="907"/>
        </w:tabs>
        <w:ind w:left="907" w:hanging="397"/>
      </w:pPr>
      <w:rPr>
        <w:rFonts w:ascii="Times New Roman" w:hAnsi="Times New Roman" w:cs="Times New Roman" w:hint="default"/>
      </w:rPr>
    </w:lvl>
    <w:lvl w:ilvl="1" w:tplc="04090019" w:tentative="1">
      <w:start w:val="1"/>
      <w:numFmt w:val="bullet"/>
      <w:lvlText w:val="o"/>
      <w:lvlJc w:val="left"/>
      <w:pPr>
        <w:tabs>
          <w:tab w:val="num" w:pos="1780"/>
        </w:tabs>
        <w:ind w:left="1780" w:hanging="360"/>
      </w:pPr>
      <w:rPr>
        <w:rFonts w:ascii="Courier New" w:hAnsi="Courier New" w:hint="default"/>
      </w:rPr>
    </w:lvl>
    <w:lvl w:ilvl="2" w:tplc="0409001B" w:tentative="1">
      <w:start w:val="1"/>
      <w:numFmt w:val="bullet"/>
      <w:lvlText w:val=""/>
      <w:lvlJc w:val="left"/>
      <w:pPr>
        <w:tabs>
          <w:tab w:val="num" w:pos="2500"/>
        </w:tabs>
        <w:ind w:left="2500" w:hanging="360"/>
      </w:pPr>
      <w:rPr>
        <w:rFonts w:ascii="Wingdings" w:hAnsi="Wingdings" w:hint="default"/>
      </w:rPr>
    </w:lvl>
    <w:lvl w:ilvl="3" w:tplc="0409000F" w:tentative="1">
      <w:start w:val="1"/>
      <w:numFmt w:val="bullet"/>
      <w:lvlText w:val=""/>
      <w:lvlJc w:val="left"/>
      <w:pPr>
        <w:tabs>
          <w:tab w:val="num" w:pos="3220"/>
        </w:tabs>
        <w:ind w:left="3220" w:hanging="360"/>
      </w:pPr>
      <w:rPr>
        <w:rFonts w:ascii="Symbol" w:hAnsi="Symbol" w:hint="default"/>
      </w:rPr>
    </w:lvl>
    <w:lvl w:ilvl="4" w:tplc="04090019" w:tentative="1">
      <w:start w:val="1"/>
      <w:numFmt w:val="bullet"/>
      <w:lvlText w:val="o"/>
      <w:lvlJc w:val="left"/>
      <w:pPr>
        <w:tabs>
          <w:tab w:val="num" w:pos="3940"/>
        </w:tabs>
        <w:ind w:left="3940" w:hanging="360"/>
      </w:pPr>
      <w:rPr>
        <w:rFonts w:ascii="Courier New" w:hAnsi="Courier New" w:hint="default"/>
      </w:rPr>
    </w:lvl>
    <w:lvl w:ilvl="5" w:tplc="0409001B" w:tentative="1">
      <w:start w:val="1"/>
      <w:numFmt w:val="bullet"/>
      <w:lvlText w:val=""/>
      <w:lvlJc w:val="left"/>
      <w:pPr>
        <w:tabs>
          <w:tab w:val="num" w:pos="4660"/>
        </w:tabs>
        <w:ind w:left="4660" w:hanging="360"/>
      </w:pPr>
      <w:rPr>
        <w:rFonts w:ascii="Wingdings" w:hAnsi="Wingdings" w:hint="default"/>
      </w:rPr>
    </w:lvl>
    <w:lvl w:ilvl="6" w:tplc="0409000F" w:tentative="1">
      <w:start w:val="1"/>
      <w:numFmt w:val="bullet"/>
      <w:lvlText w:val=""/>
      <w:lvlJc w:val="left"/>
      <w:pPr>
        <w:tabs>
          <w:tab w:val="num" w:pos="5380"/>
        </w:tabs>
        <w:ind w:left="5380" w:hanging="360"/>
      </w:pPr>
      <w:rPr>
        <w:rFonts w:ascii="Symbol" w:hAnsi="Symbol" w:hint="default"/>
      </w:rPr>
    </w:lvl>
    <w:lvl w:ilvl="7" w:tplc="04090019" w:tentative="1">
      <w:start w:val="1"/>
      <w:numFmt w:val="bullet"/>
      <w:lvlText w:val="o"/>
      <w:lvlJc w:val="left"/>
      <w:pPr>
        <w:tabs>
          <w:tab w:val="num" w:pos="6100"/>
        </w:tabs>
        <w:ind w:left="6100" w:hanging="360"/>
      </w:pPr>
      <w:rPr>
        <w:rFonts w:ascii="Courier New" w:hAnsi="Courier New" w:hint="default"/>
      </w:rPr>
    </w:lvl>
    <w:lvl w:ilvl="8" w:tplc="0409001B"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63894A27"/>
    <w:multiLevelType w:val="multilevel"/>
    <w:tmpl w:val="E5A2375C"/>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7B56780"/>
    <w:multiLevelType w:val="multilevel"/>
    <w:tmpl w:val="CEDEB34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10"/>
  </w:num>
  <w:num w:numId="5">
    <w:abstractNumId w:val="15"/>
  </w:num>
  <w:num w:numId="6">
    <w:abstractNumId w:val="16"/>
  </w:num>
  <w:num w:numId="7">
    <w:abstractNumId w:val="8"/>
  </w:num>
  <w:num w:numId="8">
    <w:abstractNumId w:val="6"/>
  </w:num>
  <w:num w:numId="9">
    <w:abstractNumId w:val="13"/>
  </w:num>
  <w:num w:numId="10">
    <w:abstractNumId w:val="4"/>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0A0F"/>
    <w:rsid w:val="00003386"/>
    <w:rsid w:val="00004916"/>
    <w:rsid w:val="00005D37"/>
    <w:rsid w:val="000101FF"/>
    <w:rsid w:val="00010A3D"/>
    <w:rsid w:val="000217D6"/>
    <w:rsid w:val="00021FCD"/>
    <w:rsid w:val="000238E4"/>
    <w:rsid w:val="000279EF"/>
    <w:rsid w:val="0004012A"/>
    <w:rsid w:val="00050080"/>
    <w:rsid w:val="00050EE8"/>
    <w:rsid w:val="00056C0F"/>
    <w:rsid w:val="000620AB"/>
    <w:rsid w:val="00066450"/>
    <w:rsid w:val="00071B9C"/>
    <w:rsid w:val="000744FE"/>
    <w:rsid w:val="00075A84"/>
    <w:rsid w:val="000802FA"/>
    <w:rsid w:val="000839C3"/>
    <w:rsid w:val="00087245"/>
    <w:rsid w:val="0008791D"/>
    <w:rsid w:val="00090FA8"/>
    <w:rsid w:val="00091DD8"/>
    <w:rsid w:val="000946E2"/>
    <w:rsid w:val="00094E9E"/>
    <w:rsid w:val="000976D0"/>
    <w:rsid w:val="000A2CC5"/>
    <w:rsid w:val="000B14A0"/>
    <w:rsid w:val="000C04E5"/>
    <w:rsid w:val="000C1D19"/>
    <w:rsid w:val="000C7470"/>
    <w:rsid w:val="000D1E9A"/>
    <w:rsid w:val="000D6175"/>
    <w:rsid w:val="000D7D66"/>
    <w:rsid w:val="000E41CE"/>
    <w:rsid w:val="000E586A"/>
    <w:rsid w:val="000F6CD1"/>
    <w:rsid w:val="001000B4"/>
    <w:rsid w:val="00102CFF"/>
    <w:rsid w:val="0010479F"/>
    <w:rsid w:val="0010776A"/>
    <w:rsid w:val="0011435C"/>
    <w:rsid w:val="00117E53"/>
    <w:rsid w:val="00122303"/>
    <w:rsid w:val="001262C7"/>
    <w:rsid w:val="00127B5B"/>
    <w:rsid w:val="001305BB"/>
    <w:rsid w:val="0013413A"/>
    <w:rsid w:val="001363C4"/>
    <w:rsid w:val="001422A4"/>
    <w:rsid w:val="00143F2E"/>
    <w:rsid w:val="001465EC"/>
    <w:rsid w:val="00146CED"/>
    <w:rsid w:val="001556A1"/>
    <w:rsid w:val="001605DF"/>
    <w:rsid w:val="00162CA4"/>
    <w:rsid w:val="00175890"/>
    <w:rsid w:val="001774E0"/>
    <w:rsid w:val="001860E6"/>
    <w:rsid w:val="0018733C"/>
    <w:rsid w:val="00193086"/>
    <w:rsid w:val="00197B49"/>
    <w:rsid w:val="001A01E0"/>
    <w:rsid w:val="001B1A60"/>
    <w:rsid w:val="001C1586"/>
    <w:rsid w:val="001C2334"/>
    <w:rsid w:val="001C2A23"/>
    <w:rsid w:val="001C5105"/>
    <w:rsid w:val="001D271A"/>
    <w:rsid w:val="001D2DCA"/>
    <w:rsid w:val="001D73A1"/>
    <w:rsid w:val="001F2C28"/>
    <w:rsid w:val="001F37E5"/>
    <w:rsid w:val="00201126"/>
    <w:rsid w:val="00211570"/>
    <w:rsid w:val="00212A99"/>
    <w:rsid w:val="0022239F"/>
    <w:rsid w:val="002307C3"/>
    <w:rsid w:val="00235D99"/>
    <w:rsid w:val="00236B44"/>
    <w:rsid w:val="0024145E"/>
    <w:rsid w:val="0024263C"/>
    <w:rsid w:val="00244FE8"/>
    <w:rsid w:val="00251BE5"/>
    <w:rsid w:val="00252FE4"/>
    <w:rsid w:val="002540AB"/>
    <w:rsid w:val="00257173"/>
    <w:rsid w:val="002578FB"/>
    <w:rsid w:val="00257A11"/>
    <w:rsid w:val="00261675"/>
    <w:rsid w:val="002636A1"/>
    <w:rsid w:val="0026432B"/>
    <w:rsid w:val="00266EBA"/>
    <w:rsid w:val="00271B3B"/>
    <w:rsid w:val="00272E33"/>
    <w:rsid w:val="002740D0"/>
    <w:rsid w:val="00274BCB"/>
    <w:rsid w:val="00277637"/>
    <w:rsid w:val="0028201F"/>
    <w:rsid w:val="00282C36"/>
    <w:rsid w:val="002838EF"/>
    <w:rsid w:val="00287EF3"/>
    <w:rsid w:val="0029281A"/>
    <w:rsid w:val="00293BBF"/>
    <w:rsid w:val="002966F7"/>
    <w:rsid w:val="002A0F51"/>
    <w:rsid w:val="002A2A53"/>
    <w:rsid w:val="002B67DA"/>
    <w:rsid w:val="002C0FBC"/>
    <w:rsid w:val="002C2548"/>
    <w:rsid w:val="002C383E"/>
    <w:rsid w:val="002D0081"/>
    <w:rsid w:val="002D0928"/>
    <w:rsid w:val="002D3A31"/>
    <w:rsid w:val="002D5887"/>
    <w:rsid w:val="002E0A33"/>
    <w:rsid w:val="002E10C8"/>
    <w:rsid w:val="002E58C9"/>
    <w:rsid w:val="002E6024"/>
    <w:rsid w:val="002E63EE"/>
    <w:rsid w:val="002E79D8"/>
    <w:rsid w:val="002F03BC"/>
    <w:rsid w:val="002F22B4"/>
    <w:rsid w:val="002F6734"/>
    <w:rsid w:val="00302D17"/>
    <w:rsid w:val="003069F8"/>
    <w:rsid w:val="003139EA"/>
    <w:rsid w:val="00314E34"/>
    <w:rsid w:val="0031536B"/>
    <w:rsid w:val="003209E2"/>
    <w:rsid w:val="003213AC"/>
    <w:rsid w:val="00323003"/>
    <w:rsid w:val="0032541D"/>
    <w:rsid w:val="003254C7"/>
    <w:rsid w:val="00326E41"/>
    <w:rsid w:val="003279FC"/>
    <w:rsid w:val="00334EBC"/>
    <w:rsid w:val="00336E73"/>
    <w:rsid w:val="00342F3A"/>
    <w:rsid w:val="003441BF"/>
    <w:rsid w:val="003500A6"/>
    <w:rsid w:val="0036246E"/>
    <w:rsid w:val="003729A4"/>
    <w:rsid w:val="003732F6"/>
    <w:rsid w:val="003749E2"/>
    <w:rsid w:val="00393F3A"/>
    <w:rsid w:val="00395DFF"/>
    <w:rsid w:val="00395E0B"/>
    <w:rsid w:val="00395F7B"/>
    <w:rsid w:val="003A3605"/>
    <w:rsid w:val="003A7777"/>
    <w:rsid w:val="003A7B1F"/>
    <w:rsid w:val="003B34DC"/>
    <w:rsid w:val="003B574B"/>
    <w:rsid w:val="003C030B"/>
    <w:rsid w:val="003C14C0"/>
    <w:rsid w:val="003C2589"/>
    <w:rsid w:val="003C37A2"/>
    <w:rsid w:val="003D009B"/>
    <w:rsid w:val="003D114C"/>
    <w:rsid w:val="003D1C7F"/>
    <w:rsid w:val="003E07C4"/>
    <w:rsid w:val="003E23E6"/>
    <w:rsid w:val="003E2838"/>
    <w:rsid w:val="003E61A5"/>
    <w:rsid w:val="003F1881"/>
    <w:rsid w:val="003F214C"/>
    <w:rsid w:val="003F2C53"/>
    <w:rsid w:val="003F2F27"/>
    <w:rsid w:val="003F3047"/>
    <w:rsid w:val="004014CF"/>
    <w:rsid w:val="00405E99"/>
    <w:rsid w:val="004062C0"/>
    <w:rsid w:val="0040734B"/>
    <w:rsid w:val="0041115F"/>
    <w:rsid w:val="00411D41"/>
    <w:rsid w:val="00413F16"/>
    <w:rsid w:val="00426D02"/>
    <w:rsid w:val="0043194D"/>
    <w:rsid w:val="0043508E"/>
    <w:rsid w:val="00444C34"/>
    <w:rsid w:val="00444D8B"/>
    <w:rsid w:val="0045229C"/>
    <w:rsid w:val="00453C62"/>
    <w:rsid w:val="0045587E"/>
    <w:rsid w:val="00457A4D"/>
    <w:rsid w:val="00462935"/>
    <w:rsid w:val="00465F3D"/>
    <w:rsid w:val="00467A57"/>
    <w:rsid w:val="00467E7E"/>
    <w:rsid w:val="00483DAE"/>
    <w:rsid w:val="00486C9F"/>
    <w:rsid w:val="00490505"/>
    <w:rsid w:val="00494E89"/>
    <w:rsid w:val="004A18EB"/>
    <w:rsid w:val="004A1C39"/>
    <w:rsid w:val="004A4A69"/>
    <w:rsid w:val="004B1C8F"/>
    <w:rsid w:val="004B5128"/>
    <w:rsid w:val="004D358B"/>
    <w:rsid w:val="004E1D1B"/>
    <w:rsid w:val="004E2692"/>
    <w:rsid w:val="004F2BAB"/>
    <w:rsid w:val="004F32F3"/>
    <w:rsid w:val="005009F1"/>
    <w:rsid w:val="00505106"/>
    <w:rsid w:val="00506BB5"/>
    <w:rsid w:val="00507AAD"/>
    <w:rsid w:val="00511952"/>
    <w:rsid w:val="00513471"/>
    <w:rsid w:val="00515317"/>
    <w:rsid w:val="005160FB"/>
    <w:rsid w:val="005252A2"/>
    <w:rsid w:val="00527A49"/>
    <w:rsid w:val="00535519"/>
    <w:rsid w:val="00537C7C"/>
    <w:rsid w:val="00541298"/>
    <w:rsid w:val="00544D0D"/>
    <w:rsid w:val="0054663A"/>
    <w:rsid w:val="005500C9"/>
    <w:rsid w:val="00550435"/>
    <w:rsid w:val="00566C7B"/>
    <w:rsid w:val="00576147"/>
    <w:rsid w:val="00576B45"/>
    <w:rsid w:val="00584F89"/>
    <w:rsid w:val="00586351"/>
    <w:rsid w:val="0059082D"/>
    <w:rsid w:val="00593B86"/>
    <w:rsid w:val="005951A2"/>
    <w:rsid w:val="005A2D39"/>
    <w:rsid w:val="005A4608"/>
    <w:rsid w:val="005A5198"/>
    <w:rsid w:val="005B4235"/>
    <w:rsid w:val="005C03C9"/>
    <w:rsid w:val="005C15A8"/>
    <w:rsid w:val="005C2E77"/>
    <w:rsid w:val="005C539B"/>
    <w:rsid w:val="005C79BA"/>
    <w:rsid w:val="005D5D7D"/>
    <w:rsid w:val="005D630D"/>
    <w:rsid w:val="005D6884"/>
    <w:rsid w:val="005D7B4D"/>
    <w:rsid w:val="005E4981"/>
    <w:rsid w:val="005F3785"/>
    <w:rsid w:val="005F52EA"/>
    <w:rsid w:val="005F6224"/>
    <w:rsid w:val="00601067"/>
    <w:rsid w:val="00611FC6"/>
    <w:rsid w:val="006133AB"/>
    <w:rsid w:val="0061655F"/>
    <w:rsid w:val="00624A90"/>
    <w:rsid w:val="00625B0E"/>
    <w:rsid w:val="00634073"/>
    <w:rsid w:val="0063798F"/>
    <w:rsid w:val="00643280"/>
    <w:rsid w:val="00645659"/>
    <w:rsid w:val="00650884"/>
    <w:rsid w:val="00655A6C"/>
    <w:rsid w:val="00661C42"/>
    <w:rsid w:val="0066325F"/>
    <w:rsid w:val="006639B5"/>
    <w:rsid w:val="00663F8B"/>
    <w:rsid w:val="00664A1A"/>
    <w:rsid w:val="00664E08"/>
    <w:rsid w:val="0066538B"/>
    <w:rsid w:val="00667751"/>
    <w:rsid w:val="00670385"/>
    <w:rsid w:val="006722A5"/>
    <w:rsid w:val="0067544C"/>
    <w:rsid w:val="00675EFE"/>
    <w:rsid w:val="006812D9"/>
    <w:rsid w:val="00684C04"/>
    <w:rsid w:val="006854A3"/>
    <w:rsid w:val="00687C1E"/>
    <w:rsid w:val="006926F9"/>
    <w:rsid w:val="0069496A"/>
    <w:rsid w:val="006953CF"/>
    <w:rsid w:val="006A3998"/>
    <w:rsid w:val="006A3BFF"/>
    <w:rsid w:val="006B337C"/>
    <w:rsid w:val="006C6999"/>
    <w:rsid w:val="006D19B1"/>
    <w:rsid w:val="006D1F41"/>
    <w:rsid w:val="006D569A"/>
    <w:rsid w:val="006D5DA3"/>
    <w:rsid w:val="006E0694"/>
    <w:rsid w:val="006F1521"/>
    <w:rsid w:val="006F2322"/>
    <w:rsid w:val="00703BC7"/>
    <w:rsid w:val="00705682"/>
    <w:rsid w:val="00707D87"/>
    <w:rsid w:val="00712C5D"/>
    <w:rsid w:val="0071684F"/>
    <w:rsid w:val="00721E93"/>
    <w:rsid w:val="007230AC"/>
    <w:rsid w:val="00725680"/>
    <w:rsid w:val="0073708D"/>
    <w:rsid w:val="00741284"/>
    <w:rsid w:val="007421F2"/>
    <w:rsid w:val="007578E5"/>
    <w:rsid w:val="00761ED3"/>
    <w:rsid w:val="0076211F"/>
    <w:rsid w:val="007647A5"/>
    <w:rsid w:val="007716A8"/>
    <w:rsid w:val="00777DCD"/>
    <w:rsid w:val="0079518A"/>
    <w:rsid w:val="0079691F"/>
    <w:rsid w:val="007A30F9"/>
    <w:rsid w:val="007B21AF"/>
    <w:rsid w:val="007B4945"/>
    <w:rsid w:val="007B49B9"/>
    <w:rsid w:val="007B53AF"/>
    <w:rsid w:val="007B5818"/>
    <w:rsid w:val="007B6383"/>
    <w:rsid w:val="007B7308"/>
    <w:rsid w:val="007C2AFC"/>
    <w:rsid w:val="007C540B"/>
    <w:rsid w:val="007C7313"/>
    <w:rsid w:val="007D2262"/>
    <w:rsid w:val="007D354D"/>
    <w:rsid w:val="007D6D1B"/>
    <w:rsid w:val="007E126F"/>
    <w:rsid w:val="007E3547"/>
    <w:rsid w:val="007F2AC0"/>
    <w:rsid w:val="007F3B50"/>
    <w:rsid w:val="007F47A4"/>
    <w:rsid w:val="007F647E"/>
    <w:rsid w:val="007F754C"/>
    <w:rsid w:val="00800003"/>
    <w:rsid w:val="00802374"/>
    <w:rsid w:val="008047A7"/>
    <w:rsid w:val="008065B2"/>
    <w:rsid w:val="00814B3B"/>
    <w:rsid w:val="00825D00"/>
    <w:rsid w:val="00832023"/>
    <w:rsid w:val="00832DB4"/>
    <w:rsid w:val="008330E8"/>
    <w:rsid w:val="0083325D"/>
    <w:rsid w:val="008511D1"/>
    <w:rsid w:val="00854BCC"/>
    <w:rsid w:val="00873843"/>
    <w:rsid w:val="0087760F"/>
    <w:rsid w:val="00880100"/>
    <w:rsid w:val="00881C73"/>
    <w:rsid w:val="00882059"/>
    <w:rsid w:val="0088307C"/>
    <w:rsid w:val="00883474"/>
    <w:rsid w:val="00884874"/>
    <w:rsid w:val="00891457"/>
    <w:rsid w:val="008B0C22"/>
    <w:rsid w:val="008B25CF"/>
    <w:rsid w:val="008B3507"/>
    <w:rsid w:val="008B3F62"/>
    <w:rsid w:val="008B4993"/>
    <w:rsid w:val="008B7D7A"/>
    <w:rsid w:val="008C28C6"/>
    <w:rsid w:val="008C45E4"/>
    <w:rsid w:val="008D0479"/>
    <w:rsid w:val="008D3330"/>
    <w:rsid w:val="008D6921"/>
    <w:rsid w:val="008E05F4"/>
    <w:rsid w:val="008E0F5A"/>
    <w:rsid w:val="008E10B5"/>
    <w:rsid w:val="008E48FF"/>
    <w:rsid w:val="008E61CA"/>
    <w:rsid w:val="008F0F7F"/>
    <w:rsid w:val="008F3D51"/>
    <w:rsid w:val="00905A58"/>
    <w:rsid w:val="009115D9"/>
    <w:rsid w:val="00915428"/>
    <w:rsid w:val="00915745"/>
    <w:rsid w:val="00917922"/>
    <w:rsid w:val="009200C2"/>
    <w:rsid w:val="009204F2"/>
    <w:rsid w:val="009204F4"/>
    <w:rsid w:val="0092115B"/>
    <w:rsid w:val="0092214B"/>
    <w:rsid w:val="00923066"/>
    <w:rsid w:val="00931E0C"/>
    <w:rsid w:val="009348A3"/>
    <w:rsid w:val="00936448"/>
    <w:rsid w:val="00944405"/>
    <w:rsid w:val="00945DCF"/>
    <w:rsid w:val="00950444"/>
    <w:rsid w:val="00956543"/>
    <w:rsid w:val="009605DC"/>
    <w:rsid w:val="00960904"/>
    <w:rsid w:val="009635C8"/>
    <w:rsid w:val="00963DD8"/>
    <w:rsid w:val="00965376"/>
    <w:rsid w:val="00970592"/>
    <w:rsid w:val="009741F6"/>
    <w:rsid w:val="00974E77"/>
    <w:rsid w:val="009774E0"/>
    <w:rsid w:val="00982437"/>
    <w:rsid w:val="00982BE9"/>
    <w:rsid w:val="0098570D"/>
    <w:rsid w:val="00987DEB"/>
    <w:rsid w:val="00992E06"/>
    <w:rsid w:val="00997DAF"/>
    <w:rsid w:val="009A4ACB"/>
    <w:rsid w:val="009A5089"/>
    <w:rsid w:val="009C3329"/>
    <w:rsid w:val="009C7F23"/>
    <w:rsid w:val="009D2245"/>
    <w:rsid w:val="009D6D96"/>
    <w:rsid w:val="009D78EE"/>
    <w:rsid w:val="009E014C"/>
    <w:rsid w:val="009E01B8"/>
    <w:rsid w:val="009E1FA5"/>
    <w:rsid w:val="009F07D2"/>
    <w:rsid w:val="009F4245"/>
    <w:rsid w:val="009F63C5"/>
    <w:rsid w:val="00A00883"/>
    <w:rsid w:val="00A13C3F"/>
    <w:rsid w:val="00A13EE9"/>
    <w:rsid w:val="00A14F2C"/>
    <w:rsid w:val="00A41C78"/>
    <w:rsid w:val="00A45521"/>
    <w:rsid w:val="00A50B81"/>
    <w:rsid w:val="00A60AED"/>
    <w:rsid w:val="00A617AB"/>
    <w:rsid w:val="00A6259A"/>
    <w:rsid w:val="00A67AF2"/>
    <w:rsid w:val="00A730EF"/>
    <w:rsid w:val="00A801B1"/>
    <w:rsid w:val="00A81FA7"/>
    <w:rsid w:val="00A823A7"/>
    <w:rsid w:val="00A92945"/>
    <w:rsid w:val="00A92CDE"/>
    <w:rsid w:val="00A96730"/>
    <w:rsid w:val="00A97741"/>
    <w:rsid w:val="00AA082C"/>
    <w:rsid w:val="00AA3C75"/>
    <w:rsid w:val="00AA5300"/>
    <w:rsid w:val="00AA655F"/>
    <w:rsid w:val="00AA672C"/>
    <w:rsid w:val="00AC247A"/>
    <w:rsid w:val="00AD5F77"/>
    <w:rsid w:val="00AE221B"/>
    <w:rsid w:val="00AE33C1"/>
    <w:rsid w:val="00B01901"/>
    <w:rsid w:val="00B02E84"/>
    <w:rsid w:val="00B04322"/>
    <w:rsid w:val="00B112E8"/>
    <w:rsid w:val="00B14C62"/>
    <w:rsid w:val="00B1730D"/>
    <w:rsid w:val="00B178FE"/>
    <w:rsid w:val="00B2084C"/>
    <w:rsid w:val="00B219EE"/>
    <w:rsid w:val="00B23938"/>
    <w:rsid w:val="00B32B91"/>
    <w:rsid w:val="00B37F3D"/>
    <w:rsid w:val="00B42993"/>
    <w:rsid w:val="00B46F4F"/>
    <w:rsid w:val="00B47137"/>
    <w:rsid w:val="00B5188F"/>
    <w:rsid w:val="00B527DF"/>
    <w:rsid w:val="00B55087"/>
    <w:rsid w:val="00B62A14"/>
    <w:rsid w:val="00B6420A"/>
    <w:rsid w:val="00B740A0"/>
    <w:rsid w:val="00B745E6"/>
    <w:rsid w:val="00B753AC"/>
    <w:rsid w:val="00B75954"/>
    <w:rsid w:val="00B8038B"/>
    <w:rsid w:val="00B8388F"/>
    <w:rsid w:val="00B8649A"/>
    <w:rsid w:val="00B87440"/>
    <w:rsid w:val="00B94230"/>
    <w:rsid w:val="00B973A4"/>
    <w:rsid w:val="00B977D4"/>
    <w:rsid w:val="00BA56C1"/>
    <w:rsid w:val="00BA588E"/>
    <w:rsid w:val="00BB0A56"/>
    <w:rsid w:val="00BB569C"/>
    <w:rsid w:val="00BC245E"/>
    <w:rsid w:val="00BC297A"/>
    <w:rsid w:val="00BC2FCF"/>
    <w:rsid w:val="00BC450B"/>
    <w:rsid w:val="00BC46AA"/>
    <w:rsid w:val="00BD0528"/>
    <w:rsid w:val="00BD084E"/>
    <w:rsid w:val="00BD368D"/>
    <w:rsid w:val="00BD4ADA"/>
    <w:rsid w:val="00BD63E9"/>
    <w:rsid w:val="00BD6AF5"/>
    <w:rsid w:val="00BE49E8"/>
    <w:rsid w:val="00BE586E"/>
    <w:rsid w:val="00BE6209"/>
    <w:rsid w:val="00BF1DBE"/>
    <w:rsid w:val="00BF37E2"/>
    <w:rsid w:val="00C00B1E"/>
    <w:rsid w:val="00C017EB"/>
    <w:rsid w:val="00C03872"/>
    <w:rsid w:val="00C051C5"/>
    <w:rsid w:val="00C16C63"/>
    <w:rsid w:val="00C179D5"/>
    <w:rsid w:val="00C2103E"/>
    <w:rsid w:val="00C24512"/>
    <w:rsid w:val="00C31926"/>
    <w:rsid w:val="00C32F23"/>
    <w:rsid w:val="00C41D72"/>
    <w:rsid w:val="00C50D25"/>
    <w:rsid w:val="00C56CDC"/>
    <w:rsid w:val="00C64EE4"/>
    <w:rsid w:val="00C6581F"/>
    <w:rsid w:val="00C71247"/>
    <w:rsid w:val="00C7412D"/>
    <w:rsid w:val="00C8149F"/>
    <w:rsid w:val="00C81836"/>
    <w:rsid w:val="00C85D9E"/>
    <w:rsid w:val="00C87ABE"/>
    <w:rsid w:val="00C90FC7"/>
    <w:rsid w:val="00C96552"/>
    <w:rsid w:val="00CA26F3"/>
    <w:rsid w:val="00CA3B3F"/>
    <w:rsid w:val="00CA5A6D"/>
    <w:rsid w:val="00CB0AA1"/>
    <w:rsid w:val="00CC4157"/>
    <w:rsid w:val="00CC46EA"/>
    <w:rsid w:val="00CD06B8"/>
    <w:rsid w:val="00CD0F7A"/>
    <w:rsid w:val="00CD2AD8"/>
    <w:rsid w:val="00D00D91"/>
    <w:rsid w:val="00D034FA"/>
    <w:rsid w:val="00D07FB9"/>
    <w:rsid w:val="00D11EE3"/>
    <w:rsid w:val="00D129C0"/>
    <w:rsid w:val="00D16BEE"/>
    <w:rsid w:val="00D267B6"/>
    <w:rsid w:val="00D32508"/>
    <w:rsid w:val="00D34176"/>
    <w:rsid w:val="00D35739"/>
    <w:rsid w:val="00D37708"/>
    <w:rsid w:val="00D468F8"/>
    <w:rsid w:val="00D50CEA"/>
    <w:rsid w:val="00D611BE"/>
    <w:rsid w:val="00D63E9B"/>
    <w:rsid w:val="00D649AF"/>
    <w:rsid w:val="00D7477E"/>
    <w:rsid w:val="00D864E2"/>
    <w:rsid w:val="00D907E8"/>
    <w:rsid w:val="00D91A2E"/>
    <w:rsid w:val="00D974DF"/>
    <w:rsid w:val="00DA24EB"/>
    <w:rsid w:val="00DA5A68"/>
    <w:rsid w:val="00DA6472"/>
    <w:rsid w:val="00DB0457"/>
    <w:rsid w:val="00DB09C5"/>
    <w:rsid w:val="00DB5BF6"/>
    <w:rsid w:val="00DB6BDD"/>
    <w:rsid w:val="00DB7847"/>
    <w:rsid w:val="00DC1FA0"/>
    <w:rsid w:val="00DC4285"/>
    <w:rsid w:val="00DC76BB"/>
    <w:rsid w:val="00DD01C1"/>
    <w:rsid w:val="00DD17A3"/>
    <w:rsid w:val="00DD47CA"/>
    <w:rsid w:val="00DE5289"/>
    <w:rsid w:val="00DE5EA6"/>
    <w:rsid w:val="00DF2389"/>
    <w:rsid w:val="00DF2703"/>
    <w:rsid w:val="00DF4974"/>
    <w:rsid w:val="00E004E1"/>
    <w:rsid w:val="00E02FDE"/>
    <w:rsid w:val="00E0511A"/>
    <w:rsid w:val="00E255A0"/>
    <w:rsid w:val="00E27F52"/>
    <w:rsid w:val="00E354C0"/>
    <w:rsid w:val="00E36970"/>
    <w:rsid w:val="00E42EA4"/>
    <w:rsid w:val="00E432A9"/>
    <w:rsid w:val="00E4337D"/>
    <w:rsid w:val="00E45E4D"/>
    <w:rsid w:val="00E472DA"/>
    <w:rsid w:val="00E5254C"/>
    <w:rsid w:val="00E5400F"/>
    <w:rsid w:val="00E62203"/>
    <w:rsid w:val="00E63B67"/>
    <w:rsid w:val="00E828F5"/>
    <w:rsid w:val="00E82E69"/>
    <w:rsid w:val="00E94201"/>
    <w:rsid w:val="00E95F62"/>
    <w:rsid w:val="00EA2454"/>
    <w:rsid w:val="00EA24E2"/>
    <w:rsid w:val="00EB021D"/>
    <w:rsid w:val="00EB14C3"/>
    <w:rsid w:val="00EC33E6"/>
    <w:rsid w:val="00EC4FA2"/>
    <w:rsid w:val="00EC53C5"/>
    <w:rsid w:val="00EC5D00"/>
    <w:rsid w:val="00ED050B"/>
    <w:rsid w:val="00ED11A0"/>
    <w:rsid w:val="00ED1D8B"/>
    <w:rsid w:val="00ED5C1F"/>
    <w:rsid w:val="00EE1723"/>
    <w:rsid w:val="00EE430E"/>
    <w:rsid w:val="00EE574B"/>
    <w:rsid w:val="00EE73F0"/>
    <w:rsid w:val="00EE7763"/>
    <w:rsid w:val="00EF1CA1"/>
    <w:rsid w:val="00EF5ED1"/>
    <w:rsid w:val="00F00D0B"/>
    <w:rsid w:val="00F016F7"/>
    <w:rsid w:val="00F02C95"/>
    <w:rsid w:val="00F02D38"/>
    <w:rsid w:val="00F06F4B"/>
    <w:rsid w:val="00F13907"/>
    <w:rsid w:val="00F220D7"/>
    <w:rsid w:val="00F22306"/>
    <w:rsid w:val="00F24F7A"/>
    <w:rsid w:val="00F34231"/>
    <w:rsid w:val="00F41BB4"/>
    <w:rsid w:val="00F4232F"/>
    <w:rsid w:val="00F4268B"/>
    <w:rsid w:val="00F45215"/>
    <w:rsid w:val="00F51B9B"/>
    <w:rsid w:val="00F56F16"/>
    <w:rsid w:val="00F57C15"/>
    <w:rsid w:val="00F64814"/>
    <w:rsid w:val="00F66966"/>
    <w:rsid w:val="00F71D95"/>
    <w:rsid w:val="00F77823"/>
    <w:rsid w:val="00F80FD4"/>
    <w:rsid w:val="00F833DB"/>
    <w:rsid w:val="00F8442D"/>
    <w:rsid w:val="00F87490"/>
    <w:rsid w:val="00F93087"/>
    <w:rsid w:val="00F939F5"/>
    <w:rsid w:val="00FA2774"/>
    <w:rsid w:val="00FA3E00"/>
    <w:rsid w:val="00FA678E"/>
    <w:rsid w:val="00FB0F3F"/>
    <w:rsid w:val="00FB195C"/>
    <w:rsid w:val="00FB41F8"/>
    <w:rsid w:val="00FC1830"/>
    <w:rsid w:val="00FD0A2F"/>
    <w:rsid w:val="00FD38DA"/>
    <w:rsid w:val="00FD45BA"/>
    <w:rsid w:val="00FE27BB"/>
    <w:rsid w:val="00FE41FF"/>
    <w:rsid w:val="00FE4982"/>
    <w:rsid w:val="00FE55BA"/>
    <w:rsid w:val="00FF3F57"/>
    <w:rsid w:val="00FF71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paragraph" w:styleId="ListParagraph">
    <w:name w:val="List Paragraph"/>
    <w:basedOn w:val="Normal"/>
    <w:uiPriority w:val="34"/>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fr-FR" w:eastAsia="en-US"/>
    </w:rPr>
  </w:style>
  <w:style w:type="paragraph" w:styleId="CommentSubject">
    <w:name w:val="annotation subject"/>
    <w:basedOn w:val="CommentText"/>
    <w:next w:val="CommentText"/>
    <w:link w:val="CommentSubjectChar"/>
    <w:rsid w:val="0092214B"/>
    <w:rPr>
      <w:b/>
      <w:bCs/>
    </w:rPr>
  </w:style>
  <w:style w:type="character" w:customStyle="1" w:styleId="CommentSubjectChar">
    <w:name w:val="Comment Subject Char"/>
    <w:basedOn w:val="CommentTextChar"/>
    <w:link w:val="CommentSubject"/>
    <w:rsid w:val="0092214B"/>
    <w:rPr>
      <w:b/>
      <w:bCs/>
      <w:lang w:val="fr-FR" w:eastAsia="en-US"/>
    </w:rPr>
  </w:style>
  <w:style w:type="character" w:customStyle="1" w:styleId="FooterChar">
    <w:name w:val="Footer Char"/>
    <w:basedOn w:val="DefaultParagraphFont"/>
    <w:link w:val="Footer"/>
    <w:uiPriority w:val="99"/>
    <w:rsid w:val="001605DF"/>
    <w:rPr>
      <w:szCs w:val="24"/>
      <w:lang w:val="fr-FR"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rsid w:val="00905A58"/>
    <w:rPr>
      <w:sz w:val="24"/>
      <w:szCs w:val="24"/>
      <w:lang w:val="fr-FR" w:eastAsia="es-ES"/>
    </w:rPr>
  </w:style>
  <w:style w:type="paragraph" w:styleId="FootnoteText">
    <w:name w:val="footnote text"/>
    <w:basedOn w:val="Normal"/>
    <w:link w:val="FootnoteTextChar1"/>
    <w:unhideWhenUsed/>
    <w:rsid w:val="00457A4D"/>
    <w:rPr>
      <w:sz w:val="20"/>
      <w:szCs w:val="20"/>
      <w:lang w:val="en-US"/>
    </w:rPr>
  </w:style>
  <w:style w:type="character" w:customStyle="1" w:styleId="FootnoteTextChar">
    <w:name w:val="Footnote Text Char"/>
    <w:basedOn w:val="DefaultParagraphFont"/>
    <w:semiHidden/>
    <w:rsid w:val="00457A4D"/>
    <w:rPr>
      <w:lang w:eastAsia="en-US"/>
    </w:rPr>
  </w:style>
  <w:style w:type="character" w:customStyle="1" w:styleId="FootnoteTextChar1">
    <w:name w:val="Footnote Text Char1"/>
    <w:basedOn w:val="DefaultParagraphFont"/>
    <w:link w:val="FootnoteText"/>
    <w:uiPriority w:val="99"/>
    <w:rsid w:val="00457A4D"/>
    <w:rPr>
      <w:lang w:val="en-US" w:eastAsia="en-US"/>
    </w:rPr>
  </w:style>
  <w:style w:type="character" w:styleId="FootnoteReference">
    <w:name w:val="footnote reference"/>
    <w:basedOn w:val="DefaultParagraphFont"/>
    <w:unhideWhenUsed/>
    <w:rsid w:val="00457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EF32-8363-421D-B64F-85487DC1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1960</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Dorothee Pinet</cp:lastModifiedBy>
  <cp:revision>44</cp:revision>
  <cp:lastPrinted>2020-12-16T09:41:00Z</cp:lastPrinted>
  <dcterms:created xsi:type="dcterms:W3CDTF">2021-04-22T10:35:00Z</dcterms:created>
  <dcterms:modified xsi:type="dcterms:W3CDTF">2021-12-16T10:39:00Z</dcterms:modified>
</cp:coreProperties>
</file>