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3D83" w14:textId="43D482CA" w:rsidR="00803476" w:rsidRPr="004516BA" w:rsidRDefault="00803476" w:rsidP="00803476">
      <w:pPr>
        <w:widowControl w:val="0"/>
        <w:pBdr>
          <w:top w:val="double" w:sz="4" w:space="1" w:color="auto"/>
          <w:left w:val="double" w:sz="4" w:space="4" w:color="auto"/>
          <w:bottom w:val="double" w:sz="4" w:space="1" w:color="auto"/>
          <w:right w:val="double" w:sz="4" w:space="4" w:color="auto"/>
          <w:between w:val="none" w:sz="0" w:space="0" w:color="auto"/>
        </w:pBdr>
        <w:spacing w:after="0" w:line="240" w:lineRule="auto"/>
        <w:ind w:left="8080" w:hanging="8080"/>
        <w:jc w:val="center"/>
        <w:rPr>
          <w:rFonts w:ascii="Cambria" w:eastAsia="Times New Roman" w:hAnsi="Cambria" w:cs="Times New Roman"/>
          <w:b/>
          <w:iCs/>
          <w:sz w:val="20"/>
          <w:szCs w:val="20"/>
          <w:lang w:bidi="fr-FR"/>
        </w:rPr>
      </w:pPr>
      <w:bookmarkStart w:id="0" w:name="_Hlk87860950"/>
      <w:r w:rsidRPr="004516BA">
        <w:rPr>
          <w:rFonts w:ascii="Cambria" w:eastAsia="Times New Roman" w:hAnsi="Cambria" w:cs="Times New Roman"/>
          <w:b/>
          <w:iCs/>
          <w:sz w:val="20"/>
          <w:szCs w:val="20"/>
          <w:lang w:bidi="fr-FR"/>
        </w:rPr>
        <w:t>21-</w:t>
      </w:r>
      <w:r w:rsidR="00B43CF8" w:rsidRPr="004516BA">
        <w:rPr>
          <w:rFonts w:ascii="Cambria" w:eastAsia="Times New Roman" w:hAnsi="Cambria" w:cs="Times New Roman"/>
          <w:b/>
          <w:iCs/>
          <w:sz w:val="20"/>
          <w:szCs w:val="20"/>
          <w:lang w:bidi="fr-FR"/>
        </w:rPr>
        <w:t>13</w:t>
      </w:r>
      <w:r w:rsidRPr="004516BA">
        <w:rPr>
          <w:rFonts w:ascii="Cambria" w:eastAsia="Times New Roman" w:hAnsi="Cambria" w:cs="Times New Roman"/>
          <w:b/>
          <w:iCs/>
          <w:sz w:val="20"/>
          <w:szCs w:val="20"/>
          <w:lang w:bidi="fr-FR"/>
        </w:rPr>
        <w:tab/>
      </w:r>
      <w:r w:rsidR="00B43CF8" w:rsidRPr="004516BA">
        <w:rPr>
          <w:rFonts w:ascii="Cambria" w:eastAsia="Times New Roman" w:hAnsi="Cambria" w:cs="Times New Roman"/>
          <w:b/>
          <w:iCs/>
          <w:sz w:val="20"/>
          <w:szCs w:val="20"/>
          <w:lang w:bidi="fr-FR"/>
        </w:rPr>
        <w:t>GEN</w:t>
      </w:r>
    </w:p>
    <w:p w14:paraId="5E33E6DC" w14:textId="77777777" w:rsidR="00803476" w:rsidRPr="004516BA" w:rsidRDefault="00803476" w:rsidP="00803476">
      <w:pPr>
        <w:widowControl w:val="0"/>
        <w:pBdr>
          <w:top w:val="double" w:sz="4" w:space="1" w:color="auto"/>
          <w:left w:val="double" w:sz="4" w:space="4" w:color="auto"/>
          <w:bottom w:val="double" w:sz="4" w:space="1" w:color="auto"/>
          <w:right w:val="double" w:sz="4" w:space="4" w:color="auto"/>
          <w:between w:val="none" w:sz="0" w:space="0" w:color="auto"/>
        </w:pBdr>
        <w:spacing w:after="0" w:line="240" w:lineRule="auto"/>
        <w:jc w:val="center"/>
        <w:rPr>
          <w:rFonts w:ascii="Cambria" w:eastAsia="Times New Roman" w:hAnsi="Cambria" w:cs="Times New Roman"/>
          <w:b/>
          <w:iCs/>
          <w:sz w:val="20"/>
          <w:szCs w:val="20"/>
          <w:lang w:bidi="fr-FR"/>
        </w:rPr>
      </w:pPr>
    </w:p>
    <w:p w14:paraId="2972FC32" w14:textId="48DACA8B" w:rsidR="00803476" w:rsidRPr="004516BA" w:rsidRDefault="00DD1025" w:rsidP="00803476">
      <w:pPr>
        <w:widowControl w:val="0"/>
        <w:pBdr>
          <w:top w:val="double" w:sz="4" w:space="1" w:color="auto"/>
          <w:left w:val="double" w:sz="4" w:space="4" w:color="auto"/>
          <w:bottom w:val="double" w:sz="4" w:space="1" w:color="auto"/>
          <w:right w:val="double" w:sz="4" w:space="4" w:color="auto"/>
          <w:between w:val="none" w:sz="0" w:space="0" w:color="auto"/>
        </w:pBdr>
        <w:spacing w:after="0" w:line="240" w:lineRule="auto"/>
        <w:jc w:val="center"/>
        <w:rPr>
          <w:rFonts w:ascii="Cambria" w:eastAsia="Times New Roman" w:hAnsi="Cambria"/>
          <w:b/>
          <w:bCs/>
          <w:color w:val="auto"/>
          <w:sz w:val="20"/>
        </w:rPr>
      </w:pPr>
      <w:r w:rsidRPr="004516BA">
        <w:rPr>
          <w:rFonts w:ascii="Cambria" w:eastAsia="Times New Roman" w:hAnsi="Cambria"/>
          <w:b/>
          <w:bCs/>
          <w:color w:val="auto"/>
          <w:sz w:val="20"/>
        </w:rPr>
        <w:t>RECOMMANDATION DE L’ICCAT AMENDANT LA RECOMMANDATION 18-08 ÉTABLISSANT UNE LISTE DE NAVIRES PRÉSUMÉS AVOIR EXERCÉ DES ACTIVITÉS DE PÊCHE ILLICITES, NON DECLARÉES ET NON REGLEMENTÉES</w:t>
      </w:r>
    </w:p>
    <w:p w14:paraId="5C57AF0F" w14:textId="77777777" w:rsidR="00DD1025" w:rsidRPr="004516BA" w:rsidRDefault="00DD1025" w:rsidP="00803476">
      <w:pPr>
        <w:widowControl w:val="0"/>
        <w:pBdr>
          <w:top w:val="double" w:sz="4" w:space="1" w:color="auto"/>
          <w:left w:val="double" w:sz="4" w:space="4" w:color="auto"/>
          <w:bottom w:val="double" w:sz="4" w:space="1" w:color="auto"/>
          <w:right w:val="double" w:sz="4" w:space="4" w:color="auto"/>
          <w:between w:val="none" w:sz="0" w:space="0" w:color="auto"/>
        </w:pBdr>
        <w:spacing w:after="0" w:line="240" w:lineRule="auto"/>
        <w:jc w:val="center"/>
        <w:rPr>
          <w:rFonts w:ascii="Cambria" w:hAnsi="Cambria"/>
          <w:b/>
          <w:i/>
          <w:iCs/>
          <w:sz w:val="20"/>
          <w:szCs w:val="20"/>
        </w:rPr>
      </w:pPr>
    </w:p>
    <w:p w14:paraId="04C84C38" w14:textId="77777777" w:rsidR="002D4C59" w:rsidRPr="004516BA" w:rsidRDefault="002D4C59" w:rsidP="002D4C59">
      <w:pPr>
        <w:pStyle w:val="NoSpacing"/>
        <w:jc w:val="center"/>
        <w:rPr>
          <w:rFonts w:ascii="Cambria" w:hAnsi="Cambria"/>
          <w:i/>
          <w:iCs/>
          <w:sz w:val="20"/>
          <w:szCs w:val="20"/>
        </w:rPr>
      </w:pPr>
    </w:p>
    <w:bookmarkEnd w:id="0"/>
    <w:p w14:paraId="0405482C"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59AE6107" w14:textId="77777777"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RAPPELANT</w:t>
      </w:r>
      <w:r w:rsidRPr="004516BA">
        <w:rPr>
          <w:rFonts w:ascii="Cambria" w:eastAsia="Times New Roman" w:hAnsi="Cambria" w:cs="Times New Roman"/>
          <w:sz w:val="20"/>
          <w:szCs w:val="20"/>
        </w:rPr>
        <w:t xml:space="preserve"> que le Conseil de la FAO a adopté, le 23 juin 2001, un Plan d'action international visant à prévenir, à contrecarrer et à éliminer la pêche illicite, non déclarée et non réglementée (IPOA-IUU). Ce Plan prévoit que l'identification des navires exerçant des activités IUU devrait suivre des procédures convenues et avoir lieu de manière équitable, transparente et non discriminatoire ;</w:t>
      </w:r>
    </w:p>
    <w:p w14:paraId="11CD275B" w14:textId="77777777" w:rsidR="002D4C59" w:rsidRPr="004516BA" w:rsidRDefault="002D4C59" w:rsidP="00A33277">
      <w:pPr>
        <w:widowControl w:val="0"/>
        <w:spacing w:after="0" w:line="240" w:lineRule="auto"/>
        <w:ind w:firstLine="426"/>
        <w:rPr>
          <w:rFonts w:ascii="Cambria" w:eastAsia="Times New Roman" w:hAnsi="Cambria" w:cs="Times New Roman"/>
          <w:sz w:val="20"/>
          <w:szCs w:val="20"/>
        </w:rPr>
      </w:pPr>
    </w:p>
    <w:p w14:paraId="066B916C" w14:textId="7721FA15"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PRÉOCCUPÉE</w:t>
      </w:r>
      <w:r w:rsidRPr="004516BA">
        <w:rPr>
          <w:rFonts w:ascii="Cambria" w:eastAsia="Times New Roman" w:hAnsi="Cambria" w:cs="Times New Roman"/>
          <w:sz w:val="20"/>
          <w:szCs w:val="20"/>
        </w:rPr>
        <w:t xml:space="preserve"> par le fait que les activités de pêche IUU dans la zone de </w:t>
      </w:r>
      <w:r w:rsidR="00770B92" w:rsidRPr="004516BA">
        <w:rPr>
          <w:rFonts w:ascii="Cambria" w:eastAsia="Times New Roman" w:hAnsi="Cambria" w:cs="Times New Roman"/>
          <w:sz w:val="20"/>
          <w:szCs w:val="20"/>
        </w:rPr>
        <w:t xml:space="preserve">la Convention de </w:t>
      </w:r>
      <w:r w:rsidRPr="004516BA">
        <w:rPr>
          <w:rFonts w:ascii="Cambria" w:eastAsia="Times New Roman" w:hAnsi="Cambria" w:cs="Times New Roman"/>
          <w:sz w:val="20"/>
          <w:szCs w:val="20"/>
        </w:rPr>
        <w:t>l’ICCAT se poursuivent, et que ces activités nuisent à l'efficacité des mesures de conservation et de gestion de l'ICCAT ;</w:t>
      </w:r>
    </w:p>
    <w:p w14:paraId="67B69B06" w14:textId="77777777" w:rsidR="002D4C59" w:rsidRPr="004516BA" w:rsidRDefault="002D4C59" w:rsidP="00A33277">
      <w:pPr>
        <w:widowControl w:val="0"/>
        <w:spacing w:after="0" w:line="240" w:lineRule="auto"/>
        <w:ind w:firstLine="426"/>
        <w:rPr>
          <w:rFonts w:ascii="Cambria" w:eastAsia="Times New Roman" w:hAnsi="Cambria" w:cs="Times New Roman"/>
          <w:sz w:val="20"/>
          <w:szCs w:val="20"/>
        </w:rPr>
      </w:pPr>
    </w:p>
    <w:p w14:paraId="63661742" w14:textId="77777777"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PRÉOCCUPÉE</w:t>
      </w:r>
      <w:r w:rsidRPr="004516BA">
        <w:rPr>
          <w:rFonts w:ascii="Cambria" w:eastAsia="Times New Roman" w:hAnsi="Cambria" w:cs="Times New Roman"/>
          <w:sz w:val="20"/>
          <w:szCs w:val="20"/>
        </w:rPr>
        <w:t xml:space="preserve"> </w:t>
      </w:r>
      <w:r w:rsidRPr="004516BA">
        <w:rPr>
          <w:rFonts w:ascii="Cambria" w:eastAsia="Times New Roman" w:hAnsi="Cambria" w:cs="Times New Roman"/>
          <w:i/>
          <w:sz w:val="20"/>
          <w:szCs w:val="20"/>
        </w:rPr>
        <w:t>EN OUTRE</w:t>
      </w:r>
      <w:r w:rsidRPr="004516BA">
        <w:rPr>
          <w:rFonts w:ascii="Cambria" w:eastAsia="Times New Roman" w:hAnsi="Cambria" w:cs="Times New Roman"/>
          <w:sz w:val="20"/>
          <w:szCs w:val="20"/>
        </w:rPr>
        <w:t xml:space="preserve"> par le fait qu'il existe des indices montrant qu'un nombre élevé de propriétaires de bateaux pratiquant ce type d'activité ont changé le pavillon de leurs bateaux afin d'échapper à l'application des mesures de gestion et de conservation de l'ICCAT, et d'éluder les mesures commerciales non discriminatoires adoptées par l'ICCAT ;</w:t>
      </w:r>
    </w:p>
    <w:p w14:paraId="5E973643" w14:textId="77777777" w:rsidR="002D4C59" w:rsidRPr="004516BA" w:rsidRDefault="002D4C59" w:rsidP="00A33277">
      <w:pPr>
        <w:widowControl w:val="0"/>
        <w:spacing w:after="0" w:line="240" w:lineRule="auto"/>
        <w:ind w:firstLine="426"/>
        <w:rPr>
          <w:rFonts w:ascii="Cambria" w:eastAsia="Times New Roman" w:hAnsi="Cambria" w:cs="Times New Roman"/>
          <w:sz w:val="20"/>
          <w:szCs w:val="20"/>
        </w:rPr>
      </w:pPr>
    </w:p>
    <w:p w14:paraId="6A0988C5" w14:textId="77777777"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DÉCIDÉE</w:t>
      </w:r>
      <w:r w:rsidRPr="004516BA">
        <w:rPr>
          <w:rFonts w:ascii="Cambria" w:eastAsia="Times New Roman" w:hAnsi="Cambria" w:cs="Times New Roman"/>
          <w:sz w:val="20"/>
          <w:szCs w:val="20"/>
        </w:rPr>
        <w:t xml:space="preserve"> à relever le défi que représente l’augmentation des activités de pêche IUU en appliquant des contre-mesures aux navires, sans préjudice des autres mesures adoptées en ce qui concerne les États de pavillon, conformément aux instruments pertinents de l’ICCAT ;</w:t>
      </w:r>
    </w:p>
    <w:p w14:paraId="0AD0E501" w14:textId="77777777" w:rsidR="002D4C59" w:rsidRPr="004516BA" w:rsidRDefault="002D4C59" w:rsidP="00A33277">
      <w:pPr>
        <w:widowControl w:val="0"/>
        <w:spacing w:after="0" w:line="240" w:lineRule="auto"/>
        <w:ind w:firstLine="426"/>
        <w:rPr>
          <w:rFonts w:ascii="Cambria" w:eastAsia="Times New Roman" w:hAnsi="Cambria" w:cs="Times New Roman"/>
          <w:sz w:val="20"/>
          <w:szCs w:val="20"/>
        </w:rPr>
      </w:pPr>
    </w:p>
    <w:p w14:paraId="0AEE1F5F" w14:textId="4B4E3E87"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CONSIDÉRANT</w:t>
      </w:r>
      <w:r w:rsidRPr="004516BA">
        <w:rPr>
          <w:rFonts w:ascii="Cambria" w:eastAsia="Times New Roman" w:hAnsi="Cambria" w:cs="Times New Roman"/>
          <w:sz w:val="20"/>
          <w:szCs w:val="20"/>
        </w:rPr>
        <w:t xml:space="preserve"> les résultats du Groupe de travail </w:t>
      </w:r>
      <w:r w:rsidRPr="004516BA">
        <w:rPr>
          <w:rFonts w:ascii="Cambria" w:eastAsia="Times New Roman" w:hAnsi="Cambria" w:cs="Times New Roman"/>
          <w:i/>
          <w:sz w:val="20"/>
          <w:szCs w:val="20"/>
        </w:rPr>
        <w:t>ad hoc</w:t>
      </w:r>
      <w:r w:rsidRPr="004516BA">
        <w:rPr>
          <w:rFonts w:ascii="Cambria" w:eastAsia="Times New Roman" w:hAnsi="Cambria" w:cs="Times New Roman"/>
          <w:sz w:val="20"/>
          <w:szCs w:val="20"/>
        </w:rPr>
        <w:t xml:space="preserve"> sur les mesures visant à lutter contre la pêche IUU qui s’est tenu à Tokyo </w:t>
      </w:r>
      <w:r w:rsidR="00534908" w:rsidRPr="004516BA">
        <w:rPr>
          <w:rFonts w:ascii="Cambria" w:eastAsia="Times New Roman" w:hAnsi="Cambria" w:cs="Times New Roman"/>
          <w:sz w:val="20"/>
          <w:szCs w:val="20"/>
        </w:rPr>
        <w:t xml:space="preserve">(Japon) </w:t>
      </w:r>
      <w:r w:rsidRPr="004516BA">
        <w:rPr>
          <w:rFonts w:ascii="Cambria" w:eastAsia="Times New Roman" w:hAnsi="Cambria" w:cs="Times New Roman"/>
          <w:sz w:val="20"/>
          <w:szCs w:val="20"/>
        </w:rPr>
        <w:t>du 27 au 31 mai 2002 ;</w:t>
      </w:r>
    </w:p>
    <w:p w14:paraId="6C364857" w14:textId="77777777" w:rsidR="002D4C59" w:rsidRPr="004516BA" w:rsidRDefault="002D4C59" w:rsidP="00A33277">
      <w:pPr>
        <w:widowControl w:val="0"/>
        <w:spacing w:after="0" w:line="240" w:lineRule="auto"/>
        <w:ind w:firstLine="426"/>
        <w:rPr>
          <w:rFonts w:ascii="Cambria" w:eastAsia="Times New Roman" w:hAnsi="Cambria" w:cs="Times New Roman"/>
          <w:sz w:val="20"/>
          <w:szCs w:val="20"/>
        </w:rPr>
      </w:pPr>
    </w:p>
    <w:p w14:paraId="798220B9" w14:textId="77777777" w:rsidR="002D4C59" w:rsidRPr="004516BA" w:rsidRDefault="002D4C59" w:rsidP="00A33277">
      <w:pPr>
        <w:widowControl w:val="0"/>
        <w:spacing w:after="0" w:line="240" w:lineRule="auto"/>
        <w:ind w:right="111" w:firstLine="426"/>
        <w:jc w:val="both"/>
        <w:rPr>
          <w:rFonts w:ascii="Cambria" w:eastAsia="Times New Roman" w:hAnsi="Cambria" w:cs="Times New Roman"/>
          <w:i/>
          <w:sz w:val="20"/>
          <w:szCs w:val="20"/>
        </w:rPr>
      </w:pPr>
      <w:r w:rsidRPr="004516BA">
        <w:rPr>
          <w:rFonts w:ascii="Cambria" w:eastAsia="Times New Roman" w:hAnsi="Cambria" w:cs="Times New Roman"/>
          <w:i/>
          <w:sz w:val="20"/>
          <w:szCs w:val="20"/>
        </w:rPr>
        <w:t>CONSCIENTE</w:t>
      </w:r>
      <w:r w:rsidRPr="004516BA">
        <w:rPr>
          <w:rFonts w:ascii="Cambria" w:eastAsia="Times New Roman" w:hAnsi="Cambria" w:cs="Times New Roman"/>
          <w:sz w:val="20"/>
          <w:szCs w:val="20"/>
        </w:rPr>
        <w:t xml:space="preserve"> de la nécessité impérieuse de traiter la question des grands bateaux de pêche, ainsi que des autres navires qui s’adonnent à des activités de pêche IUU, et à des activités de pêche connexes en appui à la pêche IUU ;</w:t>
      </w:r>
    </w:p>
    <w:p w14:paraId="102E416F" w14:textId="77777777" w:rsidR="002D4C59" w:rsidRPr="004516BA" w:rsidRDefault="002D4C59" w:rsidP="00A33277">
      <w:pPr>
        <w:widowControl w:val="0"/>
        <w:spacing w:after="0" w:line="240" w:lineRule="auto"/>
        <w:ind w:firstLine="426"/>
        <w:rPr>
          <w:rFonts w:ascii="Cambria" w:eastAsia="Times New Roman" w:hAnsi="Cambria" w:cs="Times New Roman"/>
          <w:sz w:val="20"/>
          <w:szCs w:val="20"/>
        </w:rPr>
      </w:pPr>
    </w:p>
    <w:p w14:paraId="59910C46" w14:textId="77777777"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CONSTATANT</w:t>
      </w:r>
      <w:r w:rsidRPr="004516BA">
        <w:rPr>
          <w:rFonts w:ascii="Cambria" w:eastAsia="Times New Roman" w:hAnsi="Cambria" w:cs="Times New Roman"/>
          <w:sz w:val="20"/>
          <w:szCs w:val="20"/>
        </w:rPr>
        <w:t xml:space="preserve"> que la situation doit être abordée à la lumière de tous les instruments de pêcheries internationaux pertinents et conformément aux droits et obligations pertinents établis dans l’Accord de l’Organisation mondiale du commerce (OMC) ;</w:t>
      </w:r>
    </w:p>
    <w:p w14:paraId="2C90C82D" w14:textId="77777777" w:rsidR="002D4C59" w:rsidRPr="004516BA" w:rsidRDefault="002D4C59" w:rsidP="00A33277">
      <w:pPr>
        <w:widowControl w:val="0"/>
        <w:spacing w:after="0" w:line="240" w:lineRule="auto"/>
        <w:ind w:left="118" w:right="110" w:firstLine="426"/>
        <w:jc w:val="both"/>
        <w:rPr>
          <w:rFonts w:ascii="Cambria" w:eastAsia="Times New Roman" w:hAnsi="Cambria" w:cs="Times New Roman"/>
          <w:sz w:val="20"/>
          <w:szCs w:val="20"/>
        </w:rPr>
      </w:pPr>
    </w:p>
    <w:p w14:paraId="495C2BA8" w14:textId="1D6D03F5" w:rsidR="002D4C59" w:rsidRPr="004516BA" w:rsidRDefault="002D4C59" w:rsidP="00A33277">
      <w:pPr>
        <w:widowControl w:val="0"/>
        <w:spacing w:after="0" w:line="240" w:lineRule="auto"/>
        <w:ind w:right="111" w:firstLine="426"/>
        <w:jc w:val="both"/>
        <w:rPr>
          <w:rFonts w:ascii="Cambria" w:eastAsia="Times New Roman" w:hAnsi="Cambria" w:cs="Times New Roman"/>
          <w:sz w:val="20"/>
          <w:szCs w:val="20"/>
        </w:rPr>
      </w:pPr>
      <w:r w:rsidRPr="004516BA">
        <w:rPr>
          <w:rFonts w:ascii="Cambria" w:eastAsia="Times New Roman" w:hAnsi="Cambria" w:cs="Times New Roman"/>
          <w:i/>
          <w:sz w:val="20"/>
          <w:szCs w:val="20"/>
        </w:rPr>
        <w:t>DÉSIRANT</w:t>
      </w:r>
      <w:r w:rsidRPr="004516BA">
        <w:rPr>
          <w:rFonts w:ascii="Cambria" w:eastAsia="Times New Roman" w:hAnsi="Cambria" w:cs="Times New Roman"/>
          <w:sz w:val="20"/>
          <w:szCs w:val="20"/>
        </w:rPr>
        <w:t xml:space="preserve"> simplifier et améliorer les procédures et les exigences d’inscription sur les listes IUU figurant dans les recommandations et résolutions antérieures de l’ICCAT</w:t>
      </w:r>
      <w:r w:rsidR="005539A9" w:rsidRPr="004516BA">
        <w:rPr>
          <w:rFonts w:ascii="Cambria" w:eastAsia="Times New Roman" w:hAnsi="Cambria" w:cs="Times New Roman"/>
          <w:sz w:val="20"/>
          <w:szCs w:val="20"/>
        </w:rPr>
        <w:t> ;</w:t>
      </w:r>
    </w:p>
    <w:p w14:paraId="7003A68B"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57190C85"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7702250D" w14:textId="77777777" w:rsidR="002D4C59" w:rsidRPr="004516BA" w:rsidRDefault="002D4C59" w:rsidP="002D4C59">
      <w:pPr>
        <w:widowControl w:val="0"/>
        <w:spacing w:after="0" w:line="240" w:lineRule="auto"/>
        <w:ind w:right="2"/>
        <w:jc w:val="center"/>
        <w:rPr>
          <w:rFonts w:ascii="Cambria" w:eastAsia="Times New Roman" w:hAnsi="Cambria" w:cs="Times New Roman"/>
          <w:sz w:val="20"/>
          <w:szCs w:val="20"/>
        </w:rPr>
      </w:pPr>
      <w:r w:rsidRPr="004516BA">
        <w:rPr>
          <w:rFonts w:ascii="Cambria" w:eastAsia="Times New Roman" w:hAnsi="Cambria" w:cs="Times New Roman"/>
          <w:sz w:val="20"/>
          <w:szCs w:val="20"/>
        </w:rPr>
        <w:t>LA COMMISSION INTERNATIONALE POUR LA CONSERVATION DES THONIDÉS</w:t>
      </w:r>
    </w:p>
    <w:p w14:paraId="285462A7" w14:textId="77777777" w:rsidR="002D4C59" w:rsidRPr="004516BA" w:rsidRDefault="002D4C59" w:rsidP="002D4C59">
      <w:pPr>
        <w:widowControl w:val="0"/>
        <w:spacing w:after="0" w:line="240" w:lineRule="auto"/>
        <w:ind w:right="2"/>
        <w:jc w:val="center"/>
        <w:rPr>
          <w:rFonts w:ascii="Cambria" w:eastAsia="Times New Roman" w:hAnsi="Cambria" w:cs="Times New Roman"/>
          <w:sz w:val="20"/>
          <w:szCs w:val="20"/>
        </w:rPr>
      </w:pPr>
      <w:r w:rsidRPr="004516BA">
        <w:rPr>
          <w:rFonts w:ascii="Cambria" w:eastAsia="Times New Roman" w:hAnsi="Cambria" w:cs="Times New Roman"/>
          <w:sz w:val="20"/>
          <w:szCs w:val="20"/>
        </w:rPr>
        <w:t>DE L’ATLANTIQUE (ICCAT) RECOMMANDE CE QUI SUIT :</w:t>
      </w:r>
    </w:p>
    <w:p w14:paraId="48596F1E" w14:textId="77777777" w:rsidR="002D4C59" w:rsidRPr="004516BA" w:rsidRDefault="002D4C59" w:rsidP="002D4C59">
      <w:pPr>
        <w:widowControl w:val="0"/>
        <w:spacing w:after="0" w:line="240" w:lineRule="auto"/>
        <w:outlineLvl w:val="0"/>
        <w:rPr>
          <w:rFonts w:ascii="Cambria" w:eastAsia="Times New Roman" w:hAnsi="Cambria" w:cs="Times New Roman"/>
          <w:b/>
          <w:sz w:val="20"/>
          <w:szCs w:val="20"/>
        </w:rPr>
      </w:pPr>
    </w:p>
    <w:p w14:paraId="2A08B28F" w14:textId="77777777" w:rsidR="002D4C59" w:rsidRPr="004516BA" w:rsidRDefault="002D4C59" w:rsidP="002D4C59">
      <w:pPr>
        <w:widowControl w:val="0"/>
        <w:spacing w:after="0" w:line="240" w:lineRule="auto"/>
        <w:outlineLvl w:val="0"/>
        <w:rPr>
          <w:rFonts w:ascii="Cambria" w:eastAsia="Times New Roman" w:hAnsi="Cambria" w:cs="Times New Roman"/>
          <w:b/>
          <w:sz w:val="20"/>
          <w:szCs w:val="20"/>
        </w:rPr>
      </w:pPr>
      <w:r w:rsidRPr="004516BA">
        <w:rPr>
          <w:rFonts w:ascii="Cambria" w:eastAsia="Times New Roman" w:hAnsi="Cambria" w:cs="Times New Roman"/>
          <w:b/>
          <w:sz w:val="20"/>
          <w:szCs w:val="20"/>
        </w:rPr>
        <w:t>Définition des activités IUU</w:t>
      </w:r>
    </w:p>
    <w:p w14:paraId="2AB6D791"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43789152" w14:textId="631058BB" w:rsidR="002D4C59" w:rsidRPr="004516BA" w:rsidRDefault="00585B2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 xml:space="preserve">Aux fins de la présente Recommandation, les navires sont présumés exercer des activités de pêche illicites, non déclarées et non réglementées (IUU) dans la zone de la Convention </w:t>
      </w:r>
      <w:r w:rsidR="005539A9" w:rsidRPr="004516BA">
        <w:rPr>
          <w:rFonts w:ascii="Cambria" w:eastAsia="Times New Roman" w:hAnsi="Cambria" w:cs="Times New Roman"/>
          <w:sz w:val="20"/>
          <w:szCs w:val="20"/>
        </w:rPr>
        <w:t>de l’</w:t>
      </w:r>
      <w:r w:rsidR="002D4C59" w:rsidRPr="004516BA">
        <w:rPr>
          <w:rFonts w:ascii="Cambria" w:eastAsia="Times New Roman" w:hAnsi="Cambria" w:cs="Times New Roman"/>
          <w:sz w:val="20"/>
          <w:szCs w:val="20"/>
        </w:rPr>
        <w:t>ICCAT lorsqu'une Partie contractante ou une Partie, Entité ou Entité de pêche non</w:t>
      </w:r>
      <w:r w:rsidR="005539A9" w:rsidRPr="004516BA">
        <w:rPr>
          <w:rFonts w:ascii="Cambria" w:eastAsia="Times New Roman" w:hAnsi="Cambria" w:cs="Times New Roman"/>
          <w:sz w:val="20"/>
          <w:szCs w:val="20"/>
        </w:rPr>
        <w:t xml:space="preserve"> </w:t>
      </w:r>
      <w:r w:rsidR="002D4C59" w:rsidRPr="004516BA">
        <w:rPr>
          <w:rFonts w:ascii="Cambria" w:eastAsia="Times New Roman" w:hAnsi="Cambria" w:cs="Times New Roman"/>
          <w:sz w:val="20"/>
          <w:szCs w:val="20"/>
        </w:rPr>
        <w:t>contractante coopérante (dénommée ci-après « CPC ») a présenté la preuve que ces navires :</w:t>
      </w:r>
    </w:p>
    <w:p w14:paraId="036BC0BF"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57CE1D93" w14:textId="78110381"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a)</w:t>
      </w:r>
      <w:r w:rsidRPr="004516BA">
        <w:rPr>
          <w:rFonts w:ascii="Cambria" w:eastAsia="Times New Roman" w:hAnsi="Cambria" w:cs="Times New Roman"/>
          <w:sz w:val="20"/>
          <w:szCs w:val="20"/>
        </w:rPr>
        <w:tab/>
        <w:t xml:space="preserve">capturent des thonidés ou espèces voisines dans la zone de la Convention </w:t>
      </w:r>
      <w:r w:rsidR="005539A9" w:rsidRPr="004516BA">
        <w:rPr>
          <w:rFonts w:ascii="Cambria" w:eastAsia="Times New Roman" w:hAnsi="Cambria" w:cs="Times New Roman"/>
          <w:sz w:val="20"/>
          <w:szCs w:val="20"/>
        </w:rPr>
        <w:t>de l’</w:t>
      </w:r>
      <w:r w:rsidRPr="004516BA">
        <w:rPr>
          <w:rFonts w:ascii="Cambria" w:eastAsia="Times New Roman" w:hAnsi="Cambria" w:cs="Times New Roman"/>
          <w:sz w:val="20"/>
          <w:szCs w:val="20"/>
        </w:rPr>
        <w:t>ICCAT et ne figurent pas sur la liste ICCAT pertinente des navires autorisés à pêcher des thonidés et des espèces voisines dans la zone de la Convention</w:t>
      </w:r>
      <w:r w:rsidR="005539A9" w:rsidRPr="004516BA">
        <w:rPr>
          <w:rFonts w:ascii="Cambria" w:eastAsia="Times New Roman" w:hAnsi="Cambria" w:cs="Times New Roman"/>
          <w:sz w:val="20"/>
          <w:szCs w:val="20"/>
        </w:rPr>
        <w:t xml:space="preserve"> de l’</w:t>
      </w:r>
      <w:r w:rsidRPr="004516BA">
        <w:rPr>
          <w:rFonts w:ascii="Cambria" w:eastAsia="Times New Roman" w:hAnsi="Cambria" w:cs="Times New Roman"/>
          <w:sz w:val="20"/>
          <w:szCs w:val="20"/>
        </w:rPr>
        <w:t>ICCAT,</w:t>
      </w:r>
    </w:p>
    <w:p w14:paraId="19518777" w14:textId="1395B0A5" w:rsidR="002D4C59" w:rsidRPr="004516BA" w:rsidRDefault="002D4C59" w:rsidP="002D4C59">
      <w:pPr>
        <w:widowControl w:val="0"/>
        <w:tabs>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b)</w:t>
      </w:r>
      <w:r w:rsidRPr="004516BA">
        <w:rPr>
          <w:rFonts w:ascii="Cambria" w:eastAsia="Times New Roman" w:hAnsi="Cambria" w:cs="Times New Roman"/>
          <w:sz w:val="20"/>
          <w:szCs w:val="20"/>
        </w:rPr>
        <w:tab/>
        <w:t>capturent des thonidés ou espèces voisines dans la zone de la Convention</w:t>
      </w:r>
      <w:r w:rsidR="005539A9" w:rsidRPr="004516BA">
        <w:rPr>
          <w:rFonts w:ascii="Cambria" w:eastAsia="Times New Roman" w:hAnsi="Cambria" w:cs="Times New Roman"/>
          <w:sz w:val="20"/>
          <w:szCs w:val="20"/>
        </w:rPr>
        <w:t xml:space="preserve"> de l’ICCAT</w:t>
      </w:r>
      <w:r w:rsidRPr="004516BA">
        <w:rPr>
          <w:rFonts w:ascii="Cambria" w:eastAsia="Times New Roman" w:hAnsi="Cambria" w:cs="Times New Roman"/>
          <w:sz w:val="20"/>
          <w:szCs w:val="20"/>
        </w:rPr>
        <w:t>, et le navire dont l’État de pavillon est dépourvu d’un quota, de limite de capture ou d’allocation de l'effort établis en vertu des mesures de conservation et de gestion pertinentes de l’ICCAT,</w:t>
      </w:r>
    </w:p>
    <w:p w14:paraId="13DE2792" w14:textId="5A0E4833" w:rsidR="00554C4F" w:rsidRPr="004516BA" w:rsidRDefault="002D4C59" w:rsidP="005539A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c)</w:t>
      </w:r>
      <w:r w:rsidRPr="004516BA">
        <w:rPr>
          <w:rFonts w:ascii="Cambria" w:eastAsia="Times New Roman" w:hAnsi="Cambria" w:cs="Times New Roman"/>
          <w:sz w:val="20"/>
          <w:szCs w:val="20"/>
        </w:rPr>
        <w:tab/>
        <w:t xml:space="preserve">n’enregistrent ou ne déclarent leurs captures réalisées dans la zone de la Convention </w:t>
      </w:r>
      <w:r w:rsidR="005539A9" w:rsidRPr="004516BA">
        <w:rPr>
          <w:rFonts w:ascii="Cambria" w:eastAsia="Times New Roman" w:hAnsi="Cambria" w:cs="Times New Roman"/>
          <w:sz w:val="20"/>
          <w:szCs w:val="20"/>
        </w:rPr>
        <w:t>de l’ICCAT</w:t>
      </w:r>
      <w:r w:rsidRPr="004516BA">
        <w:rPr>
          <w:rFonts w:ascii="Cambria" w:eastAsia="Times New Roman" w:hAnsi="Cambria" w:cs="Times New Roman"/>
          <w:sz w:val="20"/>
          <w:szCs w:val="20"/>
        </w:rPr>
        <w:t>, ou font de fausses déclarations,</w:t>
      </w:r>
      <w:r w:rsidR="00554C4F" w:rsidRPr="004516BA">
        <w:rPr>
          <w:rFonts w:ascii="Cambria" w:eastAsia="Times New Roman" w:hAnsi="Cambria" w:cs="Times New Roman"/>
          <w:sz w:val="20"/>
          <w:szCs w:val="20"/>
        </w:rPr>
        <w:br w:type="page"/>
      </w:r>
    </w:p>
    <w:p w14:paraId="4BB80EE9" w14:textId="44B9A1FC"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lastRenderedPageBreak/>
        <w:t>d)</w:t>
      </w:r>
      <w:r w:rsidRPr="004516BA">
        <w:rPr>
          <w:rFonts w:ascii="Cambria" w:eastAsia="Times New Roman" w:hAnsi="Cambria" w:cs="Times New Roman"/>
          <w:sz w:val="20"/>
          <w:szCs w:val="20"/>
        </w:rPr>
        <w:tab/>
      </w:r>
      <w:r w:rsidR="005539A9" w:rsidRPr="004516BA">
        <w:rPr>
          <w:rFonts w:ascii="Cambria" w:eastAsia="Times New Roman" w:hAnsi="Cambria" w:cs="Times New Roman"/>
          <w:sz w:val="20"/>
          <w:szCs w:val="20"/>
        </w:rPr>
        <w:t>capturent</w:t>
      </w:r>
      <w:r w:rsidRPr="004516BA">
        <w:rPr>
          <w:rFonts w:ascii="Cambria" w:eastAsia="Times New Roman" w:hAnsi="Cambria" w:cs="Times New Roman"/>
          <w:sz w:val="20"/>
          <w:szCs w:val="20"/>
        </w:rPr>
        <w:t xml:space="preserve"> ou débarquent du poisson sous-taille, en contravention avec les mesures de conservation de l’ICCAT,</w:t>
      </w:r>
    </w:p>
    <w:p w14:paraId="6F20EDE3"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e)</w:t>
      </w:r>
      <w:r w:rsidRPr="004516BA">
        <w:rPr>
          <w:rFonts w:ascii="Cambria" w:eastAsia="Times New Roman" w:hAnsi="Cambria" w:cs="Times New Roman"/>
          <w:sz w:val="20"/>
          <w:szCs w:val="20"/>
        </w:rPr>
        <w:tab/>
        <w:t>pêchent durant les fermetures de pêche ou dans les zones interdites, en contravention avec les mesures de conservation de l’ICCAT,</w:t>
      </w:r>
    </w:p>
    <w:p w14:paraId="5D531739"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f)</w:t>
      </w:r>
      <w:r w:rsidRPr="004516BA">
        <w:rPr>
          <w:rFonts w:ascii="Cambria" w:eastAsia="Times New Roman" w:hAnsi="Cambria" w:cs="Times New Roman"/>
          <w:sz w:val="20"/>
          <w:szCs w:val="20"/>
        </w:rPr>
        <w:tab/>
        <w:t>utilisent des engins de pêche ou des méthodes de pêche interdits, en contravention avec les mesures de conservation de l’ICCAT,</w:t>
      </w:r>
    </w:p>
    <w:p w14:paraId="57AEC5FD"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g)</w:t>
      </w:r>
      <w:r w:rsidRPr="004516BA">
        <w:rPr>
          <w:rFonts w:ascii="Cambria" w:eastAsia="Times New Roman" w:hAnsi="Cambria" w:cs="Times New Roman"/>
          <w:sz w:val="20"/>
          <w:szCs w:val="20"/>
        </w:rPr>
        <w:tab/>
        <w:t>transbordent ou participent à d’autres opérations, telles que l’approvisionnement ou le ravitaillement en combustible de navires inscrits sur la liste de navires IUU,</w:t>
      </w:r>
    </w:p>
    <w:p w14:paraId="66EE6468" w14:textId="30BA3776"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h)</w:t>
      </w:r>
      <w:r w:rsidRPr="004516BA">
        <w:rPr>
          <w:rFonts w:ascii="Cambria" w:eastAsia="Times New Roman" w:hAnsi="Cambria" w:cs="Times New Roman"/>
          <w:sz w:val="20"/>
          <w:szCs w:val="20"/>
        </w:rPr>
        <w:tab/>
        <w:t>capturent, sans autorisation, des thonidés ou espèces voisines dans les eaux sous la juridiction nationale d</w:t>
      </w:r>
      <w:r w:rsidR="00CD7763" w:rsidRPr="004516BA">
        <w:rPr>
          <w:rFonts w:ascii="Cambria" w:eastAsia="Times New Roman" w:hAnsi="Cambria" w:cs="Times New Roman"/>
          <w:sz w:val="20"/>
          <w:szCs w:val="20"/>
        </w:rPr>
        <w:t>’un</w:t>
      </w:r>
      <w:r w:rsidRPr="004516BA">
        <w:rPr>
          <w:rFonts w:ascii="Cambria" w:eastAsia="Times New Roman" w:hAnsi="Cambria" w:cs="Times New Roman"/>
          <w:sz w:val="20"/>
          <w:szCs w:val="20"/>
        </w:rPr>
        <w:t xml:space="preserve"> État côtier dans la zone de la Convention </w:t>
      </w:r>
      <w:r w:rsidR="004817F0" w:rsidRPr="004516BA">
        <w:rPr>
          <w:rFonts w:ascii="Cambria" w:eastAsia="Times New Roman" w:hAnsi="Cambria" w:cs="Times New Roman"/>
          <w:sz w:val="20"/>
          <w:szCs w:val="20"/>
        </w:rPr>
        <w:t xml:space="preserve">de l’ICCAT, </w:t>
      </w:r>
      <w:r w:rsidRPr="004516BA">
        <w:rPr>
          <w:rFonts w:ascii="Cambria" w:eastAsia="Times New Roman" w:hAnsi="Cambria" w:cs="Times New Roman"/>
          <w:sz w:val="20"/>
          <w:szCs w:val="20"/>
        </w:rPr>
        <w:t>ou contreviennent aux lois et règlements de cet État, sans préjudice des droits souverains des États côtiers à prendre des mesures à l’encontre de ces navires,</w:t>
      </w:r>
    </w:p>
    <w:p w14:paraId="628EE064" w14:textId="0978C71D"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i)</w:t>
      </w:r>
      <w:r w:rsidRPr="004516BA">
        <w:rPr>
          <w:rFonts w:ascii="Cambria" w:eastAsia="Times New Roman" w:hAnsi="Cambria" w:cs="Times New Roman"/>
          <w:sz w:val="20"/>
          <w:szCs w:val="20"/>
        </w:rPr>
        <w:tab/>
        <w:t>sont sans nationalité et</w:t>
      </w:r>
      <w:r w:rsidR="009464DA" w:rsidRPr="004516BA">
        <w:rPr>
          <w:rFonts w:ascii="Cambria" w:eastAsia="Times New Roman" w:hAnsi="Cambria" w:cs="Times New Roman"/>
          <w:sz w:val="20"/>
          <w:szCs w:val="20"/>
        </w:rPr>
        <w:t xml:space="preserve"> pêchent ou soutiennent des opérations de pêche</w:t>
      </w:r>
      <w:r w:rsidRPr="004516BA">
        <w:rPr>
          <w:rFonts w:ascii="Cambria" w:eastAsia="Times New Roman" w:hAnsi="Cambria" w:cs="Times New Roman"/>
          <w:sz w:val="20"/>
          <w:szCs w:val="20"/>
        </w:rPr>
        <w:t xml:space="preserve"> dans la zone de la Convention </w:t>
      </w:r>
      <w:r w:rsidR="00CD7763" w:rsidRPr="004516BA">
        <w:rPr>
          <w:rFonts w:ascii="Cambria" w:eastAsia="Times New Roman" w:hAnsi="Cambria" w:cs="Times New Roman"/>
          <w:sz w:val="20"/>
          <w:szCs w:val="20"/>
        </w:rPr>
        <w:t>de l’ICCAT</w:t>
      </w:r>
      <w:r w:rsidRPr="004516BA">
        <w:rPr>
          <w:rFonts w:ascii="Cambria" w:eastAsia="Times New Roman" w:hAnsi="Cambria" w:cs="Times New Roman"/>
          <w:sz w:val="20"/>
          <w:szCs w:val="20"/>
        </w:rPr>
        <w:t>, et/ou</w:t>
      </w:r>
    </w:p>
    <w:p w14:paraId="1E434AC6"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j)</w:t>
      </w:r>
      <w:r w:rsidRPr="004516BA">
        <w:rPr>
          <w:rFonts w:ascii="Cambria" w:eastAsia="Times New Roman" w:hAnsi="Cambria" w:cs="Times New Roman"/>
          <w:sz w:val="20"/>
          <w:szCs w:val="20"/>
        </w:rPr>
        <w:tab/>
        <w:t>se livrent à la pêche ou à des activités liées à la pêche contraires à toute autre mesure de conservation et de gestion de l’ICCAT.</w:t>
      </w:r>
    </w:p>
    <w:p w14:paraId="16985DBB" w14:textId="12E424B9" w:rsidR="002D4C59" w:rsidRPr="004516BA" w:rsidRDefault="002D4C59" w:rsidP="00B62597">
      <w:pPr>
        <w:widowControl w:val="0"/>
        <w:spacing w:after="0" w:line="240" w:lineRule="auto"/>
        <w:rPr>
          <w:rFonts w:ascii="Cambria" w:eastAsia="Times New Roman" w:hAnsi="Cambria" w:cs="Times New Roman"/>
          <w:sz w:val="20"/>
          <w:szCs w:val="20"/>
        </w:rPr>
      </w:pPr>
    </w:p>
    <w:p w14:paraId="3CB1A525" w14:textId="77777777" w:rsidR="003221BF" w:rsidRPr="004516BA" w:rsidRDefault="003221BF" w:rsidP="00B62597">
      <w:pPr>
        <w:widowControl w:val="0"/>
        <w:spacing w:after="0" w:line="240" w:lineRule="auto"/>
        <w:rPr>
          <w:rFonts w:ascii="Cambria" w:eastAsia="Times New Roman" w:hAnsi="Cambria" w:cs="Times New Roman"/>
          <w:sz w:val="20"/>
          <w:szCs w:val="20"/>
        </w:rPr>
      </w:pPr>
    </w:p>
    <w:p w14:paraId="6E509391" w14:textId="77777777" w:rsidR="002D4C59" w:rsidRPr="004516BA" w:rsidRDefault="002D4C59" w:rsidP="00B62597">
      <w:pPr>
        <w:widowControl w:val="0"/>
        <w:spacing w:after="0" w:line="240" w:lineRule="auto"/>
        <w:outlineLvl w:val="0"/>
        <w:rPr>
          <w:rFonts w:ascii="Cambria" w:eastAsia="Times New Roman" w:hAnsi="Cambria" w:cs="Times New Roman"/>
          <w:b/>
          <w:sz w:val="20"/>
          <w:szCs w:val="20"/>
        </w:rPr>
      </w:pPr>
      <w:r w:rsidRPr="004516BA">
        <w:rPr>
          <w:rFonts w:ascii="Cambria" w:eastAsia="Times New Roman" w:hAnsi="Cambria" w:cs="Times New Roman"/>
          <w:b/>
          <w:sz w:val="20"/>
          <w:szCs w:val="20"/>
        </w:rPr>
        <w:t>Information sur les activités IUU alléguées</w:t>
      </w:r>
    </w:p>
    <w:p w14:paraId="243A0A34" w14:textId="77777777" w:rsidR="002D4C59" w:rsidRPr="004516BA" w:rsidRDefault="002D4C59" w:rsidP="00B62597">
      <w:pPr>
        <w:widowControl w:val="0"/>
        <w:spacing w:after="0" w:line="240" w:lineRule="auto"/>
        <w:rPr>
          <w:rFonts w:ascii="Cambria" w:eastAsia="Times New Roman" w:hAnsi="Cambria" w:cs="Times New Roman"/>
          <w:b/>
          <w:sz w:val="20"/>
          <w:szCs w:val="20"/>
        </w:rPr>
      </w:pPr>
    </w:p>
    <w:p w14:paraId="61A62F5A" w14:textId="796757F7" w:rsidR="002D4C59" w:rsidRPr="004516BA" w:rsidRDefault="00585B2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2.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 xml:space="preserve">Les CPC devront transmettre tous les ans au Secrétaire exécutif, au moins 70 jours avant la réunion annuelle, l’information sur tout navire présumé avoir exercé des activités de pêche IUU au cours des trois dernières années, accompagnée de toutes les pièces justificatives disponibles concernant la présomption d’activité de pêche IUU et l’information sur l’identification des navires. </w:t>
      </w:r>
    </w:p>
    <w:p w14:paraId="3F736DF5"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4A4E16D0" w14:textId="09647B2F" w:rsidR="002D4C59" w:rsidRPr="004516BA" w:rsidRDefault="002D4C59" w:rsidP="002D4C59">
      <w:pPr>
        <w:widowControl w:val="0"/>
        <w:spacing w:after="0" w:line="240" w:lineRule="auto"/>
        <w:ind w:left="426"/>
        <w:jc w:val="both"/>
        <w:rPr>
          <w:rFonts w:ascii="Cambria" w:eastAsia="Times New Roman" w:hAnsi="Cambria" w:cs="Times New Roman"/>
          <w:sz w:val="20"/>
          <w:szCs w:val="20"/>
        </w:rPr>
      </w:pPr>
      <w:r w:rsidRPr="004516BA">
        <w:rPr>
          <w:rFonts w:ascii="Cambria" w:eastAsia="Times New Roman" w:hAnsi="Cambria" w:cs="Times New Roman"/>
          <w:sz w:val="20"/>
          <w:szCs w:val="20"/>
        </w:rPr>
        <w:t>Cette information sur les navires devra se fonder sur les informations recueillies par les CPC, en vertu, entre autres, des recommandations et des résolutions pertinentes de l’ICCAT. Les CPC devront soumettre les informations disponibles sur le navire et les activités de pêche IUU dans le formulaire joint à l’</w:t>
      </w:r>
      <w:r w:rsidR="00CD7763" w:rsidRPr="004516BA">
        <w:rPr>
          <w:rFonts w:ascii="Cambria" w:eastAsia="Times New Roman" w:hAnsi="Cambria" w:cs="Times New Roman"/>
          <w:b/>
          <w:sz w:val="20"/>
          <w:szCs w:val="20"/>
        </w:rPr>
        <w:t>a</w:t>
      </w:r>
      <w:r w:rsidRPr="004516BA">
        <w:rPr>
          <w:rFonts w:ascii="Cambria" w:eastAsia="Times New Roman" w:hAnsi="Cambria" w:cs="Times New Roman"/>
          <w:b/>
          <w:sz w:val="20"/>
          <w:szCs w:val="20"/>
        </w:rPr>
        <w:t>ddendum 1</w:t>
      </w:r>
      <w:r w:rsidRPr="004516BA">
        <w:rPr>
          <w:rFonts w:ascii="Cambria" w:eastAsia="Times New Roman" w:hAnsi="Cambria" w:cs="Times New Roman"/>
          <w:sz w:val="20"/>
          <w:szCs w:val="20"/>
        </w:rPr>
        <w:t xml:space="preserve"> de la présente Recommandation. </w:t>
      </w:r>
    </w:p>
    <w:p w14:paraId="30CDF5FE" w14:textId="77777777" w:rsidR="002D4C59" w:rsidRPr="004516BA" w:rsidRDefault="002D4C59" w:rsidP="002D4C59">
      <w:pPr>
        <w:widowControl w:val="0"/>
        <w:spacing w:after="0" w:line="240" w:lineRule="auto"/>
        <w:ind w:left="478"/>
        <w:rPr>
          <w:rFonts w:ascii="Cambria" w:eastAsia="Times New Roman" w:hAnsi="Cambria" w:cs="Times New Roman"/>
          <w:sz w:val="20"/>
          <w:szCs w:val="20"/>
        </w:rPr>
      </w:pPr>
    </w:p>
    <w:p w14:paraId="6862CF3D" w14:textId="54BF5976" w:rsidR="002D4C59" w:rsidRPr="004516BA" w:rsidRDefault="002D4C59" w:rsidP="002D4C59">
      <w:pPr>
        <w:widowControl w:val="0"/>
        <w:spacing w:after="0" w:line="240" w:lineRule="auto"/>
        <w:ind w:left="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Dès réception de cette information, le Secrétaire exécutif devra rapidement l’envoyer à toutes les CPC et à toute non-CPC concernée et il devra demander que, le cas échéant, les CPC et </w:t>
      </w:r>
      <w:r w:rsidR="00CD7763" w:rsidRPr="004516BA">
        <w:rPr>
          <w:rFonts w:ascii="Cambria" w:eastAsia="Times New Roman" w:hAnsi="Cambria" w:cs="Times New Roman"/>
          <w:sz w:val="20"/>
          <w:szCs w:val="20"/>
        </w:rPr>
        <w:t>les</w:t>
      </w:r>
      <w:r w:rsidRPr="004516BA">
        <w:rPr>
          <w:rFonts w:ascii="Cambria" w:eastAsia="Times New Roman" w:hAnsi="Cambria" w:cs="Times New Roman"/>
          <w:sz w:val="20"/>
          <w:szCs w:val="20"/>
        </w:rPr>
        <w:t xml:space="preserve"> non-CPC concernée</w:t>
      </w:r>
      <w:r w:rsidR="00CD7763" w:rsidRPr="004516BA">
        <w:rPr>
          <w:rFonts w:ascii="Cambria" w:eastAsia="Times New Roman" w:hAnsi="Cambria" w:cs="Times New Roman"/>
          <w:sz w:val="20"/>
          <w:szCs w:val="20"/>
        </w:rPr>
        <w:t>s</w:t>
      </w:r>
      <w:r w:rsidRPr="004516BA">
        <w:rPr>
          <w:rFonts w:ascii="Cambria" w:eastAsia="Times New Roman" w:hAnsi="Cambria" w:cs="Times New Roman"/>
          <w:sz w:val="20"/>
          <w:szCs w:val="20"/>
        </w:rPr>
        <w:t xml:space="preserve"> enquêtent sur l’activité IUU alléguée et/ou surveillent les navires.</w:t>
      </w:r>
    </w:p>
    <w:p w14:paraId="31B53951" w14:textId="77777777" w:rsidR="002D4C59" w:rsidRPr="004516BA" w:rsidRDefault="002D4C59" w:rsidP="002D4C59">
      <w:pPr>
        <w:widowControl w:val="0"/>
        <w:spacing w:after="0" w:line="240" w:lineRule="auto"/>
        <w:jc w:val="both"/>
        <w:rPr>
          <w:rFonts w:ascii="Cambria" w:eastAsia="Times New Roman" w:hAnsi="Cambria" w:cs="Times New Roman"/>
          <w:sz w:val="20"/>
          <w:szCs w:val="20"/>
        </w:rPr>
      </w:pPr>
    </w:p>
    <w:p w14:paraId="1064B052" w14:textId="4BD7EFEA" w:rsidR="002D4C59" w:rsidRPr="004516BA" w:rsidRDefault="002D4C59" w:rsidP="002D4C59">
      <w:pPr>
        <w:widowControl w:val="0"/>
        <w:spacing w:after="0" w:line="240" w:lineRule="auto"/>
        <w:ind w:left="426"/>
        <w:jc w:val="both"/>
        <w:rPr>
          <w:rFonts w:ascii="Cambria" w:eastAsia="Times New Roman" w:hAnsi="Cambria" w:cs="Times New Roman"/>
          <w:sz w:val="20"/>
          <w:szCs w:val="20"/>
        </w:rPr>
      </w:pPr>
      <w:r w:rsidRPr="004516BA">
        <w:rPr>
          <w:rFonts w:ascii="Cambria" w:eastAsia="Times New Roman" w:hAnsi="Cambria" w:cs="Times New Roman"/>
          <w:sz w:val="20"/>
          <w:szCs w:val="20"/>
        </w:rPr>
        <w:t>Le Secrétaire exécutif devra demander à l’État de pavillon de notifier au propriétaire du navire la soumission du navire par la CPC aux fins de son inclusion dans le projet de liste IUU et des conséquences susceptibles de survenir s’il est inclus sur la liste finale de navires IUU adoptée par la Commission.</w:t>
      </w:r>
    </w:p>
    <w:p w14:paraId="01CCEFBE"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2E15F71C" w14:textId="77777777" w:rsidR="002D4C59" w:rsidRPr="004516BA" w:rsidRDefault="002D4C59" w:rsidP="002D4C59">
      <w:pPr>
        <w:widowControl w:val="0"/>
        <w:spacing w:after="0" w:line="240" w:lineRule="auto"/>
        <w:outlineLvl w:val="0"/>
        <w:rPr>
          <w:rFonts w:ascii="Cambria" w:eastAsia="Times New Roman" w:hAnsi="Cambria" w:cs="Times New Roman"/>
          <w:b/>
          <w:sz w:val="20"/>
          <w:szCs w:val="20"/>
        </w:rPr>
      </w:pPr>
      <w:r w:rsidRPr="004516BA">
        <w:rPr>
          <w:rFonts w:ascii="Cambria" w:eastAsia="Times New Roman" w:hAnsi="Cambria" w:cs="Times New Roman"/>
          <w:b/>
          <w:sz w:val="20"/>
          <w:szCs w:val="20"/>
        </w:rPr>
        <w:t>Élaboration du projet de liste IUU</w:t>
      </w:r>
    </w:p>
    <w:p w14:paraId="1BB5B1A9"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246D6BA0" w14:textId="015A6BEA" w:rsidR="002D4C59" w:rsidRPr="004516BA" w:rsidRDefault="00585B2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3.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Sur la base de l’information reçue conformément au paragraphe 2, le Secrétaire exécutif de l'ICCAT devra établir un projet de liste IUU conformément à l’</w:t>
      </w:r>
      <w:r w:rsidR="00CD7763" w:rsidRPr="004516BA">
        <w:rPr>
          <w:rFonts w:ascii="Cambria" w:eastAsia="Times New Roman" w:hAnsi="Cambria" w:cs="Times New Roman"/>
          <w:b/>
          <w:bCs/>
          <w:sz w:val="20"/>
          <w:szCs w:val="20"/>
        </w:rPr>
        <w:t>a</w:t>
      </w:r>
      <w:r w:rsidR="002D4C59" w:rsidRPr="004516BA">
        <w:rPr>
          <w:rFonts w:ascii="Cambria" w:eastAsia="Times New Roman" w:hAnsi="Cambria" w:cs="Times New Roman"/>
          <w:b/>
          <w:sz w:val="20"/>
          <w:szCs w:val="20"/>
        </w:rPr>
        <w:t>ddendum 2.</w:t>
      </w:r>
      <w:r w:rsidR="002D4C59" w:rsidRPr="004516BA">
        <w:rPr>
          <w:rFonts w:ascii="Cambria" w:eastAsia="Times New Roman" w:hAnsi="Cambria" w:cs="Times New Roman"/>
          <w:sz w:val="20"/>
          <w:szCs w:val="20"/>
        </w:rPr>
        <w:t xml:space="preserve"> Le Secrétaire exécutif devra transmettre le projet de liste IUU, conjointement avec toute l’information fournie, à toutes les CPC ainsi qu'aux non-CPC dont les navires sont inscrits sur ces listes au moins 55 jours avant la réunion annuelle. Les CPC et les non-CPC devront transmettre tout commentaire, y compris toute preuve indiquant que les bateaux répertoriés ne se sont livrés à aucune activité décrite au paragraphe 1, ou toute action entreprise pour traiter cette activité, au moins 30 jours avant la réunion annuelle de l’ICCAT.</w:t>
      </w:r>
    </w:p>
    <w:p w14:paraId="14C69AB1"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2229294E" w14:textId="14C384F1" w:rsidR="002D4C59" w:rsidRPr="004516BA" w:rsidRDefault="002D4C59" w:rsidP="002D4C59">
      <w:pPr>
        <w:widowControl w:val="0"/>
        <w:spacing w:after="0" w:line="240" w:lineRule="auto"/>
        <w:ind w:left="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Dès réception du projet de liste IUU, les CPC devront surveiller </w:t>
      </w:r>
      <w:r w:rsidR="005F1D84" w:rsidRPr="004516BA">
        <w:rPr>
          <w:rFonts w:ascii="Cambria" w:eastAsia="Times New Roman" w:hAnsi="Cambria" w:cs="Times New Roman"/>
          <w:sz w:val="20"/>
          <w:szCs w:val="20"/>
        </w:rPr>
        <w:t>de manière exhaustive</w:t>
      </w:r>
      <w:r w:rsidRPr="004516BA">
        <w:rPr>
          <w:rFonts w:ascii="Cambria" w:eastAsia="Times New Roman" w:hAnsi="Cambria" w:cs="Times New Roman"/>
          <w:sz w:val="20"/>
          <w:szCs w:val="20"/>
        </w:rPr>
        <w:t xml:space="preserve"> les navires inscrits sur cette liste et ils devront rapidement soumettre au </w:t>
      </w:r>
      <w:r w:rsidR="005F1D84"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toute information dont elles pourraient disposer concernant les activités des navires et d’éventuels changements de nom, pavillon, indicatif d’appel ou armateur enregistré.</w:t>
      </w:r>
    </w:p>
    <w:p w14:paraId="2022673C" w14:textId="77777777" w:rsidR="002D4C59" w:rsidRPr="004516BA" w:rsidRDefault="002D4C59" w:rsidP="002D4C59">
      <w:pPr>
        <w:widowControl w:val="0"/>
        <w:spacing w:after="0" w:line="240" w:lineRule="auto"/>
        <w:ind w:left="426" w:right="70"/>
        <w:jc w:val="both"/>
        <w:rPr>
          <w:rFonts w:ascii="Cambria" w:eastAsia="Times New Roman" w:hAnsi="Cambria" w:cs="Times New Roman"/>
          <w:b/>
          <w:sz w:val="20"/>
          <w:szCs w:val="20"/>
        </w:rPr>
      </w:pPr>
    </w:p>
    <w:p w14:paraId="0E12BAEB" w14:textId="77777777" w:rsidR="00DE3F87" w:rsidRPr="004516BA" w:rsidRDefault="00DE3F87">
      <w:pPr>
        <w:pBdr>
          <w:top w:val="none" w:sz="0" w:space="0" w:color="auto"/>
          <w:left w:val="none" w:sz="0" w:space="0" w:color="auto"/>
          <w:bottom w:val="none" w:sz="0" w:space="0" w:color="auto"/>
          <w:right w:val="none" w:sz="0" w:space="0" w:color="auto"/>
          <w:between w:val="none" w:sz="0" w:space="0" w:color="auto"/>
        </w:pBdr>
        <w:rPr>
          <w:rFonts w:ascii="Cambria" w:eastAsia="Times New Roman" w:hAnsi="Cambria" w:cs="Times New Roman"/>
          <w:b/>
          <w:sz w:val="20"/>
          <w:szCs w:val="20"/>
        </w:rPr>
      </w:pPr>
      <w:r w:rsidRPr="004516BA">
        <w:rPr>
          <w:rFonts w:ascii="Cambria" w:eastAsia="Times New Roman" w:hAnsi="Cambria" w:cs="Times New Roman"/>
          <w:b/>
          <w:sz w:val="20"/>
          <w:szCs w:val="20"/>
        </w:rPr>
        <w:br w:type="page"/>
      </w:r>
    </w:p>
    <w:p w14:paraId="62DF30BA" w14:textId="1FBC18DE" w:rsidR="002D4C59" w:rsidRPr="004516BA" w:rsidRDefault="002D4C59" w:rsidP="002D4C59">
      <w:pPr>
        <w:widowControl w:val="0"/>
        <w:spacing w:after="0" w:line="240" w:lineRule="auto"/>
        <w:outlineLvl w:val="0"/>
        <w:rPr>
          <w:rFonts w:ascii="Cambria" w:eastAsia="Times New Roman" w:hAnsi="Cambria" w:cs="Times New Roman"/>
          <w:b/>
          <w:sz w:val="20"/>
          <w:szCs w:val="20"/>
        </w:rPr>
      </w:pPr>
      <w:r w:rsidRPr="004516BA">
        <w:rPr>
          <w:rFonts w:ascii="Cambria" w:eastAsia="Times New Roman" w:hAnsi="Cambria" w:cs="Times New Roman"/>
          <w:b/>
          <w:sz w:val="20"/>
          <w:szCs w:val="20"/>
        </w:rPr>
        <w:lastRenderedPageBreak/>
        <w:t>Élaboration et adoption de la liste finale IUU</w:t>
      </w:r>
    </w:p>
    <w:p w14:paraId="275D37CC"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3E3259FC" w14:textId="37AEA8EA" w:rsidR="002D4C59" w:rsidRPr="004516BA" w:rsidRDefault="00133255"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4.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 xml:space="preserve">Deux semaines avant la réunion annuelle de l’ICCAT, le Secrétaire exécutif devra rediffuser aux CPC et aux non-CPC concernées le projet de liste IUU, toute l’information reçue conformément aux paragraphes 2 et 3, et toute autre information obtenue par le Secrétaire exécutif. </w:t>
      </w:r>
    </w:p>
    <w:p w14:paraId="2CB30053"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714DE344" w14:textId="48E9F55D" w:rsidR="002D4C59" w:rsidRPr="004516BA" w:rsidRDefault="00133255"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5.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Les CPC pourront, à tout moment, et de préférence avant la réunion annuelle, soumettre au Secrétaire exécutif toute information additionnelle susceptible d’être pertinente pour l’établissement de la liste finale de navires IUU de l’ICCAT. Le Secrétaire exécutif de l’ICCAT devra rapidement diffuser cette information additionnelle à toutes les CPC et aux non-CPC concernées.</w:t>
      </w:r>
    </w:p>
    <w:p w14:paraId="5414953F"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34AE814E" w14:textId="5EAF2412" w:rsidR="002D4C59" w:rsidRPr="004516BA" w:rsidRDefault="00133255"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6.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 Groupe de travail permanent pour l'amélioration des statistiques et des mesures de conservation de l'ICCAT (PWG) devra examiner, chaque année, le projet de liste IUU ainsi que les informations visées aux paragraphes 2, 3, 4 et 5. Les conclusions de cet examen pourront, si nécessaire, être renvoyées au Comité d’application des mesures de conservation et de gestion de l’ICCAT (COC).</w:t>
      </w:r>
    </w:p>
    <w:p w14:paraId="25A36B00" w14:textId="77777777" w:rsidR="002D4C59" w:rsidRPr="004516BA" w:rsidRDefault="002D4C59" w:rsidP="00554C4F">
      <w:pPr>
        <w:widowControl w:val="0"/>
        <w:spacing w:after="0" w:line="240" w:lineRule="auto"/>
        <w:contextualSpacing/>
        <w:rPr>
          <w:rFonts w:ascii="Cambria" w:eastAsia="Times New Roman" w:hAnsi="Cambria" w:cs="Times New Roman"/>
          <w:sz w:val="20"/>
          <w:szCs w:val="20"/>
        </w:rPr>
      </w:pPr>
    </w:p>
    <w:p w14:paraId="094C946D" w14:textId="77777777" w:rsidR="002D4C59" w:rsidRPr="004516BA" w:rsidRDefault="002D4C59" w:rsidP="00554C4F">
      <w:pPr>
        <w:widowControl w:val="0"/>
        <w:tabs>
          <w:tab w:val="left" w:pos="827"/>
          <w:tab w:val="left" w:pos="828"/>
        </w:tabs>
        <w:spacing w:after="0" w:line="240" w:lineRule="auto"/>
        <w:ind w:right="112"/>
        <w:contextualSpacing/>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Le PWG devra proposer de supprimer un navire du projet de liste IUU s’il détermine que : </w:t>
      </w:r>
    </w:p>
    <w:p w14:paraId="59E6E0A1" w14:textId="77777777" w:rsidR="002D4C59" w:rsidRPr="004516BA" w:rsidRDefault="002D4C59" w:rsidP="00554C4F">
      <w:pPr>
        <w:widowControl w:val="0"/>
        <w:tabs>
          <w:tab w:val="left" w:pos="827"/>
          <w:tab w:val="left" w:pos="828"/>
        </w:tabs>
        <w:spacing w:after="0" w:line="240" w:lineRule="auto"/>
        <w:ind w:right="112"/>
        <w:contextualSpacing/>
        <w:jc w:val="both"/>
        <w:rPr>
          <w:rFonts w:ascii="Cambria" w:eastAsia="Times New Roman" w:hAnsi="Cambria" w:cs="Times New Roman"/>
          <w:sz w:val="20"/>
          <w:szCs w:val="20"/>
        </w:rPr>
      </w:pPr>
    </w:p>
    <w:p w14:paraId="094461D3" w14:textId="77777777" w:rsidR="002D4C59" w:rsidRPr="004516BA" w:rsidRDefault="002D4C59" w:rsidP="002D4C59">
      <w:pPr>
        <w:widowControl w:val="0"/>
        <w:tabs>
          <w:tab w:val="left" w:pos="827"/>
          <w:tab w:val="left" w:pos="828"/>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a)</w:t>
      </w:r>
      <w:r w:rsidRPr="004516BA">
        <w:rPr>
          <w:rFonts w:ascii="Cambria" w:eastAsia="Times New Roman" w:hAnsi="Cambria" w:cs="Times New Roman"/>
          <w:sz w:val="20"/>
          <w:szCs w:val="20"/>
        </w:rPr>
        <w:tab/>
        <w:t xml:space="preserve">le navire n'a participé à aucune activité de pêche IUU, telle que décrite au paragraphe 1, </w:t>
      </w:r>
      <w:proofErr w:type="gramStart"/>
      <w:r w:rsidRPr="004516BA">
        <w:rPr>
          <w:rFonts w:ascii="Cambria" w:eastAsia="Times New Roman" w:hAnsi="Cambria" w:cs="Times New Roman"/>
          <w:sz w:val="20"/>
          <w:szCs w:val="20"/>
        </w:rPr>
        <w:t>ou</w:t>
      </w:r>
      <w:proofErr w:type="gramEnd"/>
    </w:p>
    <w:p w14:paraId="1F698D42" w14:textId="77777777" w:rsidR="002D4C59" w:rsidRPr="004516BA" w:rsidRDefault="002D4C59" w:rsidP="002D4C59">
      <w:pPr>
        <w:widowControl w:val="0"/>
        <w:tabs>
          <w:tab w:val="left" w:pos="827"/>
          <w:tab w:val="left" w:pos="828"/>
        </w:tabs>
        <w:spacing w:before="72" w:after="0" w:line="240" w:lineRule="auto"/>
        <w:ind w:left="838" w:right="112"/>
        <w:contextualSpacing/>
        <w:jc w:val="both"/>
        <w:rPr>
          <w:rFonts w:ascii="Cambria" w:eastAsia="Times New Roman" w:hAnsi="Cambria" w:cs="Times New Roman"/>
          <w:sz w:val="20"/>
          <w:szCs w:val="20"/>
        </w:rPr>
      </w:pPr>
    </w:p>
    <w:p w14:paraId="2F5CD9E5" w14:textId="4CA0CC8D" w:rsidR="002D4C59" w:rsidRPr="004516BA" w:rsidRDefault="002D4C59" w:rsidP="002D4C59">
      <w:pPr>
        <w:widowControl w:val="0"/>
        <w:tabs>
          <w:tab w:val="left" w:pos="827"/>
          <w:tab w:val="left" w:pos="828"/>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b)</w:t>
      </w:r>
    </w:p>
    <w:p w14:paraId="181FF385" w14:textId="77777777" w:rsidR="002D4C59" w:rsidRPr="004516BA" w:rsidRDefault="002D4C59" w:rsidP="002D4C59">
      <w:pPr>
        <w:widowControl w:val="0"/>
        <w:numPr>
          <w:ilvl w:val="0"/>
          <w:numId w:val="7"/>
        </w:numPr>
        <w:spacing w:before="72" w:after="120" w:line="240" w:lineRule="auto"/>
        <w:ind w:left="1276" w:right="113"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la CPC ou la non-CPC de pavillon a adopté des mesures </w:t>
      </w:r>
      <w:proofErr w:type="gramStart"/>
      <w:r w:rsidRPr="004516BA">
        <w:rPr>
          <w:rFonts w:ascii="Cambria" w:eastAsia="Times New Roman" w:hAnsi="Cambria" w:cs="Times New Roman"/>
          <w:sz w:val="20"/>
          <w:szCs w:val="20"/>
        </w:rPr>
        <w:t>de façon à ce</w:t>
      </w:r>
      <w:proofErr w:type="gramEnd"/>
      <w:r w:rsidRPr="004516BA">
        <w:rPr>
          <w:rFonts w:ascii="Cambria" w:eastAsia="Times New Roman" w:hAnsi="Cambria" w:cs="Times New Roman"/>
          <w:sz w:val="20"/>
          <w:szCs w:val="20"/>
        </w:rPr>
        <w:t xml:space="preserve"> que ce navire respecte les mesures de conservation de l’ICCAT ; </w:t>
      </w:r>
    </w:p>
    <w:p w14:paraId="1CCDFA2E" w14:textId="61EE3701" w:rsidR="002D4C59" w:rsidRPr="004516BA" w:rsidRDefault="002D4C59" w:rsidP="002D4C59">
      <w:pPr>
        <w:widowControl w:val="0"/>
        <w:spacing w:before="72" w:after="120" w:line="240" w:lineRule="auto"/>
        <w:ind w:left="1276" w:right="113"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ii)</w:t>
      </w:r>
      <w:r w:rsidRPr="004516BA">
        <w:rPr>
          <w:rFonts w:ascii="Cambria" w:eastAsia="Times New Roman" w:hAnsi="Cambria" w:cs="Times New Roman"/>
          <w:sz w:val="20"/>
          <w:szCs w:val="20"/>
        </w:rPr>
        <w:tab/>
        <w:t xml:space="preserve">la CPC ou la non-CPC de pavillon a assumé et continuera d’assumer effectivement ses responsabilités en ce qui concerne ce navire, notamment en matière de suivi et contrôle des activités de pêche réalisées par ce navire dans la zone de la Convention </w:t>
      </w:r>
      <w:r w:rsidR="00585B24" w:rsidRPr="004516BA">
        <w:rPr>
          <w:rFonts w:ascii="Cambria" w:eastAsia="Times New Roman" w:hAnsi="Cambria" w:cs="Times New Roman"/>
          <w:sz w:val="20"/>
          <w:szCs w:val="20"/>
        </w:rPr>
        <w:t>de l’ICCAT</w:t>
      </w:r>
      <w:r w:rsidRPr="004516BA">
        <w:rPr>
          <w:rFonts w:ascii="Cambria" w:eastAsia="Times New Roman" w:hAnsi="Cambria" w:cs="Times New Roman"/>
          <w:sz w:val="20"/>
          <w:szCs w:val="20"/>
        </w:rPr>
        <w:t>, et</w:t>
      </w:r>
    </w:p>
    <w:p w14:paraId="2503676B" w14:textId="77777777" w:rsidR="002D4C59" w:rsidRPr="004516BA" w:rsidRDefault="002D4C59" w:rsidP="002D4C59">
      <w:pPr>
        <w:widowControl w:val="0"/>
        <w:spacing w:before="72" w:after="0" w:line="240" w:lineRule="auto"/>
        <w:ind w:left="1276" w:right="113" w:hanging="425"/>
        <w:contextualSpacing/>
        <w:jc w:val="both"/>
        <w:rPr>
          <w:rFonts w:ascii="Cambria" w:eastAsia="Times New Roman" w:hAnsi="Cambria" w:cs="Times New Roman"/>
          <w:sz w:val="20"/>
          <w:szCs w:val="20"/>
        </w:rPr>
      </w:pPr>
      <w:r w:rsidRPr="004516BA">
        <w:rPr>
          <w:rFonts w:ascii="Cambria" w:eastAsia="Times New Roman" w:hAnsi="Cambria" w:cs="Times New Roman"/>
          <w:sz w:val="20"/>
          <w:szCs w:val="20"/>
        </w:rPr>
        <w:t>iii)</w:t>
      </w:r>
      <w:r w:rsidRPr="004516BA">
        <w:rPr>
          <w:rFonts w:ascii="Cambria" w:eastAsia="Times New Roman" w:hAnsi="Cambria" w:cs="Times New Roman"/>
          <w:sz w:val="20"/>
          <w:szCs w:val="20"/>
        </w:rPr>
        <w:tab/>
        <w:t xml:space="preserve">des mesures effectives ont été prises face aux activités de pêche IUU en question, incluant, entre autres, les poursuites en justice et l’imposition de sanctions de sévérité adéquate ; </w:t>
      </w:r>
      <w:proofErr w:type="gramStart"/>
      <w:r w:rsidRPr="004516BA">
        <w:rPr>
          <w:rFonts w:ascii="Cambria" w:eastAsia="Times New Roman" w:hAnsi="Cambria" w:cs="Times New Roman"/>
          <w:sz w:val="20"/>
          <w:szCs w:val="20"/>
        </w:rPr>
        <w:t>ou</w:t>
      </w:r>
      <w:proofErr w:type="gramEnd"/>
    </w:p>
    <w:p w14:paraId="0EA329E6" w14:textId="77777777" w:rsidR="002D4C59" w:rsidRPr="004516BA" w:rsidRDefault="002D4C59" w:rsidP="002D4C59">
      <w:pPr>
        <w:widowControl w:val="0"/>
        <w:tabs>
          <w:tab w:val="left" w:pos="827"/>
          <w:tab w:val="left" w:pos="828"/>
        </w:tabs>
        <w:spacing w:before="72" w:after="0" w:line="240" w:lineRule="auto"/>
        <w:ind w:left="1780" w:right="112"/>
        <w:contextualSpacing/>
        <w:jc w:val="both"/>
        <w:rPr>
          <w:rFonts w:ascii="Cambria" w:eastAsia="Times New Roman" w:hAnsi="Cambria" w:cs="Times New Roman"/>
          <w:sz w:val="20"/>
          <w:szCs w:val="20"/>
        </w:rPr>
      </w:pPr>
    </w:p>
    <w:p w14:paraId="248B0E9C" w14:textId="77777777" w:rsidR="002D4C59" w:rsidRPr="004516BA" w:rsidRDefault="002D4C59" w:rsidP="002D4C59">
      <w:pPr>
        <w:widowControl w:val="0"/>
        <w:tabs>
          <w:tab w:val="left" w:pos="827"/>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c)</w:t>
      </w:r>
      <w:r w:rsidRPr="004516BA">
        <w:rPr>
          <w:rFonts w:ascii="Cambria" w:eastAsia="Times New Roman" w:hAnsi="Cambria" w:cs="Times New Roman"/>
          <w:sz w:val="20"/>
          <w:szCs w:val="20"/>
        </w:rPr>
        <w:tab/>
        <w:t>le navire a changé de propriétaire et le nouveau propriétaire peut établir que l’ancien propriétaire n’a plus aucun intérêt juridique, financier ou de fait dans le navire, ou n’exerce plus aucun contrôle sur celui-ci, et qu’il n’a pas pris part à la pêche IUU.</w:t>
      </w:r>
    </w:p>
    <w:p w14:paraId="05BC370A" w14:textId="77777777" w:rsidR="002D4C59" w:rsidRPr="004516BA" w:rsidRDefault="002D4C59" w:rsidP="002D4C59">
      <w:pPr>
        <w:widowControl w:val="0"/>
        <w:spacing w:after="0" w:line="240" w:lineRule="auto"/>
        <w:jc w:val="both"/>
        <w:rPr>
          <w:rFonts w:ascii="Cambria" w:eastAsia="Times New Roman" w:hAnsi="Cambria" w:cs="Times New Roman"/>
          <w:sz w:val="14"/>
          <w:szCs w:val="14"/>
        </w:rPr>
      </w:pPr>
    </w:p>
    <w:p w14:paraId="20982F3C" w14:textId="6562F758" w:rsidR="002D4C59" w:rsidRPr="004516BA" w:rsidRDefault="00585B2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7.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 xml:space="preserve">À la suite de l'examen visé au paragraphe 6, le PWG devra, à chaque réunion annuelle de l’ICCAT, élaborer une </w:t>
      </w:r>
      <w:r w:rsidRPr="004516BA">
        <w:rPr>
          <w:rFonts w:ascii="Cambria" w:eastAsia="Times New Roman" w:hAnsi="Cambria" w:cs="Times New Roman"/>
          <w:sz w:val="20"/>
          <w:szCs w:val="20"/>
        </w:rPr>
        <w:t xml:space="preserve">proposition de </w:t>
      </w:r>
      <w:r w:rsidR="002D4C59" w:rsidRPr="004516BA">
        <w:rPr>
          <w:rFonts w:ascii="Cambria" w:eastAsia="Times New Roman" w:hAnsi="Cambria" w:cs="Times New Roman"/>
          <w:sz w:val="20"/>
          <w:szCs w:val="20"/>
        </w:rPr>
        <w:t>liste de navires IUU, en signalant lesquels, le cas échéant, des navires il est proposé de radier de la liste de navires IUU de l’ICCAT adoptée à la réunion annuelle antérieure et en en indiquant les raisons, et la soumettre à la Commission à des fins d’adoption en tant que liste finale de navires IUU de l’ICCAT.</w:t>
      </w:r>
    </w:p>
    <w:p w14:paraId="0958D7E8" w14:textId="77777777" w:rsidR="002D4C59" w:rsidRPr="004516BA" w:rsidRDefault="002D4C59" w:rsidP="002D4C59">
      <w:pPr>
        <w:widowControl w:val="0"/>
        <w:spacing w:after="0" w:line="240" w:lineRule="auto"/>
        <w:ind w:right="111"/>
        <w:jc w:val="both"/>
        <w:rPr>
          <w:rFonts w:ascii="Cambria" w:eastAsia="Times New Roman" w:hAnsi="Cambria" w:cs="Times New Roman"/>
          <w:sz w:val="20"/>
          <w:szCs w:val="20"/>
        </w:rPr>
      </w:pPr>
    </w:p>
    <w:p w14:paraId="305FA138" w14:textId="77777777" w:rsidR="002D4C59" w:rsidRPr="004516BA" w:rsidRDefault="002D4C59" w:rsidP="002D4C59">
      <w:pPr>
        <w:widowControl w:val="0"/>
        <w:spacing w:after="0" w:line="240" w:lineRule="auto"/>
        <w:outlineLvl w:val="0"/>
        <w:rPr>
          <w:rFonts w:ascii="Cambria" w:eastAsia="Times New Roman" w:hAnsi="Cambria" w:cs="Times New Roman"/>
          <w:b/>
          <w:sz w:val="20"/>
          <w:szCs w:val="20"/>
        </w:rPr>
      </w:pPr>
      <w:r w:rsidRPr="004516BA">
        <w:rPr>
          <w:rFonts w:ascii="Cambria" w:eastAsia="Times New Roman" w:hAnsi="Cambria" w:cs="Times New Roman"/>
          <w:b/>
          <w:sz w:val="20"/>
          <w:szCs w:val="20"/>
        </w:rPr>
        <w:t xml:space="preserve">Actions </w:t>
      </w:r>
      <w:proofErr w:type="gramStart"/>
      <w:r w:rsidRPr="004516BA">
        <w:rPr>
          <w:rFonts w:ascii="Cambria" w:eastAsia="Times New Roman" w:hAnsi="Cambria" w:cs="Times New Roman"/>
          <w:b/>
          <w:sz w:val="20"/>
          <w:szCs w:val="20"/>
        </w:rPr>
        <w:t>suite à</w:t>
      </w:r>
      <w:proofErr w:type="gramEnd"/>
      <w:r w:rsidRPr="004516BA">
        <w:rPr>
          <w:rFonts w:ascii="Cambria" w:eastAsia="Times New Roman" w:hAnsi="Cambria" w:cs="Times New Roman"/>
          <w:b/>
          <w:sz w:val="20"/>
          <w:szCs w:val="20"/>
        </w:rPr>
        <w:t xml:space="preserve"> l’adoption de la liste finale de navires IUU</w:t>
      </w:r>
    </w:p>
    <w:p w14:paraId="5FB8B530" w14:textId="77777777" w:rsidR="002D4C59" w:rsidRPr="004516BA" w:rsidRDefault="002D4C59" w:rsidP="002D4C59">
      <w:pPr>
        <w:widowControl w:val="0"/>
        <w:spacing w:after="0" w:line="240" w:lineRule="auto"/>
        <w:rPr>
          <w:rFonts w:ascii="Cambria" w:eastAsia="Times New Roman" w:hAnsi="Cambria" w:cs="Times New Roman"/>
          <w:b/>
          <w:sz w:val="14"/>
          <w:szCs w:val="14"/>
        </w:rPr>
      </w:pPr>
    </w:p>
    <w:p w14:paraId="4C0BD617" w14:textId="39AD5810" w:rsidR="002D4C59" w:rsidRPr="004516BA" w:rsidRDefault="00585B2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8.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Après adoption de la liste finale de navires IUU, le Secrétaire exécutif devra demander aux CPC et aux non-CPC dont les navires figurent sur la liste finale de navires IUU de l’ICCAT :</w:t>
      </w:r>
    </w:p>
    <w:p w14:paraId="7D212085" w14:textId="77777777" w:rsidR="002D4C59" w:rsidRPr="004516BA" w:rsidRDefault="002D4C59" w:rsidP="002D4C59">
      <w:pPr>
        <w:widowControl w:val="0"/>
        <w:spacing w:after="0" w:line="240" w:lineRule="auto"/>
        <w:rPr>
          <w:rFonts w:ascii="Cambria" w:eastAsia="Times New Roman" w:hAnsi="Cambria" w:cs="Times New Roman"/>
          <w:sz w:val="14"/>
          <w:szCs w:val="14"/>
        </w:rPr>
      </w:pPr>
    </w:p>
    <w:p w14:paraId="7AE98B4B" w14:textId="77777777" w:rsidR="002D4C59" w:rsidRPr="004516BA" w:rsidRDefault="002D4C59" w:rsidP="002D4C59">
      <w:pPr>
        <w:widowControl w:val="0"/>
        <w:numPr>
          <w:ilvl w:val="0"/>
          <w:numId w:val="4"/>
        </w:numPr>
        <w:tabs>
          <w:tab w:val="left" w:pos="828"/>
        </w:tabs>
        <w:spacing w:after="0" w:line="240" w:lineRule="auto"/>
        <w:ind w:right="112"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notifier au propriétaire du navire identifié sur la liste finale de navires IUU son inclusion sur la liste et les conséquences découlant de cette inclusion, tel que mentionné au paragraphe 9 ; </w:t>
      </w:r>
    </w:p>
    <w:p w14:paraId="2DD4DB14" w14:textId="77777777" w:rsidR="002D4C59" w:rsidRPr="004516BA" w:rsidRDefault="002D4C59" w:rsidP="002D4C59">
      <w:pPr>
        <w:widowControl w:val="0"/>
        <w:numPr>
          <w:ilvl w:val="0"/>
          <w:numId w:val="4"/>
        </w:numPr>
        <w:tabs>
          <w:tab w:val="left" w:pos="828"/>
        </w:tabs>
        <w:spacing w:after="0" w:line="240" w:lineRule="auto"/>
        <w:ind w:right="112"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prendre toutes les mesures nécessaires pour éliminer ces activités de pêche IUU, y compris si nécessaire, la révocation de l'immatriculation ou des licences de pêche de ces navires, et d'informer la Commission des mesures prises à cet égard.</w:t>
      </w:r>
    </w:p>
    <w:p w14:paraId="59E5536C" w14:textId="77777777" w:rsidR="002D4C59" w:rsidRPr="004516BA" w:rsidRDefault="002D4C59" w:rsidP="002D4C59">
      <w:pPr>
        <w:widowControl w:val="0"/>
        <w:tabs>
          <w:tab w:val="left" w:pos="828"/>
        </w:tabs>
        <w:spacing w:after="0" w:line="240" w:lineRule="auto"/>
        <w:ind w:left="823" w:right="112"/>
        <w:rPr>
          <w:rFonts w:ascii="Cambria" w:eastAsia="Times New Roman" w:hAnsi="Cambria" w:cs="Times New Roman"/>
          <w:sz w:val="20"/>
          <w:szCs w:val="20"/>
        </w:rPr>
      </w:pPr>
    </w:p>
    <w:p w14:paraId="4DBE492D" w14:textId="00326696" w:rsidR="002D4C59" w:rsidRPr="004516BA" w:rsidRDefault="00AB18EA"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9.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Les CPC devront prendre toutes les mesures nécessaires, dans le cadre de leur législation applicable pour :</w:t>
      </w:r>
    </w:p>
    <w:p w14:paraId="180A0F41"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54F7E42A" w14:textId="77777777" w:rsidR="002D4C59" w:rsidRPr="004516BA" w:rsidRDefault="002D4C59" w:rsidP="00AB18EA">
      <w:pPr>
        <w:widowControl w:val="0"/>
        <w:numPr>
          <w:ilvl w:val="0"/>
          <w:numId w:val="4"/>
        </w:numPr>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garantir que les navires de pêche, les navires de support, les navires de ravitaillement en combustible, les navires-mère et les navires de charge arborant leur pavillon n’aident en aucune façon les navires inscrits sur la liste de navires IUU, ne s’adonnent à aucune opération de transformation du poisson ni ne participent à aucune activité de transbordement ou opération de pêche conjointe avec ceux-ci ;</w:t>
      </w:r>
    </w:p>
    <w:p w14:paraId="44F8F7E6" w14:textId="77777777" w:rsidR="002D4C59" w:rsidRPr="004516BA" w:rsidRDefault="002D4C59" w:rsidP="002D4C59">
      <w:pPr>
        <w:widowControl w:val="0"/>
        <w:numPr>
          <w:ilvl w:val="0"/>
          <w:numId w:val="4"/>
        </w:numPr>
        <w:tabs>
          <w:tab w:val="left" w:pos="839"/>
        </w:tabs>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lastRenderedPageBreak/>
        <w:t>garantir que les navires IUU ne soient pas autorisés à débarquer, à transborder, à se ravitailler en combustible, à s’approvisionner ou à se livrer à d’autres transactions commerciales ; interdire l’accès à leurs ports aux navires inscrits sur la liste IUU, sauf en cas de force majeure, à moins que les navires ne soient autorisés à accéder à un port à des fins exclusives d’inspection et de mesures d’exécution efficaces ;</w:t>
      </w:r>
    </w:p>
    <w:p w14:paraId="1E4B07D3" w14:textId="77777777" w:rsidR="002D4C59" w:rsidRPr="004516BA" w:rsidRDefault="002D4C59" w:rsidP="002D4C59">
      <w:pPr>
        <w:widowControl w:val="0"/>
        <w:numPr>
          <w:ilvl w:val="0"/>
          <w:numId w:val="4"/>
        </w:numPr>
        <w:tabs>
          <w:tab w:val="left" w:pos="885"/>
        </w:tabs>
        <w:spacing w:before="120" w:after="80" w:line="240" w:lineRule="auto"/>
        <w:ind w:right="110"/>
        <w:jc w:val="both"/>
        <w:rPr>
          <w:rFonts w:ascii="Cambria" w:eastAsia="Times New Roman" w:hAnsi="Cambria" w:cs="Times New Roman"/>
          <w:sz w:val="20"/>
          <w:szCs w:val="20"/>
        </w:rPr>
      </w:pPr>
      <w:r w:rsidRPr="004516BA">
        <w:rPr>
          <w:rFonts w:ascii="Cambria" w:eastAsia="Times New Roman" w:hAnsi="Cambria" w:cs="Times New Roman"/>
          <w:sz w:val="20"/>
          <w:szCs w:val="20"/>
        </w:rPr>
        <w:t>garantir, dans la mesure du possible, l’inspection des navires qui figurent sur la liste IUU, si ces navires sont localisés pour d’autres motifs dans leur port ;</w:t>
      </w:r>
    </w:p>
    <w:p w14:paraId="3F77F841" w14:textId="77777777" w:rsidR="002D4C59" w:rsidRPr="004516BA" w:rsidRDefault="002D4C59" w:rsidP="002D4C59">
      <w:pPr>
        <w:widowControl w:val="0"/>
        <w:numPr>
          <w:ilvl w:val="0"/>
          <w:numId w:val="4"/>
        </w:numPr>
        <w:tabs>
          <w:tab w:val="left" w:pos="839"/>
        </w:tabs>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interdire l’affrètement d’un navire inscrit sur la liste de navires IUU ;</w:t>
      </w:r>
    </w:p>
    <w:p w14:paraId="787B9DD7" w14:textId="2962A67C" w:rsidR="002D4C59" w:rsidRPr="004516BA" w:rsidRDefault="002D4C59" w:rsidP="002D4C59">
      <w:pPr>
        <w:widowControl w:val="0"/>
        <w:numPr>
          <w:ilvl w:val="0"/>
          <w:numId w:val="4"/>
        </w:numPr>
        <w:tabs>
          <w:tab w:val="left" w:pos="839"/>
        </w:tabs>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refuser d'accorder leur pavillon à des navires inclus sur la liste IUU, excepté dans le cas où le navire aurait changé de propriétaire effectif et que le nouveau propriétaire peut établir de manière probante que le propriétaire ou </w:t>
      </w:r>
      <w:r w:rsidR="00D953D2" w:rsidRPr="004516BA">
        <w:rPr>
          <w:rFonts w:ascii="Cambria" w:eastAsia="Times New Roman" w:hAnsi="Cambria" w:cs="Times New Roman"/>
          <w:sz w:val="20"/>
          <w:szCs w:val="20"/>
        </w:rPr>
        <w:t>l’opérateur</w:t>
      </w:r>
      <w:r w:rsidRPr="004516BA">
        <w:rPr>
          <w:rFonts w:ascii="Cambria" w:eastAsia="Times New Roman" w:hAnsi="Cambria" w:cs="Times New Roman"/>
          <w:sz w:val="20"/>
          <w:szCs w:val="20"/>
        </w:rPr>
        <w:t xml:space="preserve"> précédent n'a plus d'intérêts juridiques, financiers ou de fait dans le navire, ni n'exerce de contrôle sur celui-ci, ou ayant pris en compte tous les faits pertinents, la CPC de pavillon détermine que le fait d’accorder le pavillon à un navire n’entraînera pas la pêche IUU ;</w:t>
      </w:r>
    </w:p>
    <w:p w14:paraId="39634534" w14:textId="77777777" w:rsidR="002D4C59" w:rsidRPr="004516BA" w:rsidRDefault="002D4C59" w:rsidP="002D4C59">
      <w:pPr>
        <w:widowControl w:val="0"/>
        <w:numPr>
          <w:ilvl w:val="0"/>
          <w:numId w:val="4"/>
        </w:numPr>
        <w:tabs>
          <w:tab w:val="left" w:pos="839"/>
        </w:tabs>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interdire l’importation, le débarquement et/ou le transbordement de thonidés ou d'espèces voisines en provenance de navires inscrits sur la liste IUU ;</w:t>
      </w:r>
    </w:p>
    <w:p w14:paraId="3062BEB9" w14:textId="77777777" w:rsidR="002D4C59" w:rsidRPr="004516BA" w:rsidRDefault="002D4C59" w:rsidP="002D4C59">
      <w:pPr>
        <w:widowControl w:val="0"/>
        <w:numPr>
          <w:ilvl w:val="0"/>
          <w:numId w:val="4"/>
        </w:numPr>
        <w:tabs>
          <w:tab w:val="left" w:pos="839"/>
        </w:tabs>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encourager les importateurs, transporteurs et autres secteurs concernés, afin qu'ils s'abstiennent de négocier et de transborder des thonidés et espèces </w:t>
      </w:r>
      <w:proofErr w:type="gramStart"/>
      <w:r w:rsidRPr="004516BA">
        <w:rPr>
          <w:rFonts w:ascii="Cambria" w:eastAsia="Times New Roman" w:hAnsi="Cambria" w:cs="Times New Roman"/>
          <w:sz w:val="20"/>
          <w:szCs w:val="20"/>
        </w:rPr>
        <w:t>voisines capturés</w:t>
      </w:r>
      <w:proofErr w:type="gramEnd"/>
      <w:r w:rsidRPr="004516BA">
        <w:rPr>
          <w:rFonts w:ascii="Cambria" w:eastAsia="Times New Roman" w:hAnsi="Cambria" w:cs="Times New Roman"/>
          <w:sz w:val="20"/>
          <w:szCs w:val="20"/>
        </w:rPr>
        <w:t xml:space="preserve"> par des navires inscrits sur la liste IUU ;</w:t>
      </w:r>
    </w:p>
    <w:p w14:paraId="573B8916" w14:textId="6F07C101" w:rsidR="002D4C59" w:rsidRPr="004516BA" w:rsidRDefault="002D4C59" w:rsidP="002D4C59">
      <w:pPr>
        <w:widowControl w:val="0"/>
        <w:numPr>
          <w:ilvl w:val="0"/>
          <w:numId w:val="4"/>
        </w:numPr>
        <w:tabs>
          <w:tab w:val="left" w:pos="839"/>
        </w:tabs>
        <w:spacing w:after="80" w:line="240" w:lineRule="auto"/>
        <w:ind w:left="822" w:right="113"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recueillir et échanger avec les autres CPC toute information pertinente dans le but de rechercher, de contrôler </w:t>
      </w:r>
      <w:r w:rsidR="00D953D2" w:rsidRPr="004516BA">
        <w:rPr>
          <w:rFonts w:ascii="Cambria" w:eastAsia="Times New Roman" w:hAnsi="Cambria" w:cs="Times New Roman"/>
          <w:sz w:val="20"/>
          <w:szCs w:val="20"/>
        </w:rPr>
        <w:t>et</w:t>
      </w:r>
      <w:r w:rsidRPr="004516BA">
        <w:rPr>
          <w:rFonts w:ascii="Cambria" w:eastAsia="Times New Roman" w:hAnsi="Cambria" w:cs="Times New Roman"/>
          <w:sz w:val="20"/>
          <w:szCs w:val="20"/>
        </w:rPr>
        <w:t xml:space="preserve"> </w:t>
      </w:r>
      <w:r w:rsidR="00D953D2" w:rsidRPr="004516BA">
        <w:rPr>
          <w:rFonts w:ascii="Cambria" w:eastAsia="Times New Roman" w:hAnsi="Cambria" w:cs="Times New Roman"/>
          <w:sz w:val="20"/>
          <w:szCs w:val="20"/>
        </w:rPr>
        <w:t>d’</w:t>
      </w:r>
      <w:r w:rsidR="00B62597" w:rsidRPr="004516BA">
        <w:rPr>
          <w:rFonts w:ascii="Cambria" w:eastAsia="Times New Roman" w:hAnsi="Cambria" w:cs="Times New Roman"/>
          <w:sz w:val="20"/>
          <w:szCs w:val="20"/>
        </w:rPr>
        <w:t>empêcher</w:t>
      </w:r>
      <w:r w:rsidRPr="004516BA">
        <w:rPr>
          <w:rFonts w:ascii="Cambria" w:eastAsia="Times New Roman" w:hAnsi="Cambria" w:cs="Times New Roman"/>
          <w:sz w:val="20"/>
          <w:szCs w:val="20"/>
        </w:rPr>
        <w:t xml:space="preserve"> les faux documents (y compris les certificats d'importation/exportation) de thonidés ou d'espèces voisines en provenance de navires inscrits sur la liste IUU ; et</w:t>
      </w:r>
    </w:p>
    <w:p w14:paraId="2206EE94" w14:textId="77777777" w:rsidR="002D4C59" w:rsidRPr="004516BA" w:rsidRDefault="002D4C59" w:rsidP="002D4C59">
      <w:pPr>
        <w:widowControl w:val="0"/>
        <w:numPr>
          <w:ilvl w:val="0"/>
          <w:numId w:val="4"/>
        </w:numPr>
        <w:tabs>
          <w:tab w:val="left" w:pos="839"/>
        </w:tabs>
        <w:spacing w:after="0" w:line="240" w:lineRule="auto"/>
        <w:ind w:right="112" w:hanging="397"/>
        <w:jc w:val="both"/>
        <w:rPr>
          <w:rFonts w:ascii="Cambria" w:eastAsia="Times New Roman" w:hAnsi="Cambria" w:cs="Times New Roman"/>
          <w:sz w:val="20"/>
          <w:szCs w:val="20"/>
        </w:rPr>
      </w:pPr>
      <w:r w:rsidRPr="004516BA">
        <w:rPr>
          <w:rFonts w:ascii="Cambria" w:eastAsia="Times New Roman" w:hAnsi="Cambria" w:cs="Times New Roman"/>
          <w:sz w:val="20"/>
          <w:szCs w:val="20"/>
        </w:rPr>
        <w:t>faire un suivi des navires inscrits sur la liste IUU et soumettre rapidement toute information au Secrétaire exécutif concernant leurs activités et d’éventuels changements de nom, de pavillon, d’indicatif d’appel et/ou de propriétaire enregistré.</w:t>
      </w:r>
    </w:p>
    <w:p w14:paraId="7EFB7895" w14:textId="77777777" w:rsidR="002D4C59" w:rsidRPr="004516BA" w:rsidRDefault="002D4C59" w:rsidP="002D4C59">
      <w:pPr>
        <w:widowControl w:val="0"/>
        <w:tabs>
          <w:tab w:val="left" w:pos="839"/>
        </w:tabs>
        <w:spacing w:after="0" w:line="240" w:lineRule="auto"/>
        <w:ind w:right="112"/>
        <w:jc w:val="both"/>
        <w:rPr>
          <w:rFonts w:ascii="Cambria" w:eastAsia="Times New Roman" w:hAnsi="Cambria" w:cs="Times New Roman"/>
          <w:sz w:val="20"/>
          <w:szCs w:val="20"/>
        </w:rPr>
      </w:pPr>
    </w:p>
    <w:p w14:paraId="104DDDA6" w14:textId="24E14EF5" w:rsidR="002D4C59" w:rsidRPr="004516BA" w:rsidRDefault="00D953D2" w:rsidP="006A5F14">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10. </w:t>
      </w:r>
      <w:r w:rsidR="006A5F14"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 Secrétaire exécutif rendra publique la liste finale de navires IUU de l’ICCAT adoptée par l'ICCAT conformément au paragraphe 8 et en vertu des dispositions applicables en matière de confidentialité, par voie électronique, en la publiant, ainsi que toute information complémentaire d’appui sur les navires et les activités IUU, sur une section dédiée de la page web de l'ICCAT, à mettre à jour au fur et à mesure que les informations changent ou que des informations supplémentaires pertinentes deviennent disponibles. En outre, le Secrétaire exécutif de l’ICCAT transmettra rapidement aux autres ORGP la liste finale des navires IUU et les pièces justificatives sur les navires nouvellement ajoutés aux fins du renforcement de la coopération entre l’ICCAT et ces organisations dans le but de prévenir, décourager et éliminer la pêche IUU.</w:t>
      </w:r>
    </w:p>
    <w:p w14:paraId="3902A9EA" w14:textId="0DE79104" w:rsidR="002D4C59" w:rsidRPr="004516BA" w:rsidRDefault="002D4C59" w:rsidP="002D4C59">
      <w:pPr>
        <w:widowControl w:val="0"/>
        <w:tabs>
          <w:tab w:val="left" w:pos="480"/>
        </w:tabs>
        <w:spacing w:before="120" w:after="0" w:line="240" w:lineRule="auto"/>
        <w:ind w:right="110"/>
        <w:jc w:val="both"/>
        <w:rPr>
          <w:rFonts w:ascii="Cambria" w:eastAsia="Times New Roman" w:hAnsi="Cambria" w:cs="Times New Roman"/>
          <w:b/>
          <w:sz w:val="20"/>
          <w:szCs w:val="20"/>
        </w:rPr>
      </w:pPr>
      <w:r w:rsidRPr="004516BA">
        <w:rPr>
          <w:rFonts w:ascii="Cambria" w:eastAsia="Times New Roman" w:hAnsi="Cambria" w:cs="Times New Roman"/>
          <w:b/>
          <w:sz w:val="20"/>
          <w:szCs w:val="20"/>
        </w:rPr>
        <w:t>Modification intersession</w:t>
      </w:r>
      <w:r w:rsidR="00D953D2" w:rsidRPr="004516BA">
        <w:rPr>
          <w:rFonts w:ascii="Cambria" w:eastAsia="Times New Roman" w:hAnsi="Cambria" w:cs="Times New Roman"/>
          <w:b/>
          <w:sz w:val="20"/>
          <w:szCs w:val="20"/>
        </w:rPr>
        <w:t>s</w:t>
      </w:r>
      <w:r w:rsidRPr="004516BA">
        <w:rPr>
          <w:rFonts w:ascii="Cambria" w:eastAsia="Times New Roman" w:hAnsi="Cambria" w:cs="Times New Roman"/>
          <w:b/>
          <w:sz w:val="20"/>
          <w:szCs w:val="20"/>
        </w:rPr>
        <w:t xml:space="preserve"> de la liste finale de navires IUU de l’ICCAT</w:t>
      </w:r>
    </w:p>
    <w:p w14:paraId="363D4369" w14:textId="77777777" w:rsidR="002D4C59" w:rsidRPr="004516BA" w:rsidRDefault="002D4C59" w:rsidP="002D4C59">
      <w:pPr>
        <w:widowControl w:val="0"/>
        <w:spacing w:after="0" w:line="240" w:lineRule="auto"/>
        <w:ind w:left="426" w:right="111"/>
        <w:jc w:val="both"/>
        <w:rPr>
          <w:rFonts w:ascii="Cambria" w:eastAsia="Times New Roman" w:hAnsi="Cambria" w:cs="Times New Roman"/>
          <w:sz w:val="20"/>
          <w:szCs w:val="20"/>
        </w:rPr>
      </w:pPr>
    </w:p>
    <w:p w14:paraId="674FDEF8" w14:textId="77777777" w:rsidR="002D4C59" w:rsidRPr="004516BA" w:rsidRDefault="002D4C59" w:rsidP="002D4C59">
      <w:pPr>
        <w:widowControl w:val="0"/>
        <w:tabs>
          <w:tab w:val="left" w:pos="480"/>
        </w:tabs>
        <w:spacing w:after="0" w:line="240" w:lineRule="auto"/>
        <w:ind w:right="110"/>
        <w:rPr>
          <w:rFonts w:ascii="Cambria" w:eastAsia="Times New Roman" w:hAnsi="Cambria" w:cs="Times New Roman"/>
          <w:b/>
          <w:i/>
          <w:sz w:val="20"/>
          <w:szCs w:val="20"/>
        </w:rPr>
      </w:pPr>
      <w:r w:rsidRPr="004516BA">
        <w:rPr>
          <w:rFonts w:ascii="Cambria" w:eastAsia="Times New Roman" w:hAnsi="Cambria" w:cs="Times New Roman"/>
          <w:b/>
          <w:i/>
          <w:sz w:val="20"/>
          <w:szCs w:val="20"/>
        </w:rPr>
        <w:t>Incorporation de listes de navires IUU d’autres ORGP</w:t>
      </w:r>
    </w:p>
    <w:p w14:paraId="7E29C966" w14:textId="77777777" w:rsidR="002D4C59" w:rsidRPr="004516BA" w:rsidRDefault="002D4C59" w:rsidP="002D4C59">
      <w:pPr>
        <w:widowControl w:val="0"/>
        <w:tabs>
          <w:tab w:val="left" w:pos="480"/>
        </w:tabs>
        <w:spacing w:after="0" w:line="240" w:lineRule="auto"/>
        <w:ind w:right="110"/>
        <w:rPr>
          <w:rFonts w:ascii="Cambria" w:eastAsia="Times New Roman" w:hAnsi="Cambria" w:cs="Times New Roman"/>
          <w:b/>
          <w:sz w:val="20"/>
          <w:szCs w:val="20"/>
        </w:rPr>
      </w:pPr>
    </w:p>
    <w:p w14:paraId="5555D2A2" w14:textId="4415B5B6" w:rsidR="00554C4F" w:rsidRPr="004516BA" w:rsidRDefault="00D953D2" w:rsidP="006A5F14">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11. </w:t>
      </w:r>
      <w:r w:rsidR="006A5F14"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Après réception de la liste finale des navires IUU finale établie par une autre ORGP</w:t>
      </w:r>
      <w:r w:rsidR="002D4C59" w:rsidRPr="004516BA">
        <w:rPr>
          <w:rStyle w:val="FootnoteReference"/>
          <w:rFonts w:eastAsia="Times New Roman" w:cs="Times New Roman"/>
        </w:rPr>
        <w:footnoteReference w:id="1"/>
      </w:r>
      <w:r w:rsidR="002D4C59" w:rsidRPr="004516BA">
        <w:rPr>
          <w:rFonts w:ascii="Cambria" w:eastAsia="Times New Roman" w:hAnsi="Cambria" w:cs="Times New Roman"/>
          <w:sz w:val="20"/>
          <w:szCs w:val="20"/>
        </w:rPr>
        <w:t xml:space="preserve"> et de toute information d’appui examinée par cette ORGP, et de toute autre information relative à la décision d’inscription sur la liste, comme les sections pertinentes du rapport de réunion de l’ORGP, le Secrétaire exécutif devra diffuser cette information aux CPC et aux non-CPC pertinentes. Les navires qui auront été inclus dans les listes respectives, devront être inclus dans la liste finale des navires IUU de l’ICCAT, sauf si une Partie contractante soumet une objection à l’inclusion sur la liste IUU finale de l’ICCAT, dans les 30 jours suivant la date de transmission de l’information par le Secrétaire exécutif, aux motifs suivants :</w:t>
      </w:r>
      <w:r w:rsidR="00554C4F" w:rsidRPr="004516BA">
        <w:rPr>
          <w:rFonts w:ascii="Cambria" w:eastAsia="Times New Roman" w:hAnsi="Cambria" w:cs="Times New Roman"/>
          <w:sz w:val="20"/>
          <w:szCs w:val="20"/>
        </w:rPr>
        <w:br w:type="page"/>
      </w:r>
    </w:p>
    <w:p w14:paraId="06F69A2D" w14:textId="17A2A30C" w:rsidR="002D4C59" w:rsidRPr="004516BA" w:rsidRDefault="002D4C59" w:rsidP="002D4C59">
      <w:pPr>
        <w:widowControl w:val="0"/>
        <w:spacing w:after="0" w:line="240" w:lineRule="auto"/>
        <w:ind w:left="851"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lastRenderedPageBreak/>
        <w:t>a)</w:t>
      </w:r>
      <w:r w:rsidRPr="004516BA">
        <w:rPr>
          <w:rFonts w:ascii="Cambria" w:eastAsia="Times New Roman" w:hAnsi="Cambria" w:cs="Times New Roman"/>
          <w:sz w:val="20"/>
          <w:szCs w:val="20"/>
        </w:rPr>
        <w:tab/>
        <w:t>il existe des informations satisfaisantes établissant que :</w:t>
      </w:r>
    </w:p>
    <w:p w14:paraId="3D855E94"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408A3061" w14:textId="77777777" w:rsidR="002D4C59" w:rsidRPr="004516BA" w:rsidRDefault="002D4C59" w:rsidP="002D4C59">
      <w:pPr>
        <w:pStyle w:val="ListParagraph"/>
        <w:widowControl w:val="0"/>
        <w:numPr>
          <w:ilvl w:val="1"/>
          <w:numId w:val="10"/>
        </w:numPr>
        <w:spacing w:after="0" w:line="240" w:lineRule="auto"/>
        <w:ind w:left="1276"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le navire n’a pas pris part aux activités de pêche IUU identifiées par une autre ORGP, </w:t>
      </w:r>
      <w:proofErr w:type="gramStart"/>
      <w:r w:rsidRPr="004516BA">
        <w:rPr>
          <w:rFonts w:ascii="Cambria" w:eastAsia="Times New Roman" w:hAnsi="Cambria" w:cs="Times New Roman"/>
          <w:sz w:val="20"/>
          <w:szCs w:val="20"/>
        </w:rPr>
        <w:t>ou</w:t>
      </w:r>
      <w:proofErr w:type="gramEnd"/>
    </w:p>
    <w:p w14:paraId="03D01888" w14:textId="21F97EFE" w:rsidR="002D4C59" w:rsidRPr="004516BA" w:rsidRDefault="002D4C59" w:rsidP="002D4C59">
      <w:pPr>
        <w:widowControl w:val="0"/>
        <w:numPr>
          <w:ilvl w:val="1"/>
          <w:numId w:val="10"/>
        </w:numPr>
        <w:spacing w:after="0" w:line="240" w:lineRule="auto"/>
        <w:ind w:left="1276"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des mesures effectives ont été prises en réponse aux activités de pêche IUU en question, y compris, entre autres, des poursuites et l’imposition de sanctions d’une sévérité adéquate </w:t>
      </w:r>
      <w:r w:rsidRPr="004516BA">
        <w:rPr>
          <w:rFonts w:ascii="Cambria" w:eastAsia="Times New Roman" w:hAnsi="Cambria" w:cs="Times New Roman"/>
          <w:bCs/>
          <w:sz w:val="20"/>
          <w:szCs w:val="20"/>
        </w:rPr>
        <w:t>qui ont été respectées,</w:t>
      </w:r>
    </w:p>
    <w:p w14:paraId="7B898912" w14:textId="77777777" w:rsidR="00F734BF" w:rsidRPr="004516BA" w:rsidRDefault="00F734BF" w:rsidP="00F734BF">
      <w:pPr>
        <w:widowControl w:val="0"/>
        <w:spacing w:after="0" w:line="240" w:lineRule="auto"/>
        <w:ind w:left="1276"/>
        <w:jc w:val="both"/>
        <w:rPr>
          <w:rFonts w:ascii="Cambria" w:eastAsia="Times New Roman" w:hAnsi="Cambria" w:cs="Times New Roman"/>
          <w:sz w:val="20"/>
          <w:szCs w:val="20"/>
        </w:rPr>
      </w:pPr>
    </w:p>
    <w:p w14:paraId="6149CF21" w14:textId="65654490" w:rsidR="002D4C59" w:rsidRPr="004516BA" w:rsidRDefault="002D4C59" w:rsidP="002D4C59">
      <w:pPr>
        <w:widowControl w:val="0"/>
        <w:spacing w:after="0" w:line="240" w:lineRule="auto"/>
        <w:ind w:left="851"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b)</w:t>
      </w:r>
      <w:r w:rsidRPr="004516BA">
        <w:rPr>
          <w:rFonts w:ascii="Cambria" w:eastAsia="Times New Roman" w:hAnsi="Cambria" w:cs="Times New Roman"/>
          <w:sz w:val="20"/>
          <w:szCs w:val="20"/>
        </w:rPr>
        <w:tab/>
        <w:t xml:space="preserve">il </w:t>
      </w:r>
      <w:r w:rsidR="00F734BF" w:rsidRPr="004516BA">
        <w:rPr>
          <w:rFonts w:ascii="Cambria" w:eastAsia="Times New Roman" w:hAnsi="Cambria" w:cs="Times New Roman"/>
          <w:sz w:val="20"/>
          <w:szCs w:val="20"/>
        </w:rPr>
        <w:t>n’</w:t>
      </w:r>
      <w:r w:rsidRPr="004516BA">
        <w:rPr>
          <w:rFonts w:ascii="Cambria" w:eastAsia="Times New Roman" w:hAnsi="Cambria" w:cs="Times New Roman"/>
          <w:sz w:val="20"/>
          <w:szCs w:val="20"/>
        </w:rPr>
        <w:t xml:space="preserve">existe </w:t>
      </w:r>
      <w:r w:rsidR="00F734BF" w:rsidRPr="004516BA">
        <w:rPr>
          <w:rFonts w:ascii="Cambria" w:eastAsia="Times New Roman" w:hAnsi="Cambria" w:cs="Times New Roman"/>
          <w:sz w:val="20"/>
          <w:szCs w:val="20"/>
        </w:rPr>
        <w:t>pas suffisamment</w:t>
      </w:r>
      <w:r w:rsidRPr="004516BA">
        <w:rPr>
          <w:rFonts w:ascii="Cambria" w:eastAsia="Times New Roman" w:hAnsi="Cambria" w:cs="Times New Roman"/>
          <w:sz w:val="20"/>
          <w:szCs w:val="20"/>
        </w:rPr>
        <w:t xml:space="preserve"> d’informations en appui et d’autres informations relatives à la décision d’inscription sur la liste pour établir qu’aucune des conditions visées au sous-paragraphe 11 a) ci-dessus n’a été remplie.</w:t>
      </w:r>
    </w:p>
    <w:p w14:paraId="679C07E4" w14:textId="77777777" w:rsidR="002D4C59" w:rsidRPr="004516BA" w:rsidRDefault="002D4C59" w:rsidP="002D4C59">
      <w:pPr>
        <w:widowControl w:val="0"/>
        <w:spacing w:after="0" w:line="240" w:lineRule="auto"/>
        <w:rPr>
          <w:rFonts w:ascii="Cambria" w:eastAsia="Times New Roman" w:hAnsi="Cambria" w:cs="Times New Roman"/>
          <w:sz w:val="20"/>
          <w:szCs w:val="20"/>
        </w:rPr>
      </w:pPr>
      <w:proofErr w:type="gramStart"/>
      <w:r w:rsidRPr="004516BA">
        <w:rPr>
          <w:rFonts w:ascii="Cambria" w:eastAsia="Times New Roman" w:hAnsi="Cambria" w:cs="Times New Roman"/>
          <w:sz w:val="20"/>
          <w:szCs w:val="20"/>
        </w:rPr>
        <w:t>ou</w:t>
      </w:r>
      <w:proofErr w:type="gramEnd"/>
    </w:p>
    <w:p w14:paraId="67E7AD09"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3DE63219" w14:textId="77777777" w:rsidR="002D4C59" w:rsidRPr="004516BA" w:rsidRDefault="002D4C59" w:rsidP="002D4C59">
      <w:pPr>
        <w:widowControl w:val="0"/>
        <w:spacing w:after="0" w:line="240" w:lineRule="auto"/>
        <w:ind w:left="851"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c)</w:t>
      </w:r>
      <w:r w:rsidRPr="004516BA">
        <w:rPr>
          <w:rFonts w:ascii="Cambria" w:eastAsia="Times New Roman" w:hAnsi="Cambria" w:cs="Times New Roman"/>
          <w:sz w:val="20"/>
          <w:szCs w:val="20"/>
        </w:rPr>
        <w:tab/>
        <w:t>Dans le cas des navires inscrits par une ORGP non thonière, le lien entre la conservation et la gestion des espèces de l’ICCAT est insuffisant pour justifier l’inscription croisée sur une liste.</w:t>
      </w:r>
    </w:p>
    <w:p w14:paraId="431CBE47" w14:textId="77777777" w:rsidR="002D4C59" w:rsidRPr="004516BA" w:rsidRDefault="002D4C59" w:rsidP="002D4C59">
      <w:pPr>
        <w:pStyle w:val="ListParagraph"/>
        <w:widowControl w:val="0"/>
        <w:spacing w:after="0" w:line="240" w:lineRule="auto"/>
        <w:ind w:left="838"/>
        <w:rPr>
          <w:rFonts w:ascii="Cambria" w:eastAsia="Times New Roman" w:hAnsi="Cambria" w:cs="Times New Roman"/>
          <w:sz w:val="20"/>
          <w:szCs w:val="20"/>
        </w:rPr>
      </w:pPr>
    </w:p>
    <w:p w14:paraId="40BC716D" w14:textId="6CD9A84C" w:rsidR="002D4C59" w:rsidRPr="004516BA" w:rsidRDefault="002D4C59" w:rsidP="002D4C59">
      <w:pPr>
        <w:widowControl w:val="0"/>
        <w:spacing w:after="0" w:line="240" w:lineRule="auto"/>
        <w:ind w:left="851" w:right="111"/>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Dans le cas d’une objection à l’inclusion à la liste finale des navires IUU de l’ICCAT, d’un navire répertorié par une autre ORGP, en vertu des dispositions du présent paragraphe, ce navire devra être </w:t>
      </w:r>
      <w:r w:rsidR="00F734BF" w:rsidRPr="004516BA">
        <w:rPr>
          <w:rFonts w:ascii="Cambria" w:eastAsia="Times New Roman" w:hAnsi="Cambria" w:cs="Times New Roman"/>
          <w:sz w:val="20"/>
          <w:szCs w:val="20"/>
        </w:rPr>
        <w:t>inscrit</w:t>
      </w:r>
      <w:r w:rsidRPr="004516BA">
        <w:rPr>
          <w:rFonts w:ascii="Cambria" w:eastAsia="Times New Roman" w:hAnsi="Cambria" w:cs="Times New Roman"/>
          <w:sz w:val="20"/>
          <w:szCs w:val="20"/>
        </w:rPr>
        <w:t xml:space="preserve"> sur le projet de liste de navires IUU et examiné par le PWG conformément au paragraphe 6.</w:t>
      </w:r>
    </w:p>
    <w:p w14:paraId="18582EF4" w14:textId="77777777" w:rsidR="002D4C59" w:rsidRPr="004516BA" w:rsidRDefault="002D4C59" w:rsidP="002D4C59">
      <w:pPr>
        <w:widowControl w:val="0"/>
        <w:spacing w:after="0" w:line="240" w:lineRule="auto"/>
        <w:ind w:left="478" w:right="111"/>
        <w:jc w:val="both"/>
        <w:rPr>
          <w:rFonts w:ascii="Cambria" w:eastAsia="Times New Roman" w:hAnsi="Cambria" w:cs="Times New Roman"/>
          <w:sz w:val="20"/>
          <w:szCs w:val="20"/>
        </w:rPr>
      </w:pPr>
    </w:p>
    <w:p w14:paraId="0A0DFDA4" w14:textId="72F0446F" w:rsidR="002D4C59" w:rsidRPr="004516BA" w:rsidRDefault="00F734BF"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12.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 Secrétaire exécutif de l'ICCAT devra mettre en œuvre le paragraphe 11 conformément aux procédures suivantes :</w:t>
      </w:r>
    </w:p>
    <w:p w14:paraId="55C83C7E" w14:textId="77777777" w:rsidR="002D4C59" w:rsidRPr="004516BA" w:rsidRDefault="002D4C59" w:rsidP="002D4C59">
      <w:pPr>
        <w:widowControl w:val="0"/>
        <w:spacing w:after="0" w:line="240" w:lineRule="auto"/>
        <w:ind w:right="111"/>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 </w:t>
      </w:r>
    </w:p>
    <w:p w14:paraId="7DC58549" w14:textId="735158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a)</w:t>
      </w:r>
      <w:r w:rsidRPr="004516BA">
        <w:rPr>
          <w:rFonts w:ascii="Cambria" w:eastAsia="Times New Roman" w:hAnsi="Cambria" w:cs="Times New Roman"/>
          <w:sz w:val="20"/>
          <w:szCs w:val="20"/>
        </w:rPr>
        <w:tab/>
        <w:t xml:space="preserve">Le </w:t>
      </w:r>
      <w:r w:rsidR="00F734BF"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 xml:space="preserve">de l'ICCAT devra </w:t>
      </w:r>
      <w:r w:rsidR="00321D85" w:rsidRPr="004516BA">
        <w:rPr>
          <w:rFonts w:ascii="Cambria" w:eastAsia="Times New Roman" w:hAnsi="Cambria" w:cs="Times New Roman"/>
          <w:sz w:val="20"/>
          <w:szCs w:val="20"/>
        </w:rPr>
        <w:t>maintenir</w:t>
      </w:r>
      <w:r w:rsidRPr="004516BA">
        <w:rPr>
          <w:rFonts w:ascii="Cambria" w:eastAsia="Times New Roman" w:hAnsi="Cambria" w:cs="Times New Roman"/>
          <w:sz w:val="20"/>
          <w:szCs w:val="20"/>
        </w:rPr>
        <w:t xml:space="preserve"> des contacts appropriés avec les secrétariats des autres ORGP afin d'obtenir des exemplaires des listes de navires IUU de ces ORGP en temps opportun lors de leur adoption ou modification, y compris en demandant tous les ans une copie des listes de navires IUU de ces ORGP à la fin de la réunion de l’ORGP durant laquelle sa liste IUU finale est adoptée.</w:t>
      </w:r>
    </w:p>
    <w:p w14:paraId="1D9747B8" w14:textId="03153063"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p>
    <w:p w14:paraId="4FA71D9B" w14:textId="52645878"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b)</w:t>
      </w:r>
      <w:r w:rsidRPr="004516BA">
        <w:rPr>
          <w:rFonts w:ascii="Cambria" w:eastAsia="Times New Roman" w:hAnsi="Cambria" w:cs="Times New Roman"/>
          <w:sz w:val="20"/>
          <w:szCs w:val="20"/>
        </w:rPr>
        <w:tab/>
        <w:t xml:space="preserve">Dès l’adoption ou l’amendement d’une liste de navires IUU par une autre ORGP, le </w:t>
      </w:r>
      <w:r w:rsidR="00F734BF"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de l’ICCAT recueillera tous les documents d’appui disponibles auprès de cette ORGP concernant les motifs de l’inscription/</w:t>
      </w:r>
      <w:r w:rsidR="00F734BF" w:rsidRPr="004516BA">
        <w:rPr>
          <w:rFonts w:ascii="Cambria" w:eastAsia="Times New Roman" w:hAnsi="Cambria" w:cs="Times New Roman"/>
          <w:sz w:val="20"/>
          <w:szCs w:val="20"/>
        </w:rPr>
        <w:t xml:space="preserve">de la </w:t>
      </w:r>
      <w:r w:rsidRPr="004516BA">
        <w:rPr>
          <w:rFonts w:ascii="Cambria" w:eastAsia="Times New Roman" w:hAnsi="Cambria" w:cs="Times New Roman"/>
          <w:sz w:val="20"/>
          <w:szCs w:val="20"/>
        </w:rPr>
        <w:t>radiation de la liste.</w:t>
      </w:r>
    </w:p>
    <w:p w14:paraId="5927B340" w14:textId="61ECB18E"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p>
    <w:p w14:paraId="63148653" w14:textId="6061D325"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c)</w:t>
      </w:r>
      <w:r w:rsidRPr="004516BA">
        <w:rPr>
          <w:rFonts w:ascii="Cambria" w:eastAsia="Times New Roman" w:hAnsi="Cambria" w:cs="Times New Roman"/>
          <w:sz w:val="20"/>
          <w:szCs w:val="20"/>
        </w:rPr>
        <w:tab/>
        <w:t xml:space="preserve">Une fois que le </w:t>
      </w:r>
      <w:r w:rsidR="00F734BF"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 xml:space="preserve">de l’ICCAT aura reçu/recueilli les informations décrites aux paragraphes </w:t>
      </w:r>
      <w:proofErr w:type="gramStart"/>
      <w:r w:rsidRPr="004516BA">
        <w:rPr>
          <w:rFonts w:ascii="Cambria" w:eastAsia="Times New Roman" w:hAnsi="Cambria" w:cs="Times New Roman"/>
          <w:sz w:val="20"/>
          <w:szCs w:val="20"/>
        </w:rPr>
        <w:t>a</w:t>
      </w:r>
      <w:proofErr w:type="gramEnd"/>
      <w:r w:rsidRPr="004516BA">
        <w:rPr>
          <w:rFonts w:ascii="Cambria" w:eastAsia="Times New Roman" w:hAnsi="Cambria" w:cs="Times New Roman"/>
          <w:sz w:val="20"/>
          <w:szCs w:val="20"/>
        </w:rPr>
        <w:t>) et b), il diffusera rapidement à toutes les CPC, conformément au paragraphe 11 de cette Recommandation, la liste de navires IUU d</w:t>
      </w:r>
      <w:r w:rsidR="006A5F14" w:rsidRPr="004516BA">
        <w:rPr>
          <w:rFonts w:ascii="Cambria" w:eastAsia="Times New Roman" w:hAnsi="Cambria" w:cs="Times New Roman"/>
          <w:sz w:val="20"/>
          <w:szCs w:val="20"/>
        </w:rPr>
        <w:t>’</w:t>
      </w:r>
      <w:r w:rsidRPr="004516BA">
        <w:rPr>
          <w:rFonts w:ascii="Cambria" w:eastAsia="Times New Roman" w:hAnsi="Cambria" w:cs="Times New Roman"/>
          <w:sz w:val="20"/>
          <w:szCs w:val="20"/>
        </w:rPr>
        <w:t>autre</w:t>
      </w:r>
      <w:r w:rsidR="006A5F14" w:rsidRPr="004516BA">
        <w:rPr>
          <w:rFonts w:ascii="Cambria" w:eastAsia="Times New Roman" w:hAnsi="Cambria" w:cs="Times New Roman"/>
          <w:sz w:val="20"/>
          <w:szCs w:val="20"/>
        </w:rPr>
        <w:t>s</w:t>
      </w:r>
      <w:r w:rsidRPr="004516BA">
        <w:rPr>
          <w:rFonts w:ascii="Cambria" w:eastAsia="Times New Roman" w:hAnsi="Cambria" w:cs="Times New Roman"/>
          <w:sz w:val="20"/>
          <w:szCs w:val="20"/>
        </w:rPr>
        <w:t xml:space="preserve"> ORGP, l’information à l’appui et toute autre information pertinente concernant le motif de l’inscription. La circulaire </w:t>
      </w:r>
      <w:r w:rsidR="006A5F14" w:rsidRPr="004516BA">
        <w:rPr>
          <w:rFonts w:ascii="Cambria" w:eastAsia="Times New Roman" w:hAnsi="Cambria" w:cs="Times New Roman"/>
          <w:sz w:val="20"/>
          <w:szCs w:val="20"/>
        </w:rPr>
        <w:t>correspondante</w:t>
      </w:r>
      <w:r w:rsidRPr="004516BA">
        <w:rPr>
          <w:rFonts w:ascii="Cambria" w:eastAsia="Times New Roman" w:hAnsi="Cambria" w:cs="Times New Roman"/>
          <w:sz w:val="20"/>
          <w:szCs w:val="20"/>
        </w:rPr>
        <w:t xml:space="preserve"> devra clairement indiquer la raison pour laquelle l'information est fournie, expliquer que les Parties contractantes à l'ICCAT ont 30 jours à compter de la date de la circulaire pour s'opposer à l'inscription des navires sur la liste des navires IUU de l'ICCAT, et que faute de cette objection, le navire sera ajouté à l'expiration de la période de 30 jours à la liste finale des navires IUU.</w:t>
      </w:r>
    </w:p>
    <w:p w14:paraId="25720375"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p>
    <w:p w14:paraId="21FB6929" w14:textId="466038E4"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d)</w:t>
      </w:r>
      <w:r w:rsidRPr="004516BA">
        <w:rPr>
          <w:rFonts w:ascii="Cambria" w:eastAsia="Times New Roman" w:hAnsi="Cambria" w:cs="Times New Roman"/>
          <w:sz w:val="20"/>
          <w:szCs w:val="20"/>
        </w:rPr>
        <w:tab/>
        <w:t xml:space="preserve">Le </w:t>
      </w:r>
      <w:r w:rsidR="006A5F14"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 xml:space="preserve">de l’ICCAT devra ajouter tout nouveau navire </w:t>
      </w:r>
      <w:r w:rsidR="00321D85" w:rsidRPr="004516BA">
        <w:rPr>
          <w:rFonts w:ascii="Cambria" w:eastAsia="Times New Roman" w:hAnsi="Cambria" w:cs="Times New Roman"/>
          <w:sz w:val="20"/>
          <w:szCs w:val="20"/>
        </w:rPr>
        <w:t>inclus</w:t>
      </w:r>
      <w:r w:rsidRPr="004516BA">
        <w:rPr>
          <w:rFonts w:ascii="Cambria" w:eastAsia="Times New Roman" w:hAnsi="Cambria" w:cs="Times New Roman"/>
          <w:sz w:val="20"/>
          <w:szCs w:val="20"/>
        </w:rPr>
        <w:t xml:space="preserve"> dans la liste de navires IUU d</w:t>
      </w:r>
      <w:r w:rsidR="006A5F14" w:rsidRPr="004516BA">
        <w:rPr>
          <w:rFonts w:ascii="Cambria" w:eastAsia="Times New Roman" w:hAnsi="Cambria" w:cs="Times New Roman"/>
          <w:sz w:val="20"/>
          <w:szCs w:val="20"/>
        </w:rPr>
        <w:t>’</w:t>
      </w:r>
      <w:r w:rsidRPr="004516BA">
        <w:rPr>
          <w:rFonts w:ascii="Cambria" w:eastAsia="Times New Roman" w:hAnsi="Cambria" w:cs="Times New Roman"/>
          <w:sz w:val="20"/>
          <w:szCs w:val="20"/>
        </w:rPr>
        <w:t>autre</w:t>
      </w:r>
      <w:r w:rsidR="006A5F14" w:rsidRPr="004516BA">
        <w:rPr>
          <w:rFonts w:ascii="Cambria" w:eastAsia="Times New Roman" w:hAnsi="Cambria" w:cs="Times New Roman"/>
          <w:sz w:val="20"/>
          <w:szCs w:val="20"/>
        </w:rPr>
        <w:t>s</w:t>
      </w:r>
      <w:r w:rsidRPr="004516BA">
        <w:rPr>
          <w:rFonts w:ascii="Cambria" w:eastAsia="Times New Roman" w:hAnsi="Cambria" w:cs="Times New Roman"/>
          <w:sz w:val="20"/>
          <w:szCs w:val="20"/>
        </w:rPr>
        <w:t xml:space="preserve"> ORGP à la liste finale de navires IUU de l’ICCAT, à la fin de la période de 30 jours sous réserve qu’aucune objection à cette inclusion n’ait été reçue d’une Partie contractante conformément au paragraphe 11 de cette Recommandation.</w:t>
      </w:r>
    </w:p>
    <w:p w14:paraId="44FE1293"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 </w:t>
      </w:r>
    </w:p>
    <w:p w14:paraId="621B7295" w14:textId="66692C4E"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e)</w:t>
      </w:r>
      <w:r w:rsidRPr="004516BA">
        <w:rPr>
          <w:rFonts w:ascii="Cambria" w:eastAsia="Times New Roman" w:hAnsi="Cambria" w:cs="Times New Roman"/>
          <w:sz w:val="20"/>
          <w:szCs w:val="20"/>
        </w:rPr>
        <w:tab/>
        <w:t xml:space="preserve">Si un navire a été inclus sur la liste finale de navires IUU de l’ICCAT uniquement en raison de son inscription sur la liste de navires IUU d’une autre ORGP, le </w:t>
      </w:r>
      <w:r w:rsidR="00941FAB"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 xml:space="preserve">de l’ICCAT devra immédiatement supprimer ce navire de la liste finale de navires IUU de l’ICCAT lorsqu’il aura été radié par l’ORGP qui l’avait inscrit à l’origine. </w:t>
      </w:r>
    </w:p>
    <w:p w14:paraId="5207AE85" w14:textId="77777777"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 </w:t>
      </w:r>
    </w:p>
    <w:p w14:paraId="0BBF0FD8" w14:textId="7D34D828" w:rsidR="002D4C59" w:rsidRPr="004516BA" w:rsidRDefault="002D4C59" w:rsidP="002D4C59">
      <w:pPr>
        <w:widowControl w:val="0"/>
        <w:tabs>
          <w:tab w:val="left" w:pos="838"/>
          <w:tab w:val="left" w:pos="839"/>
        </w:tabs>
        <w:spacing w:after="0" w:line="240" w:lineRule="auto"/>
        <w:ind w:left="851" w:right="114" w:hanging="425"/>
        <w:jc w:val="both"/>
        <w:rPr>
          <w:rFonts w:ascii="Cambria" w:eastAsia="Times New Roman" w:hAnsi="Cambria" w:cs="Times New Roman"/>
          <w:sz w:val="20"/>
          <w:szCs w:val="20"/>
        </w:rPr>
      </w:pPr>
      <w:r w:rsidRPr="004516BA">
        <w:rPr>
          <w:rFonts w:ascii="Cambria" w:eastAsia="Times New Roman" w:hAnsi="Cambria" w:cs="Times New Roman"/>
          <w:sz w:val="20"/>
          <w:szCs w:val="20"/>
        </w:rPr>
        <w:t>f)</w:t>
      </w:r>
      <w:r w:rsidRPr="004516BA">
        <w:rPr>
          <w:rFonts w:ascii="Cambria" w:eastAsia="Times New Roman" w:hAnsi="Cambria" w:cs="Times New Roman"/>
          <w:sz w:val="20"/>
          <w:szCs w:val="20"/>
        </w:rPr>
        <w:tab/>
        <w:t xml:space="preserve">Dès l’ajout ou la radiation de navires de la liste </w:t>
      </w:r>
      <w:r w:rsidR="00941FAB" w:rsidRPr="004516BA">
        <w:rPr>
          <w:rFonts w:ascii="Cambria" w:eastAsia="Times New Roman" w:hAnsi="Cambria" w:cs="Times New Roman"/>
          <w:sz w:val="20"/>
          <w:szCs w:val="20"/>
        </w:rPr>
        <w:t xml:space="preserve">finale </w:t>
      </w:r>
      <w:r w:rsidRPr="004516BA">
        <w:rPr>
          <w:rFonts w:ascii="Cambria" w:eastAsia="Times New Roman" w:hAnsi="Cambria" w:cs="Times New Roman"/>
          <w:sz w:val="20"/>
          <w:szCs w:val="20"/>
        </w:rPr>
        <w:t xml:space="preserve">de navires IUU de l’ICCAT conformément au paragraphe 11 ou 12 e) de </w:t>
      </w:r>
      <w:r w:rsidR="004817F0" w:rsidRPr="004516BA">
        <w:rPr>
          <w:rFonts w:ascii="Cambria" w:eastAsia="Times New Roman" w:hAnsi="Cambria" w:cs="Times New Roman"/>
          <w:sz w:val="20"/>
          <w:szCs w:val="20"/>
        </w:rPr>
        <w:t>la présente</w:t>
      </w:r>
      <w:r w:rsidRPr="004516BA">
        <w:rPr>
          <w:rFonts w:ascii="Cambria" w:eastAsia="Times New Roman" w:hAnsi="Cambria" w:cs="Times New Roman"/>
          <w:sz w:val="20"/>
          <w:szCs w:val="20"/>
        </w:rPr>
        <w:t xml:space="preserve"> Recommandation, le </w:t>
      </w:r>
      <w:r w:rsidR="00941FAB" w:rsidRPr="004516BA">
        <w:rPr>
          <w:rFonts w:ascii="Cambria" w:eastAsia="Times New Roman" w:hAnsi="Cambria" w:cs="Times New Roman"/>
          <w:sz w:val="20"/>
          <w:szCs w:val="20"/>
        </w:rPr>
        <w:t xml:space="preserve">Secrétariat </w:t>
      </w:r>
      <w:r w:rsidRPr="004516BA">
        <w:rPr>
          <w:rFonts w:ascii="Cambria" w:eastAsia="Times New Roman" w:hAnsi="Cambria" w:cs="Times New Roman"/>
          <w:sz w:val="20"/>
          <w:szCs w:val="20"/>
        </w:rPr>
        <w:t xml:space="preserve">de l’ICCAT devra rapidement diffuser à toutes les CPC de l’ICCAT et aux non-CPC concernées la liste </w:t>
      </w:r>
      <w:r w:rsidR="00941FAB" w:rsidRPr="004516BA">
        <w:rPr>
          <w:rFonts w:ascii="Cambria" w:eastAsia="Times New Roman" w:hAnsi="Cambria" w:cs="Times New Roman"/>
          <w:sz w:val="20"/>
          <w:szCs w:val="20"/>
        </w:rPr>
        <w:t xml:space="preserve">finale </w:t>
      </w:r>
      <w:r w:rsidRPr="004516BA">
        <w:rPr>
          <w:rFonts w:ascii="Cambria" w:eastAsia="Times New Roman" w:hAnsi="Cambria" w:cs="Times New Roman"/>
          <w:sz w:val="20"/>
          <w:szCs w:val="20"/>
        </w:rPr>
        <w:t>de navires IUU de l’ICCAT, telle qu’amendée.</w:t>
      </w:r>
    </w:p>
    <w:p w14:paraId="3BCF77AF" w14:textId="77777777" w:rsidR="002D4C59" w:rsidRPr="004516BA" w:rsidRDefault="002D4C59" w:rsidP="002D4C59">
      <w:pPr>
        <w:widowControl w:val="0"/>
        <w:spacing w:after="0" w:line="240" w:lineRule="auto"/>
        <w:outlineLvl w:val="0"/>
        <w:rPr>
          <w:rFonts w:ascii="Cambria" w:eastAsia="Times New Roman" w:hAnsi="Cambria" w:cs="Times New Roman"/>
          <w:b/>
          <w:sz w:val="20"/>
          <w:szCs w:val="20"/>
        </w:rPr>
      </w:pPr>
    </w:p>
    <w:p w14:paraId="1ACF9704" w14:textId="77777777" w:rsidR="00554C4F" w:rsidRPr="004516BA" w:rsidRDefault="00554C4F">
      <w:pPr>
        <w:pBdr>
          <w:top w:val="none" w:sz="0" w:space="0" w:color="auto"/>
          <w:left w:val="none" w:sz="0" w:space="0" w:color="auto"/>
          <w:bottom w:val="none" w:sz="0" w:space="0" w:color="auto"/>
          <w:right w:val="none" w:sz="0" w:space="0" w:color="auto"/>
          <w:between w:val="none" w:sz="0" w:space="0" w:color="auto"/>
        </w:pBdr>
        <w:rPr>
          <w:rFonts w:ascii="Cambria" w:eastAsia="Times New Roman" w:hAnsi="Cambria" w:cs="Times New Roman"/>
          <w:b/>
          <w:i/>
          <w:sz w:val="20"/>
          <w:szCs w:val="20"/>
        </w:rPr>
      </w:pPr>
      <w:r w:rsidRPr="004516BA">
        <w:rPr>
          <w:rFonts w:ascii="Cambria" w:eastAsia="Times New Roman" w:hAnsi="Cambria" w:cs="Times New Roman"/>
          <w:b/>
          <w:i/>
          <w:sz w:val="20"/>
          <w:szCs w:val="20"/>
        </w:rPr>
        <w:br w:type="page"/>
      </w:r>
    </w:p>
    <w:p w14:paraId="212F407B" w14:textId="400BABEE" w:rsidR="002D4C59" w:rsidRPr="004516BA" w:rsidRDefault="002D4C59" w:rsidP="002D4C59">
      <w:pPr>
        <w:widowControl w:val="0"/>
        <w:spacing w:after="0" w:line="240" w:lineRule="auto"/>
        <w:outlineLvl w:val="0"/>
        <w:rPr>
          <w:rFonts w:ascii="Cambria" w:eastAsia="Times New Roman" w:hAnsi="Cambria" w:cs="Times New Roman"/>
          <w:b/>
          <w:i/>
          <w:sz w:val="20"/>
          <w:szCs w:val="20"/>
        </w:rPr>
      </w:pPr>
      <w:r w:rsidRPr="004516BA">
        <w:rPr>
          <w:rFonts w:ascii="Cambria" w:eastAsia="Times New Roman" w:hAnsi="Cambria" w:cs="Times New Roman"/>
          <w:b/>
          <w:i/>
          <w:sz w:val="20"/>
          <w:szCs w:val="20"/>
        </w:rPr>
        <w:lastRenderedPageBreak/>
        <w:t>Radiation intersessions de la liste finale de navires IUU</w:t>
      </w:r>
    </w:p>
    <w:p w14:paraId="2CC9623C" w14:textId="77777777" w:rsidR="002D4C59" w:rsidRPr="004516BA" w:rsidRDefault="002D4C59" w:rsidP="00EF0511">
      <w:pPr>
        <w:widowControl w:val="0"/>
        <w:spacing w:after="0" w:line="240" w:lineRule="auto"/>
        <w:outlineLvl w:val="0"/>
        <w:rPr>
          <w:rFonts w:ascii="Cambria" w:eastAsia="Times New Roman" w:hAnsi="Cambria" w:cs="Times New Roman"/>
          <w:b/>
          <w:sz w:val="14"/>
          <w:szCs w:val="14"/>
        </w:rPr>
      </w:pPr>
    </w:p>
    <w:p w14:paraId="44CA7070" w14:textId="5C5A4474" w:rsidR="002D4C59" w:rsidRPr="004516BA" w:rsidRDefault="006A5F1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13.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Si une CPC ou une non-CPC dont le navire figure sur la liste finale de navires IUU souhaite demander que son navire soit radié de la liste finale de navires IUU pendant la période intersessions, celle-ci devra soumettre cette demande au Secrétaire exécutif de l’ICCAT le 15 juillet au plus tard de chaque année, accompagnée d’informations afin de prouver que celui-ci satisfait à un ou plusieurs motifs de radiation spécifiés au paragraphe 6.</w:t>
      </w:r>
    </w:p>
    <w:p w14:paraId="1A80B29E" w14:textId="77777777" w:rsidR="001F1F0F" w:rsidRPr="004516BA" w:rsidRDefault="001F1F0F" w:rsidP="001F1F0F">
      <w:pPr>
        <w:widowControl w:val="0"/>
        <w:spacing w:before="72" w:after="0" w:line="240" w:lineRule="auto"/>
        <w:ind w:left="426" w:right="111"/>
        <w:jc w:val="both"/>
        <w:rPr>
          <w:rFonts w:ascii="Cambria" w:eastAsia="Times New Roman" w:hAnsi="Cambria" w:cs="Times New Roman"/>
          <w:sz w:val="20"/>
          <w:szCs w:val="20"/>
        </w:rPr>
      </w:pPr>
    </w:p>
    <w:p w14:paraId="61E37E9A" w14:textId="4AE4E85C" w:rsidR="002D4C59" w:rsidRPr="004516BA" w:rsidRDefault="006A5F14" w:rsidP="00EF0511">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14. </w:t>
      </w:r>
      <w:r w:rsidR="00EF0511"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Sur la base des informations reçues avant la date limite du 15 juillet, le Secrétaire exécutif transmettra la demande de radiation, accompagnée de toutes les pièces justificatives, aux Parties contractantes dans les 15 jours suivant la réception de la demande de radiation.</w:t>
      </w:r>
    </w:p>
    <w:p w14:paraId="6F7CC889" w14:textId="77777777" w:rsidR="002D4C59" w:rsidRPr="004516BA" w:rsidRDefault="002D4C59" w:rsidP="002D4C59">
      <w:pPr>
        <w:widowControl w:val="0"/>
        <w:spacing w:after="0" w:line="240" w:lineRule="auto"/>
        <w:ind w:left="720"/>
        <w:contextualSpacing/>
        <w:rPr>
          <w:rFonts w:ascii="Cambria" w:eastAsia="Times New Roman" w:hAnsi="Cambria" w:cs="Times New Roman"/>
          <w:sz w:val="20"/>
          <w:szCs w:val="20"/>
        </w:rPr>
      </w:pPr>
    </w:p>
    <w:p w14:paraId="212633DF" w14:textId="15271CBF" w:rsidR="002D4C59" w:rsidRPr="004516BA" w:rsidRDefault="006A5F14" w:rsidP="00B51E8A">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15.</w:t>
      </w:r>
      <w:r w:rsidR="00B51E8A"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Les Parties contractantes devront examiner la demande de radiation du navire et répondre dans les 30 jours suivant la notification par le Secrétaire exécutif si elles s’opposent à la radiation du navire de la liste finale des navires IUU.</w:t>
      </w:r>
    </w:p>
    <w:p w14:paraId="51A0AE7A" w14:textId="77777777" w:rsidR="002D4C59" w:rsidRPr="004516BA" w:rsidRDefault="002D4C59" w:rsidP="002D4C59">
      <w:pPr>
        <w:widowControl w:val="0"/>
        <w:spacing w:after="0" w:line="240" w:lineRule="auto"/>
        <w:ind w:left="720"/>
        <w:contextualSpacing/>
        <w:rPr>
          <w:rFonts w:ascii="Cambria" w:eastAsia="Times New Roman" w:hAnsi="Cambria" w:cs="Times New Roman"/>
          <w:sz w:val="20"/>
          <w:szCs w:val="20"/>
        </w:rPr>
      </w:pPr>
    </w:p>
    <w:p w14:paraId="1C526E91" w14:textId="257BDD41" w:rsidR="002D4C59" w:rsidRPr="004516BA" w:rsidRDefault="006A5F14" w:rsidP="00B51E8A">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16. </w:t>
      </w:r>
      <w:r w:rsidR="00B51E8A"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 xml:space="preserve">À l’expiration du délai de 30 jours suivant la date de </w:t>
      </w:r>
      <w:r w:rsidR="00B51E8A" w:rsidRPr="004516BA">
        <w:rPr>
          <w:rFonts w:ascii="Cambria" w:eastAsia="Times New Roman" w:hAnsi="Cambria" w:cs="Times New Roman"/>
          <w:sz w:val="20"/>
          <w:szCs w:val="20"/>
        </w:rPr>
        <w:t xml:space="preserve">la </w:t>
      </w:r>
      <w:r w:rsidR="002D4C59" w:rsidRPr="004516BA">
        <w:rPr>
          <w:rFonts w:ascii="Cambria" w:eastAsia="Times New Roman" w:hAnsi="Cambria" w:cs="Times New Roman"/>
          <w:sz w:val="20"/>
          <w:szCs w:val="20"/>
        </w:rPr>
        <w:t xml:space="preserve">notification </w:t>
      </w:r>
      <w:r w:rsidR="00B51E8A" w:rsidRPr="004516BA">
        <w:rPr>
          <w:rFonts w:ascii="Cambria" w:eastAsia="Times New Roman" w:hAnsi="Cambria" w:cs="Times New Roman"/>
          <w:sz w:val="20"/>
          <w:szCs w:val="20"/>
        </w:rPr>
        <w:t xml:space="preserve">réalisée </w:t>
      </w:r>
      <w:r w:rsidR="002D4C59" w:rsidRPr="004516BA">
        <w:rPr>
          <w:rFonts w:ascii="Cambria" w:eastAsia="Times New Roman" w:hAnsi="Cambria" w:cs="Times New Roman"/>
          <w:sz w:val="20"/>
          <w:szCs w:val="20"/>
        </w:rPr>
        <w:t>par le Secrétaire exécutif, visée au paragraphe 15, celui-ci vérifiera le résultat de l’examen de la demande effectuée par courrier.</w:t>
      </w:r>
    </w:p>
    <w:p w14:paraId="216867E6" w14:textId="77777777" w:rsidR="002D4C59" w:rsidRPr="004516BA" w:rsidRDefault="002D4C59" w:rsidP="00B51E8A">
      <w:pPr>
        <w:widowControl w:val="0"/>
        <w:spacing w:after="0" w:line="240" w:lineRule="auto"/>
        <w:contextualSpacing/>
        <w:rPr>
          <w:rFonts w:ascii="Cambria" w:eastAsia="Times New Roman" w:hAnsi="Cambria" w:cs="Times New Roman"/>
          <w:sz w:val="20"/>
          <w:szCs w:val="20"/>
        </w:rPr>
      </w:pPr>
    </w:p>
    <w:p w14:paraId="3D66B760" w14:textId="5915D136" w:rsidR="002D4C59" w:rsidRPr="004516BA" w:rsidRDefault="002D4C59" w:rsidP="002D4C5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72" w:after="0" w:line="240" w:lineRule="auto"/>
        <w:ind w:left="425" w:right="112"/>
        <w:contextualSpacing/>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Si une Partie contractante s’oppose à la demande de radiation, le Secrétaire exécutif devra maintenir le navire sur la liste finale IUU de l’ICCAT et la demande de radiation devra être renvoyée devant le PWG à des fins d’examen à la réunion annuelle, si la CPC sollicitant la radiation pendant la période intersessions ainsi le requiert. Si aucune Partie contractante ne s’oppose à la demande de radiation du navire, le Secrétaire exécutif devra rapidement </w:t>
      </w:r>
      <w:r w:rsidR="00B51E8A" w:rsidRPr="004516BA">
        <w:rPr>
          <w:rFonts w:ascii="Cambria" w:eastAsia="Times New Roman" w:hAnsi="Cambria" w:cs="Times New Roman"/>
          <w:sz w:val="20"/>
          <w:szCs w:val="20"/>
        </w:rPr>
        <w:t>radier</w:t>
      </w:r>
      <w:r w:rsidRPr="004516BA">
        <w:rPr>
          <w:rFonts w:ascii="Cambria" w:eastAsia="Times New Roman" w:hAnsi="Cambria" w:cs="Times New Roman"/>
          <w:sz w:val="20"/>
          <w:szCs w:val="20"/>
        </w:rPr>
        <w:t xml:space="preserve"> le navire en question de la liste finale de navires IUU de l’ICCAT, telle que publiée sur le site web de l’ICCAT. </w:t>
      </w:r>
    </w:p>
    <w:p w14:paraId="2895A908" w14:textId="77777777" w:rsidR="002D4C59" w:rsidRPr="004516BA" w:rsidRDefault="002D4C59" w:rsidP="002D4C59">
      <w:pPr>
        <w:widowControl w:val="0"/>
        <w:spacing w:after="0" w:line="240" w:lineRule="auto"/>
        <w:ind w:left="426" w:right="111"/>
        <w:jc w:val="both"/>
        <w:rPr>
          <w:rFonts w:ascii="Cambria" w:eastAsia="Times New Roman" w:hAnsi="Cambria" w:cs="Times New Roman"/>
          <w:sz w:val="20"/>
          <w:szCs w:val="20"/>
        </w:rPr>
      </w:pPr>
    </w:p>
    <w:p w14:paraId="10825281" w14:textId="19AB014E" w:rsidR="002D4C59" w:rsidRPr="004516BA" w:rsidRDefault="006A5F14" w:rsidP="00B51E8A">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17. </w:t>
      </w:r>
      <w:r w:rsidR="00B51E8A"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Le Secrétaire exécutif devra rapidement communiquer les résultats du processus de radiation à toutes les CPC ainsi qu’aux non-CPC concernées. En outre, le Secrétaire exécutif de l’ICCAT devra faire part aux autres ORGP de la décision de radier le navire.</w:t>
      </w:r>
    </w:p>
    <w:p w14:paraId="72A3D3FC" w14:textId="77777777" w:rsidR="002D4C59" w:rsidRPr="004516BA" w:rsidRDefault="002D4C59" w:rsidP="002D4C5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Cambria" w:eastAsia="Times New Roman" w:hAnsi="Cambria" w:cs="Times New Roman"/>
          <w:color w:val="auto"/>
          <w:sz w:val="20"/>
          <w:szCs w:val="20"/>
        </w:rPr>
      </w:pPr>
    </w:p>
    <w:p w14:paraId="1208626F" w14:textId="77777777" w:rsidR="002D4C59" w:rsidRPr="004516BA" w:rsidRDefault="002D4C59" w:rsidP="002D4C59">
      <w:pPr>
        <w:widowControl w:val="0"/>
        <w:spacing w:after="0" w:line="240" w:lineRule="auto"/>
        <w:outlineLvl w:val="0"/>
        <w:rPr>
          <w:rFonts w:ascii="Cambria" w:eastAsia="Times New Roman" w:hAnsi="Cambria" w:cs="Times New Roman"/>
          <w:b/>
          <w:sz w:val="20"/>
          <w:szCs w:val="20"/>
        </w:rPr>
      </w:pPr>
      <w:r w:rsidRPr="004516BA">
        <w:rPr>
          <w:rFonts w:ascii="Cambria" w:eastAsia="Times New Roman" w:hAnsi="Cambria" w:cs="Times New Roman"/>
          <w:b/>
          <w:sz w:val="20"/>
          <w:szCs w:val="20"/>
        </w:rPr>
        <w:t>Dispositions générales</w:t>
      </w:r>
    </w:p>
    <w:p w14:paraId="66B507C6" w14:textId="77777777" w:rsidR="002D4C59" w:rsidRPr="004516BA" w:rsidRDefault="002D4C59" w:rsidP="002D4C5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11"/>
        <w:jc w:val="both"/>
        <w:textAlignment w:val="baseline"/>
        <w:rPr>
          <w:rFonts w:ascii="Cambria" w:eastAsia="Times New Roman" w:hAnsi="Cambria" w:cs="Times New Roman"/>
          <w:b/>
          <w:color w:val="auto"/>
          <w:sz w:val="20"/>
          <w:szCs w:val="20"/>
        </w:rPr>
      </w:pPr>
    </w:p>
    <w:p w14:paraId="49F833C3" w14:textId="2A5EA00E" w:rsidR="002D4C59" w:rsidRPr="004516BA" w:rsidRDefault="006A5F14" w:rsidP="00B51E8A">
      <w:pPr>
        <w:widowControl w:val="0"/>
        <w:spacing w:after="0" w:line="240" w:lineRule="auto"/>
        <w:ind w:left="426" w:right="111" w:hanging="426"/>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18. </w:t>
      </w:r>
      <w:r w:rsidR="00B51E8A" w:rsidRPr="004516BA">
        <w:rPr>
          <w:rFonts w:ascii="Cambria" w:eastAsia="Times New Roman" w:hAnsi="Cambria" w:cs="Times New Roman"/>
          <w:sz w:val="20"/>
          <w:szCs w:val="20"/>
        </w:rPr>
        <w:tab/>
      </w:r>
      <w:r w:rsidR="002D4C59" w:rsidRPr="004516BA">
        <w:rPr>
          <w:rFonts w:ascii="Cambria" w:eastAsia="Times New Roman" w:hAnsi="Cambria" w:cs="Times New Roman"/>
          <w:sz w:val="20"/>
          <w:szCs w:val="20"/>
        </w:rPr>
        <w:t>La présente Recommandation devra s’appliquer mutatis mutandis</w:t>
      </w:r>
      <w:r w:rsidR="002D4C59" w:rsidRPr="004516BA">
        <w:rPr>
          <w:rFonts w:ascii="Cambria" w:eastAsia="Times New Roman" w:hAnsi="Cambria" w:cs="Times New Roman"/>
          <w:i/>
          <w:sz w:val="20"/>
          <w:szCs w:val="20"/>
        </w:rPr>
        <w:t xml:space="preserve"> </w:t>
      </w:r>
      <w:r w:rsidR="002D4C59" w:rsidRPr="004516BA">
        <w:rPr>
          <w:rFonts w:ascii="Cambria" w:eastAsia="Times New Roman" w:hAnsi="Cambria" w:cs="Times New Roman"/>
          <w:sz w:val="20"/>
          <w:szCs w:val="20"/>
        </w:rPr>
        <w:t>aux navires de transformation du poisson, aux remorqueurs, aux navires se livrant à des transbordements et aux navires de support et aux autres navires qui se livrent à des activités en lien avec la pêche relevant de la gestion de l’ICCAT.</w:t>
      </w:r>
    </w:p>
    <w:p w14:paraId="51E68AD8" w14:textId="77777777" w:rsidR="002D4C59" w:rsidRPr="004516BA" w:rsidRDefault="002D4C59" w:rsidP="002D4C59">
      <w:pPr>
        <w:widowControl w:val="0"/>
        <w:pBdr>
          <w:top w:val="none" w:sz="0" w:space="0" w:color="auto"/>
          <w:left w:val="none" w:sz="0" w:space="0" w:color="auto"/>
          <w:bottom w:val="none" w:sz="0" w:space="0" w:color="auto"/>
          <w:right w:val="none" w:sz="0" w:space="0" w:color="auto"/>
          <w:between w:val="none" w:sz="0" w:space="0" w:color="auto"/>
        </w:pBdr>
        <w:tabs>
          <w:tab w:val="left" w:pos="480"/>
        </w:tabs>
        <w:autoSpaceDE w:val="0"/>
        <w:autoSpaceDN w:val="0"/>
        <w:spacing w:after="0" w:line="240" w:lineRule="auto"/>
        <w:jc w:val="both"/>
        <w:rPr>
          <w:rFonts w:ascii="Cambria" w:eastAsia="Times New Roman" w:hAnsi="Cambria" w:cs="Times New Roman"/>
          <w:sz w:val="20"/>
          <w:szCs w:val="20"/>
        </w:rPr>
      </w:pPr>
    </w:p>
    <w:p w14:paraId="1469537E" w14:textId="7075E529" w:rsidR="002D4C59" w:rsidRPr="004516BA" w:rsidRDefault="006A5F14" w:rsidP="00B51E8A">
      <w:pPr>
        <w:widowControl w:val="0"/>
        <w:spacing w:after="0" w:line="240" w:lineRule="auto"/>
        <w:ind w:left="426" w:right="111" w:hanging="426"/>
        <w:jc w:val="both"/>
        <w:rPr>
          <w:rFonts w:ascii="Cambria" w:eastAsia="Times New Roman" w:hAnsi="Cambria" w:cs="Times New Roman"/>
          <w:color w:val="FF0000"/>
          <w:sz w:val="20"/>
          <w:szCs w:val="20"/>
        </w:rPr>
      </w:pPr>
      <w:bookmarkStart w:id="1" w:name="_Hlk531687495"/>
      <w:r w:rsidRPr="005A6EED">
        <w:rPr>
          <w:rFonts w:ascii="Cambria" w:eastAsia="Times New Roman" w:hAnsi="Cambria" w:cs="Times New Roman"/>
          <w:sz w:val="20"/>
          <w:szCs w:val="20"/>
        </w:rPr>
        <w:t xml:space="preserve">19. </w:t>
      </w:r>
      <w:r w:rsidR="00B51E8A" w:rsidRPr="005A6EED">
        <w:rPr>
          <w:rFonts w:ascii="Cambria" w:eastAsia="Times New Roman" w:hAnsi="Cambria" w:cs="Times New Roman"/>
          <w:sz w:val="20"/>
          <w:szCs w:val="20"/>
        </w:rPr>
        <w:tab/>
      </w:r>
      <w:r w:rsidR="002D4C59" w:rsidRPr="005A6EED">
        <w:rPr>
          <w:rFonts w:ascii="Cambria" w:eastAsia="Times New Roman" w:hAnsi="Cambria" w:cs="Times New Roman"/>
          <w:sz w:val="20"/>
          <w:szCs w:val="20"/>
        </w:rPr>
        <w:t xml:space="preserve">La présente Recommandation annule et remplace </w:t>
      </w:r>
      <w:r w:rsidR="00B43CF8" w:rsidRPr="005A6EED">
        <w:rPr>
          <w:rFonts w:ascii="Cambria" w:eastAsia="Times New Roman" w:hAnsi="Cambria" w:cs="Times New Roman"/>
          <w:color w:val="auto"/>
          <w:sz w:val="20"/>
          <w:szCs w:val="20"/>
        </w:rPr>
        <w:t xml:space="preserve">la </w:t>
      </w:r>
      <w:r w:rsidR="00B43CF8" w:rsidRPr="005A6EED">
        <w:rPr>
          <w:rFonts w:ascii="Cambria" w:eastAsia="Times New Roman" w:hAnsi="Cambria" w:cs="Times New Roman"/>
          <w:i/>
          <w:iCs/>
          <w:color w:val="auto"/>
          <w:sz w:val="20"/>
          <w:szCs w:val="20"/>
        </w:rPr>
        <w:t>Recommandation de l’ICCAT établissant une liste de navires présumés avoir exercé des activités de pêche illicites, non déclarées et non réglementées (IUU)</w:t>
      </w:r>
      <w:r w:rsidR="008E029B" w:rsidRPr="005A6EED">
        <w:rPr>
          <w:rFonts w:ascii="Cambria" w:eastAsia="Times New Roman" w:hAnsi="Cambria" w:cs="Times New Roman"/>
          <w:i/>
          <w:iCs/>
          <w:color w:val="auto"/>
          <w:sz w:val="20"/>
          <w:szCs w:val="20"/>
        </w:rPr>
        <w:t xml:space="preserve"> </w:t>
      </w:r>
      <w:r w:rsidR="00B43CF8" w:rsidRPr="005A6EED">
        <w:rPr>
          <w:rFonts w:ascii="Cambria" w:eastAsia="Times New Roman" w:hAnsi="Cambria" w:cs="Times New Roman"/>
          <w:color w:val="auto"/>
          <w:sz w:val="20"/>
          <w:szCs w:val="20"/>
        </w:rPr>
        <w:t xml:space="preserve">(Rec. </w:t>
      </w:r>
      <w:r w:rsidR="008E029B" w:rsidRPr="005A6EED">
        <w:rPr>
          <w:rFonts w:ascii="Cambria" w:eastAsia="Times New Roman" w:hAnsi="Cambria" w:cs="Times New Roman"/>
          <w:color w:val="auto"/>
          <w:sz w:val="20"/>
          <w:szCs w:val="20"/>
        </w:rPr>
        <w:t>18-08</w:t>
      </w:r>
      <w:r w:rsidR="00B43CF8" w:rsidRPr="005A6EED">
        <w:rPr>
          <w:rFonts w:ascii="Cambria" w:eastAsia="Times New Roman" w:hAnsi="Cambria" w:cs="Times New Roman"/>
          <w:color w:val="auto"/>
          <w:sz w:val="20"/>
          <w:szCs w:val="20"/>
        </w:rPr>
        <w:t>).</w:t>
      </w:r>
    </w:p>
    <w:bookmarkEnd w:id="1"/>
    <w:p w14:paraId="27B4C624" w14:textId="77777777" w:rsidR="002D4C59" w:rsidRPr="004516BA" w:rsidRDefault="002D4C59" w:rsidP="002D4C59">
      <w:pPr>
        <w:widowControl w:val="0"/>
        <w:tabs>
          <w:tab w:val="left" w:pos="479"/>
        </w:tabs>
        <w:spacing w:after="0" w:line="240" w:lineRule="auto"/>
        <w:ind w:right="111"/>
        <w:rPr>
          <w:rFonts w:ascii="Cambria" w:eastAsia="Times New Roman" w:hAnsi="Cambria" w:cs="Times New Roman"/>
          <w:b/>
          <w:sz w:val="20"/>
          <w:szCs w:val="20"/>
        </w:rPr>
      </w:pPr>
    </w:p>
    <w:p w14:paraId="5D2223D9" w14:textId="77777777" w:rsidR="002D4C59" w:rsidRPr="004516BA" w:rsidRDefault="002D4C59" w:rsidP="002D4C59">
      <w:pPr>
        <w:keepNext/>
        <w:keepLines/>
        <w:widowControl w:val="0"/>
        <w:spacing w:after="0" w:line="240" w:lineRule="auto"/>
        <w:ind w:left="1880"/>
        <w:jc w:val="right"/>
        <w:outlineLvl w:val="2"/>
        <w:rPr>
          <w:rFonts w:ascii="Cambria" w:eastAsia="Times New Roman" w:hAnsi="Cambria" w:cs="Times New Roman"/>
          <w:b/>
          <w:color w:val="auto"/>
          <w:sz w:val="20"/>
          <w:szCs w:val="20"/>
        </w:rPr>
      </w:pPr>
      <w:r w:rsidRPr="004516BA">
        <w:rPr>
          <w:rFonts w:ascii="Cambria" w:eastAsia="Cambria" w:hAnsi="Cambria" w:cs="Cambria"/>
          <w:b/>
          <w:color w:val="4F81BD"/>
          <w:sz w:val="20"/>
          <w:szCs w:val="20"/>
        </w:rPr>
        <w:br w:type="page"/>
      </w:r>
      <w:r w:rsidRPr="004516BA">
        <w:rPr>
          <w:rFonts w:ascii="Cambria" w:eastAsia="Cambria" w:hAnsi="Cambria" w:cs="Cambria"/>
          <w:b/>
          <w:color w:val="auto"/>
          <w:sz w:val="20"/>
          <w:szCs w:val="20"/>
        </w:rPr>
        <w:lastRenderedPageBreak/>
        <w:t>Addendum 1</w:t>
      </w:r>
    </w:p>
    <w:p w14:paraId="01C634B2" w14:textId="77777777" w:rsidR="002D4C59" w:rsidRPr="004516BA" w:rsidRDefault="002D4C59" w:rsidP="002D4C59">
      <w:pPr>
        <w:widowControl w:val="0"/>
        <w:spacing w:after="0" w:line="240" w:lineRule="auto"/>
        <w:rPr>
          <w:rFonts w:ascii="Cambria" w:eastAsia="Times New Roman" w:hAnsi="Cambria" w:cs="Times New Roman"/>
          <w:color w:val="auto"/>
          <w:sz w:val="20"/>
          <w:szCs w:val="20"/>
        </w:rPr>
      </w:pPr>
    </w:p>
    <w:p w14:paraId="2BE0439E" w14:textId="77777777" w:rsidR="002D4C59" w:rsidRPr="004516BA" w:rsidRDefault="002D4C59" w:rsidP="002D4C59">
      <w:pPr>
        <w:keepNext/>
        <w:keepLines/>
        <w:widowControl w:val="0"/>
        <w:spacing w:after="0" w:line="240" w:lineRule="auto"/>
        <w:ind w:left="1880" w:hanging="1880"/>
        <w:jc w:val="center"/>
        <w:outlineLvl w:val="2"/>
        <w:rPr>
          <w:rFonts w:ascii="Cambria" w:eastAsia="Times New Roman" w:hAnsi="Cambria" w:cs="Times New Roman"/>
          <w:b/>
          <w:color w:val="auto"/>
          <w:sz w:val="20"/>
          <w:szCs w:val="20"/>
        </w:rPr>
      </w:pPr>
      <w:r w:rsidRPr="004516BA">
        <w:rPr>
          <w:rFonts w:ascii="Cambria" w:eastAsia="Cambria" w:hAnsi="Cambria" w:cs="Cambria"/>
          <w:b/>
          <w:color w:val="auto"/>
          <w:sz w:val="20"/>
          <w:szCs w:val="20"/>
        </w:rPr>
        <w:t>Formulaire de déclaration de l’ICCAT concernant l'activité IUU</w:t>
      </w:r>
    </w:p>
    <w:p w14:paraId="558ECBA8"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6227D2E8" w14:textId="77777777" w:rsidR="002D4C59" w:rsidRPr="004516BA" w:rsidRDefault="002D4C59" w:rsidP="002D4C59">
      <w:pPr>
        <w:widowControl w:val="0"/>
        <w:spacing w:after="0" w:line="240" w:lineRule="auto"/>
        <w:ind w:right="2"/>
        <w:jc w:val="both"/>
        <w:rPr>
          <w:rFonts w:ascii="Cambria" w:eastAsia="Times New Roman" w:hAnsi="Cambria" w:cs="Times New Roman"/>
          <w:sz w:val="20"/>
          <w:szCs w:val="20"/>
        </w:rPr>
      </w:pPr>
      <w:r w:rsidRPr="004516BA">
        <w:rPr>
          <w:rFonts w:ascii="Cambria" w:eastAsia="Times New Roman" w:hAnsi="Cambria" w:cs="Times New Roman"/>
          <w:sz w:val="20"/>
          <w:szCs w:val="20"/>
        </w:rPr>
        <w:t>Conformément au paragraphe 2 de la présente Recommandation</w:t>
      </w:r>
      <w:r w:rsidRPr="004516BA">
        <w:rPr>
          <w:rFonts w:ascii="Cambria" w:eastAsia="Times New Roman" w:hAnsi="Cambria" w:cs="Times New Roman"/>
          <w:i/>
          <w:sz w:val="20"/>
          <w:szCs w:val="20"/>
        </w:rPr>
        <w:t xml:space="preserve">, </w:t>
      </w:r>
      <w:r w:rsidRPr="004516BA">
        <w:rPr>
          <w:rFonts w:ascii="Cambria" w:eastAsia="Times New Roman" w:hAnsi="Cambria" w:cs="Times New Roman"/>
          <w:sz w:val="20"/>
          <w:szCs w:val="20"/>
        </w:rPr>
        <w:t>les détails de l'activité IUU présumée et des informations disponibles sur le navire sont fournis ci-après.</w:t>
      </w:r>
    </w:p>
    <w:p w14:paraId="2CD2F72F"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346184F1" w14:textId="77777777" w:rsidR="002D4C59" w:rsidRPr="004516BA" w:rsidRDefault="002D4C59" w:rsidP="002D4C59">
      <w:pPr>
        <w:widowControl w:val="0"/>
        <w:spacing w:after="0" w:line="240" w:lineRule="auto"/>
        <w:ind w:left="426" w:hanging="426"/>
        <w:outlineLvl w:val="2"/>
        <w:rPr>
          <w:rFonts w:ascii="Cambria" w:eastAsia="Cambria" w:hAnsi="Cambria" w:cs="Cambria"/>
          <w:b/>
          <w:color w:val="auto"/>
          <w:sz w:val="20"/>
          <w:szCs w:val="20"/>
        </w:rPr>
      </w:pPr>
      <w:r w:rsidRPr="004516BA">
        <w:rPr>
          <w:rFonts w:ascii="Cambria" w:eastAsia="Cambria" w:hAnsi="Cambria" w:cs="Cambria"/>
          <w:b/>
          <w:color w:val="auto"/>
          <w:sz w:val="20"/>
          <w:szCs w:val="20"/>
        </w:rPr>
        <w:t>A.</w:t>
      </w:r>
      <w:r w:rsidRPr="004516BA">
        <w:rPr>
          <w:rFonts w:ascii="Cambria" w:eastAsia="Cambria" w:hAnsi="Cambria" w:cs="Cambria"/>
          <w:b/>
          <w:color w:val="auto"/>
          <w:sz w:val="20"/>
          <w:szCs w:val="20"/>
        </w:rPr>
        <w:tab/>
        <w:t>Détails du navire</w:t>
      </w:r>
    </w:p>
    <w:p w14:paraId="1C35D43D" w14:textId="77777777" w:rsidR="002D4C59" w:rsidRPr="004516BA" w:rsidRDefault="002D4C59" w:rsidP="002D4C59">
      <w:pPr>
        <w:widowControl w:val="0"/>
        <w:spacing w:after="0" w:line="240" w:lineRule="auto"/>
        <w:rPr>
          <w:rFonts w:ascii="Times New Roman" w:eastAsia="Times New Roman" w:hAnsi="Times New Roman" w:cs="Times New Roman"/>
        </w:rPr>
      </w:pPr>
    </w:p>
    <w:p w14:paraId="581BF4F6" w14:textId="77777777" w:rsidR="002D4C59" w:rsidRPr="004516BA" w:rsidRDefault="002D4C59" w:rsidP="002D4C59">
      <w:pPr>
        <w:widowControl w:val="0"/>
        <w:spacing w:after="0" w:line="240" w:lineRule="auto"/>
        <w:jc w:val="both"/>
        <w:rPr>
          <w:rFonts w:ascii="Cambria" w:eastAsia="Times New Roman" w:hAnsi="Cambria" w:cs="Times New Roman"/>
          <w:i/>
          <w:sz w:val="20"/>
          <w:szCs w:val="20"/>
        </w:rPr>
      </w:pPr>
      <w:r w:rsidRPr="004516BA">
        <w:rPr>
          <w:rFonts w:ascii="Cambria" w:eastAsia="Times New Roman" w:hAnsi="Cambria" w:cs="Times New Roman"/>
          <w:i/>
          <w:sz w:val="20"/>
          <w:szCs w:val="20"/>
        </w:rPr>
        <w:t>(Veuillez détailler les informations sur le navire et les incidents dans le formulaire ci-dessous, si cette information est applicable et disponible)</w:t>
      </w:r>
    </w:p>
    <w:p w14:paraId="4391622D" w14:textId="77777777" w:rsidR="002D4C59" w:rsidRPr="004516BA" w:rsidRDefault="002D4C59" w:rsidP="002D4C59">
      <w:pPr>
        <w:widowControl w:val="0"/>
        <w:spacing w:after="0" w:line="240" w:lineRule="auto"/>
        <w:rPr>
          <w:rFonts w:ascii="Cambria" w:eastAsia="Times New Roman" w:hAnsi="Cambria" w:cs="Times New Roman"/>
          <w:i/>
          <w:sz w:val="20"/>
          <w:szCs w:val="20"/>
        </w:rPr>
      </w:pPr>
    </w:p>
    <w:tbl>
      <w:tblPr>
        <w:tblW w:w="932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6074"/>
        <w:gridCol w:w="1936"/>
      </w:tblGrid>
      <w:tr w:rsidR="002D4C59" w:rsidRPr="004516BA" w14:paraId="27405549" w14:textId="77777777" w:rsidTr="00321D85">
        <w:trPr>
          <w:trHeight w:val="340"/>
        </w:trPr>
        <w:tc>
          <w:tcPr>
            <w:tcW w:w="0" w:type="auto"/>
          </w:tcPr>
          <w:p w14:paraId="3B7025E6" w14:textId="77777777" w:rsidR="002D4C59" w:rsidRPr="004516BA" w:rsidRDefault="002D4C59" w:rsidP="001D2676">
            <w:pPr>
              <w:widowControl w:val="0"/>
              <w:spacing w:after="0" w:line="240" w:lineRule="auto"/>
              <w:ind w:left="134" w:right="123"/>
              <w:jc w:val="center"/>
              <w:rPr>
                <w:rFonts w:ascii="Cambria" w:eastAsia="Times New Roman" w:hAnsi="Cambria" w:cs="Times New Roman"/>
                <w:b/>
                <w:bCs/>
                <w:i/>
                <w:sz w:val="20"/>
                <w:szCs w:val="20"/>
              </w:rPr>
            </w:pPr>
            <w:r w:rsidRPr="004516BA">
              <w:rPr>
                <w:rFonts w:ascii="Cambria" w:eastAsia="Times New Roman" w:hAnsi="Cambria" w:cs="Times New Roman"/>
                <w:b/>
                <w:bCs/>
                <w:i/>
                <w:sz w:val="20"/>
                <w:szCs w:val="20"/>
              </w:rPr>
              <w:t>Rubrique</w:t>
            </w:r>
          </w:p>
        </w:tc>
        <w:tc>
          <w:tcPr>
            <w:tcW w:w="6074" w:type="dxa"/>
          </w:tcPr>
          <w:p w14:paraId="586AC251" w14:textId="77777777" w:rsidR="002D4C59" w:rsidRPr="004516BA" w:rsidRDefault="002D4C59" w:rsidP="001D2676">
            <w:pPr>
              <w:widowControl w:val="0"/>
              <w:spacing w:after="0" w:line="240" w:lineRule="auto"/>
              <w:rPr>
                <w:rFonts w:ascii="Cambria" w:eastAsia="Times New Roman" w:hAnsi="Cambria" w:cs="Times New Roman"/>
                <w:b/>
                <w:bCs/>
                <w:i/>
                <w:sz w:val="20"/>
                <w:szCs w:val="20"/>
              </w:rPr>
            </w:pPr>
          </w:p>
        </w:tc>
        <w:tc>
          <w:tcPr>
            <w:tcW w:w="0" w:type="auto"/>
          </w:tcPr>
          <w:p w14:paraId="12AD8E7F" w14:textId="77777777" w:rsidR="002D4C59" w:rsidRPr="004516BA" w:rsidRDefault="002D4C59" w:rsidP="001D2676">
            <w:pPr>
              <w:widowControl w:val="0"/>
              <w:spacing w:after="0" w:line="240" w:lineRule="auto"/>
              <w:ind w:left="108"/>
              <w:rPr>
                <w:rFonts w:ascii="Cambria" w:eastAsia="Times New Roman" w:hAnsi="Cambria" w:cs="Times New Roman"/>
                <w:b/>
                <w:bCs/>
                <w:i/>
                <w:sz w:val="20"/>
                <w:szCs w:val="20"/>
              </w:rPr>
            </w:pPr>
            <w:r w:rsidRPr="004516BA">
              <w:rPr>
                <w:rFonts w:ascii="Cambria" w:eastAsia="Times New Roman" w:hAnsi="Cambria" w:cs="Times New Roman"/>
                <w:b/>
                <w:bCs/>
                <w:i/>
                <w:sz w:val="20"/>
                <w:szCs w:val="20"/>
              </w:rPr>
              <w:t>Informations disponibles</w:t>
            </w:r>
          </w:p>
        </w:tc>
      </w:tr>
      <w:tr w:rsidR="002D4C59" w:rsidRPr="004516BA" w14:paraId="0B9653F5" w14:textId="77777777" w:rsidTr="00321D85">
        <w:trPr>
          <w:trHeight w:val="340"/>
        </w:trPr>
        <w:tc>
          <w:tcPr>
            <w:tcW w:w="0" w:type="auto"/>
          </w:tcPr>
          <w:p w14:paraId="6A149F5E" w14:textId="4F9408BC" w:rsidR="002D4C59" w:rsidRPr="004516BA" w:rsidRDefault="00D62AB2" w:rsidP="001D2676">
            <w:pPr>
              <w:widowControl w:val="0"/>
              <w:spacing w:after="0" w:line="240" w:lineRule="auto"/>
              <w:ind w:left="17"/>
              <w:jc w:val="center"/>
              <w:rPr>
                <w:rFonts w:ascii="Cambria" w:eastAsia="Times New Roman" w:hAnsi="Cambria" w:cs="Times New Roman"/>
                <w:sz w:val="20"/>
                <w:szCs w:val="20"/>
              </w:rPr>
            </w:pPr>
            <w:r w:rsidRPr="004516BA">
              <w:rPr>
                <w:rFonts w:ascii="Cambria" w:eastAsia="Times New Roman" w:hAnsi="Cambria" w:cs="Times New Roman"/>
                <w:sz w:val="20"/>
                <w:szCs w:val="20"/>
              </w:rPr>
              <w:t>A</w:t>
            </w:r>
          </w:p>
        </w:tc>
        <w:tc>
          <w:tcPr>
            <w:tcW w:w="6074" w:type="dxa"/>
          </w:tcPr>
          <w:p w14:paraId="3432CEC9"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Nom du navire et noms antérieurs</w:t>
            </w:r>
          </w:p>
        </w:tc>
        <w:tc>
          <w:tcPr>
            <w:tcW w:w="0" w:type="auto"/>
          </w:tcPr>
          <w:p w14:paraId="1C33D59B"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6EB78C41" w14:textId="77777777" w:rsidTr="00321D85">
        <w:trPr>
          <w:trHeight w:val="340"/>
        </w:trPr>
        <w:tc>
          <w:tcPr>
            <w:tcW w:w="0" w:type="auto"/>
          </w:tcPr>
          <w:p w14:paraId="211F9DC5" w14:textId="4C336F92"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B</w:t>
            </w:r>
          </w:p>
        </w:tc>
        <w:tc>
          <w:tcPr>
            <w:tcW w:w="6074" w:type="dxa"/>
          </w:tcPr>
          <w:p w14:paraId="54F45825"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Pavillon et pavillons antérieurs</w:t>
            </w:r>
          </w:p>
        </w:tc>
        <w:tc>
          <w:tcPr>
            <w:tcW w:w="0" w:type="auto"/>
          </w:tcPr>
          <w:p w14:paraId="3CE66B84"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443D42C6" w14:textId="77777777" w:rsidTr="00321D85">
        <w:trPr>
          <w:trHeight w:val="340"/>
        </w:trPr>
        <w:tc>
          <w:tcPr>
            <w:tcW w:w="0" w:type="auto"/>
          </w:tcPr>
          <w:p w14:paraId="128C89A2" w14:textId="3A89DBC2" w:rsidR="002D4C59" w:rsidRPr="004516BA" w:rsidRDefault="00D62AB2" w:rsidP="001D2676">
            <w:pPr>
              <w:widowControl w:val="0"/>
              <w:spacing w:after="0" w:line="240" w:lineRule="auto"/>
              <w:ind w:left="17"/>
              <w:jc w:val="center"/>
              <w:rPr>
                <w:rFonts w:ascii="Cambria" w:eastAsia="Times New Roman" w:hAnsi="Cambria" w:cs="Times New Roman"/>
                <w:sz w:val="20"/>
                <w:szCs w:val="20"/>
              </w:rPr>
            </w:pPr>
            <w:r w:rsidRPr="004516BA">
              <w:rPr>
                <w:rFonts w:ascii="Cambria" w:eastAsia="Times New Roman" w:hAnsi="Cambria" w:cs="Times New Roman"/>
                <w:sz w:val="20"/>
                <w:szCs w:val="20"/>
              </w:rPr>
              <w:t>C</w:t>
            </w:r>
          </w:p>
        </w:tc>
        <w:tc>
          <w:tcPr>
            <w:tcW w:w="6074" w:type="dxa"/>
          </w:tcPr>
          <w:p w14:paraId="3488D49C" w14:textId="4FBEC210" w:rsidR="002D4C59" w:rsidRPr="004516BA" w:rsidRDefault="00321D85"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Propriétaire</w:t>
            </w:r>
            <w:r w:rsidR="002D4C59" w:rsidRPr="004516BA">
              <w:rPr>
                <w:rFonts w:ascii="Cambria" w:eastAsia="Times New Roman" w:hAnsi="Cambria" w:cs="Times New Roman"/>
                <w:sz w:val="20"/>
                <w:szCs w:val="20"/>
              </w:rPr>
              <w:t xml:space="preserve"> et </w:t>
            </w:r>
            <w:r w:rsidRPr="004516BA">
              <w:rPr>
                <w:rFonts w:ascii="Cambria" w:eastAsia="Times New Roman" w:hAnsi="Cambria" w:cs="Times New Roman"/>
                <w:sz w:val="20"/>
                <w:szCs w:val="20"/>
              </w:rPr>
              <w:t xml:space="preserve">propriétaires </w:t>
            </w:r>
            <w:r w:rsidR="002D4C59" w:rsidRPr="004516BA">
              <w:rPr>
                <w:rFonts w:ascii="Cambria" w:eastAsia="Times New Roman" w:hAnsi="Cambria" w:cs="Times New Roman"/>
                <w:sz w:val="20"/>
                <w:szCs w:val="20"/>
              </w:rPr>
              <w:t>antérieurs, y compris propriétaire réel</w:t>
            </w:r>
          </w:p>
        </w:tc>
        <w:tc>
          <w:tcPr>
            <w:tcW w:w="0" w:type="auto"/>
          </w:tcPr>
          <w:p w14:paraId="00512677"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7F1D6E30" w14:textId="77777777" w:rsidTr="00321D85">
        <w:trPr>
          <w:trHeight w:val="340"/>
        </w:trPr>
        <w:tc>
          <w:tcPr>
            <w:tcW w:w="0" w:type="auto"/>
          </w:tcPr>
          <w:p w14:paraId="7D3791D3" w14:textId="548CA0FE"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D</w:t>
            </w:r>
          </w:p>
        </w:tc>
        <w:tc>
          <w:tcPr>
            <w:tcW w:w="6074" w:type="dxa"/>
          </w:tcPr>
          <w:p w14:paraId="57E24975" w14:textId="065DF7C0"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 xml:space="preserve">Lieu d’immatriculation </w:t>
            </w:r>
            <w:r w:rsidR="00321D85" w:rsidRPr="004516BA">
              <w:rPr>
                <w:rFonts w:ascii="Cambria" w:eastAsia="Times New Roman" w:hAnsi="Cambria" w:cs="Times New Roman"/>
                <w:sz w:val="20"/>
                <w:szCs w:val="20"/>
              </w:rPr>
              <w:t>du propriétaire</w:t>
            </w:r>
          </w:p>
        </w:tc>
        <w:tc>
          <w:tcPr>
            <w:tcW w:w="0" w:type="auto"/>
          </w:tcPr>
          <w:p w14:paraId="1F28E672"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5F6A087C" w14:textId="77777777" w:rsidTr="00321D85">
        <w:trPr>
          <w:trHeight w:val="340"/>
        </w:trPr>
        <w:tc>
          <w:tcPr>
            <w:tcW w:w="0" w:type="auto"/>
          </w:tcPr>
          <w:p w14:paraId="27193248" w14:textId="2231710D" w:rsidR="002D4C59" w:rsidRPr="004516BA" w:rsidRDefault="00D62AB2" w:rsidP="001D2676">
            <w:pPr>
              <w:widowControl w:val="0"/>
              <w:spacing w:after="0" w:line="240" w:lineRule="auto"/>
              <w:ind w:left="17"/>
              <w:jc w:val="center"/>
              <w:rPr>
                <w:rFonts w:ascii="Cambria" w:eastAsia="Times New Roman" w:hAnsi="Cambria" w:cs="Times New Roman"/>
                <w:sz w:val="20"/>
                <w:szCs w:val="20"/>
              </w:rPr>
            </w:pPr>
            <w:r w:rsidRPr="004516BA">
              <w:rPr>
                <w:rFonts w:ascii="Cambria" w:eastAsia="Times New Roman" w:hAnsi="Cambria" w:cs="Times New Roman"/>
                <w:sz w:val="20"/>
                <w:szCs w:val="20"/>
              </w:rPr>
              <w:t>E</w:t>
            </w:r>
          </w:p>
        </w:tc>
        <w:tc>
          <w:tcPr>
            <w:tcW w:w="6074" w:type="dxa"/>
          </w:tcPr>
          <w:p w14:paraId="0CAABDF7"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Opérateur et opérateurs antérieurs</w:t>
            </w:r>
          </w:p>
        </w:tc>
        <w:tc>
          <w:tcPr>
            <w:tcW w:w="0" w:type="auto"/>
          </w:tcPr>
          <w:p w14:paraId="0D465CFD"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0602CC1A" w14:textId="77777777" w:rsidTr="00321D85">
        <w:trPr>
          <w:trHeight w:val="340"/>
        </w:trPr>
        <w:tc>
          <w:tcPr>
            <w:tcW w:w="0" w:type="auto"/>
          </w:tcPr>
          <w:p w14:paraId="01D46E31" w14:textId="46C1E0BF" w:rsidR="002D4C59" w:rsidRPr="004516BA" w:rsidRDefault="00D62AB2" w:rsidP="001D2676">
            <w:pPr>
              <w:widowControl w:val="0"/>
              <w:spacing w:after="0" w:line="240" w:lineRule="auto"/>
              <w:ind w:left="17"/>
              <w:jc w:val="center"/>
              <w:rPr>
                <w:rFonts w:ascii="Cambria" w:eastAsia="Times New Roman" w:hAnsi="Cambria" w:cs="Times New Roman"/>
                <w:sz w:val="20"/>
                <w:szCs w:val="20"/>
              </w:rPr>
            </w:pPr>
            <w:r w:rsidRPr="004516BA">
              <w:rPr>
                <w:rFonts w:ascii="Cambria" w:eastAsia="Times New Roman" w:hAnsi="Cambria" w:cs="Times New Roman"/>
                <w:sz w:val="20"/>
                <w:szCs w:val="20"/>
              </w:rPr>
              <w:t>F</w:t>
            </w:r>
          </w:p>
        </w:tc>
        <w:tc>
          <w:tcPr>
            <w:tcW w:w="6074" w:type="dxa"/>
          </w:tcPr>
          <w:p w14:paraId="4D940BEA"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Indicatif d’appel et indicatifs d’appel antérieurs</w:t>
            </w:r>
          </w:p>
        </w:tc>
        <w:tc>
          <w:tcPr>
            <w:tcW w:w="0" w:type="auto"/>
          </w:tcPr>
          <w:p w14:paraId="439A001A"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7698B464" w14:textId="77777777" w:rsidTr="00321D85">
        <w:trPr>
          <w:trHeight w:val="340"/>
        </w:trPr>
        <w:tc>
          <w:tcPr>
            <w:tcW w:w="0" w:type="auto"/>
          </w:tcPr>
          <w:p w14:paraId="345CAF14" w14:textId="73C08034"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G</w:t>
            </w:r>
          </w:p>
        </w:tc>
        <w:tc>
          <w:tcPr>
            <w:tcW w:w="6074" w:type="dxa"/>
          </w:tcPr>
          <w:p w14:paraId="62B55D7E"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Numéro OMI</w:t>
            </w:r>
          </w:p>
        </w:tc>
        <w:tc>
          <w:tcPr>
            <w:tcW w:w="0" w:type="auto"/>
          </w:tcPr>
          <w:p w14:paraId="62D092B2"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12DF92A8" w14:textId="77777777" w:rsidTr="005A6EED">
        <w:trPr>
          <w:trHeight w:val="620"/>
        </w:trPr>
        <w:tc>
          <w:tcPr>
            <w:tcW w:w="0" w:type="auto"/>
          </w:tcPr>
          <w:p w14:paraId="5B4D5896" w14:textId="0528CEB7"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H</w:t>
            </w:r>
          </w:p>
        </w:tc>
        <w:tc>
          <w:tcPr>
            <w:tcW w:w="6074" w:type="dxa"/>
          </w:tcPr>
          <w:p w14:paraId="414C60DD"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Numéro d’identificateur unique (UVI), ou, si ce n’est pas applicable, tout autre numéro d’identification du navire</w:t>
            </w:r>
          </w:p>
        </w:tc>
        <w:tc>
          <w:tcPr>
            <w:tcW w:w="0" w:type="auto"/>
          </w:tcPr>
          <w:p w14:paraId="2A2CC71E"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2AAA36DF" w14:textId="77777777" w:rsidTr="00321D85">
        <w:trPr>
          <w:trHeight w:val="340"/>
        </w:trPr>
        <w:tc>
          <w:tcPr>
            <w:tcW w:w="0" w:type="auto"/>
          </w:tcPr>
          <w:p w14:paraId="2609F8D2" w14:textId="4D1CA290" w:rsidR="002D4C59" w:rsidRPr="004516BA" w:rsidRDefault="00D62AB2" w:rsidP="001D2676">
            <w:pPr>
              <w:widowControl w:val="0"/>
              <w:spacing w:after="0" w:line="240" w:lineRule="auto"/>
              <w:ind w:left="13"/>
              <w:jc w:val="center"/>
              <w:rPr>
                <w:rFonts w:ascii="Cambria" w:eastAsia="Times New Roman" w:hAnsi="Cambria" w:cs="Times New Roman"/>
                <w:sz w:val="20"/>
                <w:szCs w:val="20"/>
              </w:rPr>
            </w:pPr>
            <w:r w:rsidRPr="004516BA">
              <w:rPr>
                <w:rFonts w:ascii="Cambria" w:eastAsia="Times New Roman" w:hAnsi="Cambria" w:cs="Times New Roman"/>
                <w:sz w:val="20"/>
                <w:szCs w:val="20"/>
              </w:rPr>
              <w:t>I</w:t>
            </w:r>
          </w:p>
        </w:tc>
        <w:tc>
          <w:tcPr>
            <w:tcW w:w="6074" w:type="dxa"/>
          </w:tcPr>
          <w:p w14:paraId="679B5632"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Longueur hors tout</w:t>
            </w:r>
          </w:p>
        </w:tc>
        <w:tc>
          <w:tcPr>
            <w:tcW w:w="0" w:type="auto"/>
          </w:tcPr>
          <w:p w14:paraId="4D46A80F"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1BD08C63" w14:textId="77777777" w:rsidTr="00321D85">
        <w:trPr>
          <w:trHeight w:val="340"/>
        </w:trPr>
        <w:tc>
          <w:tcPr>
            <w:tcW w:w="0" w:type="auto"/>
          </w:tcPr>
          <w:p w14:paraId="5F07C04F" w14:textId="2073AC8A" w:rsidR="002D4C59" w:rsidRPr="004516BA" w:rsidRDefault="00D62AB2" w:rsidP="001D2676">
            <w:pPr>
              <w:widowControl w:val="0"/>
              <w:spacing w:after="0" w:line="240" w:lineRule="auto"/>
              <w:ind w:left="13"/>
              <w:jc w:val="center"/>
              <w:rPr>
                <w:rFonts w:ascii="Cambria" w:eastAsia="Times New Roman" w:hAnsi="Cambria" w:cs="Times New Roman"/>
                <w:sz w:val="20"/>
                <w:szCs w:val="20"/>
              </w:rPr>
            </w:pPr>
            <w:r w:rsidRPr="004516BA">
              <w:rPr>
                <w:rFonts w:ascii="Cambria" w:eastAsia="Times New Roman" w:hAnsi="Cambria" w:cs="Times New Roman"/>
                <w:sz w:val="20"/>
                <w:szCs w:val="20"/>
              </w:rPr>
              <w:t>J</w:t>
            </w:r>
          </w:p>
        </w:tc>
        <w:tc>
          <w:tcPr>
            <w:tcW w:w="6074" w:type="dxa"/>
          </w:tcPr>
          <w:p w14:paraId="4769727C"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Photographies</w:t>
            </w:r>
          </w:p>
        </w:tc>
        <w:tc>
          <w:tcPr>
            <w:tcW w:w="0" w:type="auto"/>
          </w:tcPr>
          <w:p w14:paraId="3359EC71"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405CA9BD" w14:textId="77777777" w:rsidTr="00321D85">
        <w:trPr>
          <w:trHeight w:val="340"/>
        </w:trPr>
        <w:tc>
          <w:tcPr>
            <w:tcW w:w="0" w:type="auto"/>
          </w:tcPr>
          <w:p w14:paraId="2AA66392" w14:textId="22D3F4AD"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K</w:t>
            </w:r>
          </w:p>
        </w:tc>
        <w:tc>
          <w:tcPr>
            <w:tcW w:w="6074" w:type="dxa"/>
          </w:tcPr>
          <w:p w14:paraId="4C4694F5"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Date de la première inclusion du navire sur la liste IUU de l’ICCAT</w:t>
            </w:r>
          </w:p>
        </w:tc>
        <w:tc>
          <w:tcPr>
            <w:tcW w:w="0" w:type="auto"/>
          </w:tcPr>
          <w:p w14:paraId="4ACD4854"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2FDC7B99" w14:textId="77777777" w:rsidTr="00321D85">
        <w:trPr>
          <w:trHeight w:val="340"/>
        </w:trPr>
        <w:tc>
          <w:tcPr>
            <w:tcW w:w="0" w:type="auto"/>
          </w:tcPr>
          <w:p w14:paraId="3DE88EBA" w14:textId="186F1C47" w:rsidR="002D4C59" w:rsidRPr="004516BA" w:rsidRDefault="00D62AB2" w:rsidP="001D2676">
            <w:pPr>
              <w:widowControl w:val="0"/>
              <w:spacing w:after="0" w:line="240" w:lineRule="auto"/>
              <w:ind w:left="13"/>
              <w:jc w:val="center"/>
              <w:rPr>
                <w:rFonts w:ascii="Cambria" w:eastAsia="Times New Roman" w:hAnsi="Cambria" w:cs="Times New Roman"/>
                <w:sz w:val="20"/>
                <w:szCs w:val="20"/>
              </w:rPr>
            </w:pPr>
            <w:r w:rsidRPr="004516BA">
              <w:rPr>
                <w:rFonts w:ascii="Cambria" w:eastAsia="Times New Roman" w:hAnsi="Cambria" w:cs="Times New Roman"/>
                <w:sz w:val="20"/>
                <w:szCs w:val="20"/>
              </w:rPr>
              <w:t>L</w:t>
            </w:r>
          </w:p>
        </w:tc>
        <w:tc>
          <w:tcPr>
            <w:tcW w:w="6074" w:type="dxa"/>
          </w:tcPr>
          <w:p w14:paraId="1DB851F6"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Date des activités de pêche IUU alléguées</w:t>
            </w:r>
          </w:p>
        </w:tc>
        <w:tc>
          <w:tcPr>
            <w:tcW w:w="0" w:type="auto"/>
          </w:tcPr>
          <w:p w14:paraId="432CFC6B"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19A69EC1" w14:textId="77777777" w:rsidTr="00321D85">
        <w:trPr>
          <w:trHeight w:val="340"/>
        </w:trPr>
        <w:tc>
          <w:tcPr>
            <w:tcW w:w="0" w:type="auto"/>
          </w:tcPr>
          <w:p w14:paraId="387E778C" w14:textId="0575D375" w:rsidR="002D4C59" w:rsidRPr="004516BA" w:rsidRDefault="00D62AB2" w:rsidP="001D2676">
            <w:pPr>
              <w:widowControl w:val="0"/>
              <w:spacing w:after="0" w:line="240" w:lineRule="auto"/>
              <w:ind w:left="11"/>
              <w:jc w:val="center"/>
              <w:rPr>
                <w:rFonts w:ascii="Cambria" w:eastAsia="Times New Roman" w:hAnsi="Cambria" w:cs="Times New Roman"/>
                <w:sz w:val="20"/>
                <w:szCs w:val="20"/>
              </w:rPr>
            </w:pPr>
            <w:r w:rsidRPr="004516BA">
              <w:rPr>
                <w:rFonts w:ascii="Cambria" w:eastAsia="Times New Roman" w:hAnsi="Cambria" w:cs="Times New Roman"/>
                <w:sz w:val="20"/>
                <w:szCs w:val="20"/>
              </w:rPr>
              <w:t>M</w:t>
            </w:r>
          </w:p>
        </w:tc>
        <w:tc>
          <w:tcPr>
            <w:tcW w:w="6074" w:type="dxa"/>
          </w:tcPr>
          <w:p w14:paraId="66BCFCF7"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Position des activités de pêche IUU alléguées</w:t>
            </w:r>
          </w:p>
        </w:tc>
        <w:tc>
          <w:tcPr>
            <w:tcW w:w="0" w:type="auto"/>
          </w:tcPr>
          <w:p w14:paraId="7B417807"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6E12AA50" w14:textId="77777777" w:rsidTr="00321D85">
        <w:trPr>
          <w:trHeight w:val="340"/>
        </w:trPr>
        <w:tc>
          <w:tcPr>
            <w:tcW w:w="0" w:type="auto"/>
          </w:tcPr>
          <w:p w14:paraId="28250F7B" w14:textId="23FD5715"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N</w:t>
            </w:r>
          </w:p>
        </w:tc>
        <w:tc>
          <w:tcPr>
            <w:tcW w:w="6074" w:type="dxa"/>
          </w:tcPr>
          <w:p w14:paraId="30CFB275"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Résumé des activités IUU alléguées (voir aussi section B)</w:t>
            </w:r>
          </w:p>
        </w:tc>
        <w:tc>
          <w:tcPr>
            <w:tcW w:w="0" w:type="auto"/>
          </w:tcPr>
          <w:p w14:paraId="2AFE0500"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2E8ECF89" w14:textId="77777777" w:rsidTr="00321D85">
        <w:trPr>
          <w:trHeight w:val="340"/>
        </w:trPr>
        <w:tc>
          <w:tcPr>
            <w:tcW w:w="0" w:type="auto"/>
          </w:tcPr>
          <w:p w14:paraId="5D1CACAE" w14:textId="02CD4C34"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O</w:t>
            </w:r>
          </w:p>
        </w:tc>
        <w:tc>
          <w:tcPr>
            <w:tcW w:w="6074" w:type="dxa"/>
          </w:tcPr>
          <w:p w14:paraId="30198586"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Résumé de toute action dont on sait qu’elle a été prise en réponse aux activités</w:t>
            </w:r>
          </w:p>
        </w:tc>
        <w:tc>
          <w:tcPr>
            <w:tcW w:w="0" w:type="auto"/>
          </w:tcPr>
          <w:p w14:paraId="5E243840"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26371536" w14:textId="77777777" w:rsidTr="00321D85">
        <w:trPr>
          <w:trHeight w:val="340"/>
        </w:trPr>
        <w:tc>
          <w:tcPr>
            <w:tcW w:w="0" w:type="auto"/>
          </w:tcPr>
          <w:p w14:paraId="37BC7DE8" w14:textId="7300ABAB"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P</w:t>
            </w:r>
          </w:p>
        </w:tc>
        <w:tc>
          <w:tcPr>
            <w:tcW w:w="6074" w:type="dxa"/>
          </w:tcPr>
          <w:p w14:paraId="5536FD87"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Résultat de toute action entreprise</w:t>
            </w:r>
          </w:p>
        </w:tc>
        <w:tc>
          <w:tcPr>
            <w:tcW w:w="0" w:type="auto"/>
          </w:tcPr>
          <w:p w14:paraId="39A9127D"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10B6D681" w14:textId="77777777" w:rsidTr="00321D85">
        <w:trPr>
          <w:trHeight w:val="340"/>
        </w:trPr>
        <w:tc>
          <w:tcPr>
            <w:tcW w:w="0" w:type="auto"/>
          </w:tcPr>
          <w:p w14:paraId="2A357D41" w14:textId="0F456BE8" w:rsidR="002D4C59" w:rsidRPr="004516BA" w:rsidRDefault="00D62AB2" w:rsidP="001D2676">
            <w:pPr>
              <w:widowControl w:val="0"/>
              <w:spacing w:after="0" w:line="240" w:lineRule="auto"/>
              <w:ind w:left="14"/>
              <w:jc w:val="center"/>
              <w:rPr>
                <w:rFonts w:ascii="Cambria" w:eastAsia="Times New Roman" w:hAnsi="Cambria" w:cs="Times New Roman"/>
                <w:sz w:val="20"/>
                <w:szCs w:val="20"/>
              </w:rPr>
            </w:pPr>
            <w:r w:rsidRPr="004516BA">
              <w:rPr>
                <w:rFonts w:ascii="Cambria" w:eastAsia="Times New Roman" w:hAnsi="Cambria" w:cs="Times New Roman"/>
                <w:sz w:val="20"/>
                <w:szCs w:val="20"/>
              </w:rPr>
              <w:t>Q</w:t>
            </w:r>
          </w:p>
        </w:tc>
        <w:tc>
          <w:tcPr>
            <w:tcW w:w="6074" w:type="dxa"/>
          </w:tcPr>
          <w:p w14:paraId="6112E8C6" w14:textId="77777777" w:rsidR="002D4C59" w:rsidRPr="004516BA" w:rsidRDefault="002D4C59" w:rsidP="001D2676">
            <w:pPr>
              <w:widowControl w:val="0"/>
              <w:spacing w:after="0" w:line="240" w:lineRule="auto"/>
              <w:ind w:left="108"/>
              <w:rPr>
                <w:rFonts w:ascii="Cambria" w:eastAsia="Times New Roman" w:hAnsi="Cambria" w:cs="Times New Roman"/>
                <w:sz w:val="20"/>
                <w:szCs w:val="20"/>
              </w:rPr>
            </w:pPr>
            <w:r w:rsidRPr="004516BA">
              <w:rPr>
                <w:rFonts w:ascii="Cambria" w:eastAsia="Times New Roman" w:hAnsi="Cambria" w:cs="Times New Roman"/>
                <w:sz w:val="20"/>
                <w:szCs w:val="20"/>
              </w:rPr>
              <w:t>Autre information pertinente, le cas échéant (p.ex. faux pavillons éventuels ou faux noms de navires utilisés, modus operandi, etc.)</w:t>
            </w:r>
          </w:p>
        </w:tc>
        <w:tc>
          <w:tcPr>
            <w:tcW w:w="0" w:type="auto"/>
          </w:tcPr>
          <w:p w14:paraId="2D78DCAE"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bl>
    <w:p w14:paraId="514FDDCA"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7FFC80CB" w14:textId="77777777" w:rsidR="002D4C59" w:rsidRPr="004516BA" w:rsidRDefault="002D4C59" w:rsidP="002D4C59">
      <w:pPr>
        <w:widowControl w:val="0"/>
        <w:spacing w:after="0" w:line="240" w:lineRule="auto"/>
        <w:rPr>
          <w:rFonts w:ascii="Cambria" w:eastAsia="Times New Roman" w:hAnsi="Cambria" w:cs="Times New Roman"/>
          <w:sz w:val="20"/>
          <w:szCs w:val="20"/>
        </w:rPr>
        <w:sectPr w:rsidR="002D4C59" w:rsidRPr="004516BA" w:rsidSect="002D4C59">
          <w:footerReference w:type="default" r:id="rId7"/>
          <w:pgSz w:w="11910" w:h="16840" w:code="9"/>
          <w:pgMar w:top="1418" w:right="1418" w:bottom="1418" w:left="1418" w:header="851" w:footer="1134" w:gutter="0"/>
          <w:cols w:space="720"/>
        </w:sectPr>
      </w:pPr>
      <w:r w:rsidRPr="004516BA">
        <w:rPr>
          <w:rFonts w:ascii="Cambria" w:eastAsia="Times New Roman" w:hAnsi="Cambria" w:cs="Times New Roman"/>
          <w:sz w:val="20"/>
          <w:szCs w:val="20"/>
        </w:rPr>
        <w:br w:type="page"/>
      </w:r>
    </w:p>
    <w:p w14:paraId="14E5F9F7" w14:textId="77777777" w:rsidR="002D4C59" w:rsidRPr="004516BA" w:rsidRDefault="002D4C59" w:rsidP="002D4C59">
      <w:pPr>
        <w:widowControl w:val="0"/>
        <w:spacing w:after="0" w:line="240" w:lineRule="auto"/>
        <w:ind w:left="426" w:hanging="426"/>
        <w:outlineLvl w:val="2"/>
        <w:rPr>
          <w:rFonts w:ascii="Cambria" w:eastAsia="Cambria" w:hAnsi="Cambria" w:cs="Cambria"/>
          <w:b/>
          <w:color w:val="auto"/>
          <w:sz w:val="20"/>
          <w:szCs w:val="20"/>
        </w:rPr>
      </w:pPr>
      <w:r w:rsidRPr="004516BA">
        <w:rPr>
          <w:rFonts w:ascii="Cambria" w:eastAsia="Cambria" w:hAnsi="Cambria" w:cs="Cambria"/>
          <w:b/>
          <w:color w:val="auto"/>
          <w:sz w:val="20"/>
          <w:szCs w:val="20"/>
        </w:rPr>
        <w:lastRenderedPageBreak/>
        <w:t>B.</w:t>
      </w:r>
      <w:r w:rsidRPr="004516BA">
        <w:rPr>
          <w:rFonts w:ascii="Cambria" w:eastAsia="Cambria" w:hAnsi="Cambria" w:cs="Cambria"/>
          <w:b/>
          <w:color w:val="auto"/>
          <w:sz w:val="20"/>
          <w:szCs w:val="20"/>
        </w:rPr>
        <w:tab/>
        <w:t>Détails de l’activité IUU alléguée</w:t>
      </w:r>
    </w:p>
    <w:p w14:paraId="55B322EA" w14:textId="77777777" w:rsidR="002D4C59" w:rsidRPr="004516BA" w:rsidRDefault="002D4C59" w:rsidP="002D4C59">
      <w:pPr>
        <w:widowControl w:val="0"/>
        <w:spacing w:after="0" w:line="240" w:lineRule="auto"/>
        <w:ind w:right="403"/>
        <w:rPr>
          <w:rFonts w:ascii="Cambria" w:eastAsia="Times New Roman" w:hAnsi="Cambria" w:cs="Times New Roman"/>
          <w:i/>
          <w:sz w:val="20"/>
          <w:szCs w:val="20"/>
        </w:rPr>
      </w:pPr>
    </w:p>
    <w:p w14:paraId="544F4EF6" w14:textId="77777777" w:rsidR="002D4C59" w:rsidRPr="004516BA" w:rsidRDefault="002D4C59" w:rsidP="002D4C59">
      <w:pPr>
        <w:widowControl w:val="0"/>
        <w:spacing w:after="0" w:line="240" w:lineRule="auto"/>
        <w:ind w:right="2"/>
        <w:jc w:val="both"/>
        <w:rPr>
          <w:rFonts w:ascii="Cambria" w:eastAsia="Times New Roman" w:hAnsi="Cambria" w:cs="Times New Roman"/>
          <w:i/>
          <w:sz w:val="20"/>
          <w:szCs w:val="20"/>
        </w:rPr>
      </w:pPr>
      <w:r w:rsidRPr="004516BA">
        <w:rPr>
          <w:rFonts w:ascii="Cambria" w:eastAsia="Times New Roman" w:hAnsi="Cambria" w:cs="Times New Roman"/>
          <w:i/>
          <w:sz w:val="20"/>
          <w:szCs w:val="20"/>
        </w:rPr>
        <w:t>(Indiquer avec un « X » les éléments applicables de l'activité et fournir les détails pertinents, y compris la date, le lieu et la source de l'information. Des informations supplémentaires peuvent être fournies dans une pièce jointe si nécessaire.)</w:t>
      </w:r>
    </w:p>
    <w:p w14:paraId="0195190D" w14:textId="77777777" w:rsidR="002D4C59" w:rsidRPr="004516BA" w:rsidRDefault="002D4C59" w:rsidP="002D4C59">
      <w:pPr>
        <w:widowControl w:val="0"/>
        <w:spacing w:after="0" w:line="240" w:lineRule="auto"/>
        <w:rPr>
          <w:rFonts w:ascii="Cambria" w:eastAsia="Times New Roman" w:hAnsi="Cambria" w:cs="Times New Roman"/>
          <w:i/>
          <w:sz w:val="20"/>
          <w:szCs w:val="20"/>
        </w:rPr>
      </w:pPr>
    </w:p>
    <w:tbl>
      <w:tblPr>
        <w:tblW w:w="95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0"/>
        <w:gridCol w:w="4526"/>
        <w:gridCol w:w="3504"/>
      </w:tblGrid>
      <w:tr w:rsidR="002D4C59" w:rsidRPr="004516BA" w14:paraId="3571227C" w14:textId="77777777" w:rsidTr="00DA31B2">
        <w:trPr>
          <w:trHeight w:val="760"/>
        </w:trPr>
        <w:tc>
          <w:tcPr>
            <w:tcW w:w="1560" w:type="dxa"/>
            <w:tcBorders>
              <w:left w:val="single" w:sz="4" w:space="0" w:color="000000"/>
            </w:tcBorders>
          </w:tcPr>
          <w:p w14:paraId="25A7DEB5" w14:textId="24D0BABF" w:rsidR="00DA31B2" w:rsidRPr="004516BA" w:rsidRDefault="002D4C59" w:rsidP="00DA31B2">
            <w:pPr>
              <w:widowControl w:val="0"/>
              <w:spacing w:after="0" w:line="240" w:lineRule="auto"/>
              <w:ind w:left="159"/>
              <w:jc w:val="center"/>
              <w:rPr>
                <w:rFonts w:ascii="Cambria" w:eastAsia="Times New Roman" w:hAnsi="Cambria" w:cs="Times New Roman"/>
                <w:b/>
                <w:bCs/>
                <w:i/>
                <w:sz w:val="20"/>
                <w:szCs w:val="20"/>
              </w:rPr>
            </w:pPr>
            <w:r w:rsidRPr="004516BA">
              <w:rPr>
                <w:rFonts w:ascii="Cambria" w:eastAsia="Times New Roman" w:hAnsi="Cambria" w:cs="Times New Roman"/>
                <w:b/>
                <w:bCs/>
                <w:i/>
                <w:sz w:val="20"/>
                <w:szCs w:val="20"/>
              </w:rPr>
              <w:t xml:space="preserve">Rec. </w:t>
            </w:r>
            <w:r w:rsidR="00DA31B2" w:rsidRPr="004516BA">
              <w:rPr>
                <w:rFonts w:ascii="Cambria" w:eastAsia="Times New Roman" w:hAnsi="Cambria" w:cs="Times New Roman"/>
                <w:b/>
                <w:bCs/>
                <w:i/>
                <w:sz w:val="20"/>
                <w:szCs w:val="20"/>
              </w:rPr>
              <w:t>21-</w:t>
            </w:r>
            <w:r w:rsidR="00B43CF8" w:rsidRPr="004516BA">
              <w:rPr>
                <w:rFonts w:ascii="Cambria" w:eastAsia="Times New Roman" w:hAnsi="Cambria" w:cs="Times New Roman"/>
                <w:b/>
                <w:bCs/>
                <w:i/>
                <w:sz w:val="20"/>
                <w:szCs w:val="20"/>
              </w:rPr>
              <w:t>13</w:t>
            </w:r>
          </w:p>
          <w:p w14:paraId="4FEEA77E" w14:textId="6FDE961E" w:rsidR="002D4C59" w:rsidRPr="004516BA" w:rsidRDefault="002D4C59" w:rsidP="00DA31B2">
            <w:pPr>
              <w:widowControl w:val="0"/>
              <w:spacing w:after="0" w:line="240" w:lineRule="auto"/>
              <w:ind w:left="159"/>
              <w:jc w:val="center"/>
              <w:rPr>
                <w:rFonts w:ascii="Cambria" w:eastAsia="Times New Roman" w:hAnsi="Cambria" w:cs="Times New Roman"/>
                <w:b/>
                <w:bCs/>
                <w:i/>
                <w:sz w:val="20"/>
                <w:szCs w:val="20"/>
              </w:rPr>
            </w:pPr>
            <w:r w:rsidRPr="004516BA">
              <w:rPr>
                <w:rFonts w:ascii="Cambria" w:eastAsia="Times New Roman" w:hAnsi="Cambria" w:cs="Times New Roman"/>
                <w:b/>
                <w:bCs/>
                <w:i/>
                <w:sz w:val="20"/>
                <w:szCs w:val="20"/>
              </w:rPr>
              <w:t>par</w:t>
            </w:r>
            <w:r w:rsidR="00D62AB2" w:rsidRPr="004516BA">
              <w:rPr>
                <w:rFonts w:ascii="Cambria" w:eastAsia="Times New Roman" w:hAnsi="Cambria" w:cs="Times New Roman"/>
                <w:b/>
                <w:bCs/>
                <w:i/>
                <w:sz w:val="20"/>
                <w:szCs w:val="20"/>
              </w:rPr>
              <w:t>a</w:t>
            </w:r>
            <w:r w:rsidRPr="004516BA">
              <w:rPr>
                <w:rFonts w:ascii="Cambria" w:eastAsia="Times New Roman" w:hAnsi="Cambria" w:cs="Times New Roman"/>
                <w:b/>
                <w:bCs/>
                <w:i/>
                <w:sz w:val="20"/>
                <w:szCs w:val="20"/>
              </w:rPr>
              <w:t xml:space="preserve">. </w:t>
            </w:r>
            <w:r w:rsidR="00DA31B2" w:rsidRPr="004516BA">
              <w:rPr>
                <w:rFonts w:ascii="Cambria" w:eastAsia="Times New Roman" w:hAnsi="Cambria" w:cs="Times New Roman"/>
                <w:b/>
                <w:bCs/>
                <w:i/>
                <w:sz w:val="20"/>
                <w:szCs w:val="20"/>
              </w:rPr>
              <w:t>1</w:t>
            </w:r>
          </w:p>
        </w:tc>
        <w:tc>
          <w:tcPr>
            <w:tcW w:w="4526" w:type="dxa"/>
            <w:tcBorders>
              <w:right w:val="single" w:sz="4" w:space="0" w:color="000000"/>
            </w:tcBorders>
          </w:tcPr>
          <w:p w14:paraId="119C6737" w14:textId="77777777" w:rsidR="002D4C59" w:rsidRPr="004516BA" w:rsidRDefault="002D4C59" w:rsidP="00D62AB2">
            <w:pPr>
              <w:widowControl w:val="0"/>
              <w:spacing w:after="0" w:line="240" w:lineRule="auto"/>
              <w:ind w:left="98"/>
              <w:rPr>
                <w:rFonts w:ascii="Cambria" w:eastAsia="Times New Roman" w:hAnsi="Cambria" w:cs="Times New Roman"/>
                <w:b/>
                <w:bCs/>
                <w:i/>
                <w:sz w:val="20"/>
                <w:szCs w:val="20"/>
              </w:rPr>
            </w:pPr>
            <w:r w:rsidRPr="004516BA">
              <w:rPr>
                <w:rFonts w:ascii="Cambria" w:eastAsia="Times New Roman" w:hAnsi="Cambria" w:cs="Times New Roman"/>
                <w:b/>
                <w:bCs/>
                <w:i/>
                <w:sz w:val="20"/>
                <w:szCs w:val="20"/>
              </w:rPr>
              <w:t>Navire ayant pêché des espèces couvertes par la Convention ICCAT dans la zone de la Convention et :</w:t>
            </w:r>
          </w:p>
        </w:tc>
        <w:tc>
          <w:tcPr>
            <w:tcW w:w="3504" w:type="dxa"/>
            <w:tcBorders>
              <w:left w:val="single" w:sz="4" w:space="0" w:color="000000"/>
              <w:right w:val="single" w:sz="4" w:space="0" w:color="000000"/>
            </w:tcBorders>
          </w:tcPr>
          <w:p w14:paraId="38307123" w14:textId="77777777" w:rsidR="002D4C59" w:rsidRPr="004516BA" w:rsidRDefault="002D4C59" w:rsidP="001D2676">
            <w:pPr>
              <w:widowControl w:val="0"/>
              <w:spacing w:after="0" w:line="240" w:lineRule="auto"/>
              <w:ind w:left="106"/>
              <w:rPr>
                <w:rFonts w:ascii="Cambria" w:eastAsia="Times New Roman" w:hAnsi="Cambria" w:cs="Times New Roman"/>
                <w:b/>
                <w:bCs/>
                <w:i/>
                <w:sz w:val="20"/>
                <w:szCs w:val="20"/>
              </w:rPr>
            </w:pPr>
            <w:r w:rsidRPr="004516BA">
              <w:rPr>
                <w:rFonts w:ascii="Cambria" w:eastAsia="Times New Roman" w:hAnsi="Cambria" w:cs="Times New Roman"/>
                <w:b/>
                <w:bCs/>
                <w:i/>
                <w:sz w:val="20"/>
                <w:szCs w:val="20"/>
              </w:rPr>
              <w:t>Indiquer et fournir des détails</w:t>
            </w:r>
          </w:p>
        </w:tc>
      </w:tr>
      <w:tr w:rsidR="002D4C59" w:rsidRPr="004516BA" w14:paraId="00CD9B94" w14:textId="77777777" w:rsidTr="00DA31B2">
        <w:trPr>
          <w:trHeight w:val="340"/>
        </w:trPr>
        <w:tc>
          <w:tcPr>
            <w:tcW w:w="1560" w:type="dxa"/>
            <w:tcBorders>
              <w:left w:val="single" w:sz="4" w:space="0" w:color="000000"/>
            </w:tcBorders>
          </w:tcPr>
          <w:p w14:paraId="5044AF8F" w14:textId="77777777" w:rsidR="002D4C59" w:rsidRPr="004516BA" w:rsidRDefault="002D4C59" w:rsidP="001D2676">
            <w:pPr>
              <w:widowControl w:val="0"/>
              <w:spacing w:after="0" w:line="240" w:lineRule="auto"/>
              <w:ind w:left="10"/>
              <w:jc w:val="center"/>
              <w:rPr>
                <w:rFonts w:ascii="Cambria" w:eastAsia="Times New Roman" w:hAnsi="Cambria" w:cs="Times New Roman"/>
                <w:sz w:val="20"/>
                <w:szCs w:val="20"/>
              </w:rPr>
            </w:pPr>
            <w:r w:rsidRPr="004516BA">
              <w:rPr>
                <w:rFonts w:ascii="Cambria" w:eastAsia="Times New Roman" w:hAnsi="Cambria" w:cs="Times New Roman"/>
                <w:sz w:val="20"/>
                <w:szCs w:val="20"/>
              </w:rPr>
              <w:t>a</w:t>
            </w:r>
          </w:p>
        </w:tc>
        <w:tc>
          <w:tcPr>
            <w:tcW w:w="4526" w:type="dxa"/>
            <w:tcBorders>
              <w:right w:val="single" w:sz="4" w:space="0" w:color="000000"/>
            </w:tcBorders>
          </w:tcPr>
          <w:p w14:paraId="760FE9D9" w14:textId="452869D9" w:rsidR="002D4C59" w:rsidRPr="004516BA" w:rsidRDefault="002D4C59" w:rsidP="001D2676">
            <w:pPr>
              <w:widowControl w:val="0"/>
              <w:tabs>
                <w:tab w:val="left" w:pos="838"/>
                <w:tab w:val="left" w:pos="839"/>
              </w:tabs>
              <w:spacing w:after="0" w:line="240" w:lineRule="auto"/>
              <w:ind w:right="114"/>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Capturent des thonidés ou espèces voisines dans la zone de la Convention </w:t>
            </w:r>
            <w:r w:rsidR="004817F0" w:rsidRPr="004516BA">
              <w:rPr>
                <w:rFonts w:ascii="Cambria" w:eastAsia="Times New Roman" w:hAnsi="Cambria" w:cs="Times New Roman"/>
                <w:sz w:val="20"/>
                <w:szCs w:val="20"/>
              </w:rPr>
              <w:t xml:space="preserve">de l’ICCAT </w:t>
            </w:r>
            <w:r w:rsidRPr="004516BA">
              <w:rPr>
                <w:rFonts w:ascii="Cambria" w:eastAsia="Times New Roman" w:hAnsi="Cambria" w:cs="Times New Roman"/>
                <w:sz w:val="20"/>
                <w:szCs w:val="20"/>
              </w:rPr>
              <w:t>et ne figurent pas sur la liste ICCAT pertinente des navires autorisés à pêcher des thonidés et des espèces voisines dans la zone de la Convention </w:t>
            </w:r>
            <w:r w:rsidR="004817F0" w:rsidRPr="004516BA">
              <w:rPr>
                <w:rFonts w:ascii="Cambria" w:eastAsia="Times New Roman" w:hAnsi="Cambria" w:cs="Times New Roman"/>
                <w:sz w:val="20"/>
                <w:szCs w:val="20"/>
              </w:rPr>
              <w:t>de l’ICCAT</w:t>
            </w:r>
            <w:r w:rsidR="00DA31B2" w:rsidRPr="004516BA">
              <w:rPr>
                <w:rFonts w:ascii="Cambria" w:eastAsia="Times New Roman" w:hAnsi="Cambria" w:cs="Times New Roman"/>
                <w:sz w:val="20"/>
                <w:szCs w:val="20"/>
              </w:rPr>
              <w:t>.</w:t>
            </w:r>
          </w:p>
        </w:tc>
        <w:tc>
          <w:tcPr>
            <w:tcW w:w="3504" w:type="dxa"/>
            <w:tcBorders>
              <w:left w:val="single" w:sz="4" w:space="0" w:color="000000"/>
              <w:right w:val="single" w:sz="4" w:space="0" w:color="000000"/>
            </w:tcBorders>
          </w:tcPr>
          <w:p w14:paraId="5B8B0F0F"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63BEC857" w14:textId="77777777" w:rsidTr="00DA31B2">
        <w:trPr>
          <w:trHeight w:val="1000"/>
        </w:trPr>
        <w:tc>
          <w:tcPr>
            <w:tcW w:w="1560" w:type="dxa"/>
            <w:tcBorders>
              <w:left w:val="single" w:sz="4" w:space="0" w:color="000000"/>
            </w:tcBorders>
          </w:tcPr>
          <w:p w14:paraId="6AD62A2B" w14:textId="77777777" w:rsidR="002D4C59" w:rsidRPr="004516BA" w:rsidRDefault="002D4C59" w:rsidP="001D2676">
            <w:pPr>
              <w:widowControl w:val="0"/>
              <w:spacing w:after="0" w:line="240" w:lineRule="auto"/>
              <w:ind w:left="6"/>
              <w:jc w:val="center"/>
              <w:rPr>
                <w:rFonts w:ascii="Cambria" w:eastAsia="Times New Roman" w:hAnsi="Cambria" w:cs="Times New Roman"/>
                <w:sz w:val="20"/>
                <w:szCs w:val="20"/>
              </w:rPr>
            </w:pPr>
            <w:r w:rsidRPr="004516BA">
              <w:rPr>
                <w:rFonts w:ascii="Cambria" w:eastAsia="Times New Roman" w:hAnsi="Cambria" w:cs="Times New Roman"/>
                <w:sz w:val="20"/>
                <w:szCs w:val="20"/>
              </w:rPr>
              <w:t>b</w:t>
            </w:r>
          </w:p>
        </w:tc>
        <w:tc>
          <w:tcPr>
            <w:tcW w:w="4526" w:type="dxa"/>
            <w:tcBorders>
              <w:right w:val="single" w:sz="4" w:space="0" w:color="000000"/>
            </w:tcBorders>
          </w:tcPr>
          <w:p w14:paraId="351CB6AC" w14:textId="7A452BBD" w:rsidR="002D4C59" w:rsidRPr="004516BA" w:rsidRDefault="002D4C59" w:rsidP="001D2676">
            <w:pPr>
              <w:widowControl w:val="0"/>
              <w:tabs>
                <w:tab w:val="left" w:pos="839"/>
              </w:tabs>
              <w:spacing w:after="0" w:line="240" w:lineRule="auto"/>
              <w:ind w:right="113"/>
              <w:jc w:val="both"/>
              <w:rPr>
                <w:rFonts w:ascii="Cambria" w:eastAsia="Times New Roman" w:hAnsi="Cambria" w:cs="Times New Roman"/>
                <w:sz w:val="20"/>
                <w:szCs w:val="20"/>
              </w:rPr>
            </w:pPr>
            <w:r w:rsidRPr="004516BA">
              <w:rPr>
                <w:rFonts w:ascii="Cambria" w:eastAsia="Times New Roman" w:hAnsi="Cambria" w:cs="Times New Roman"/>
                <w:sz w:val="20"/>
                <w:szCs w:val="20"/>
              </w:rPr>
              <w:t>Capturent des thonidés ou espèces voisines dans la zone de la Convention</w:t>
            </w:r>
            <w:r w:rsidR="004817F0" w:rsidRPr="004516BA">
              <w:rPr>
                <w:rFonts w:ascii="Cambria" w:eastAsia="Times New Roman" w:hAnsi="Cambria" w:cs="Times New Roman"/>
                <w:sz w:val="20"/>
                <w:szCs w:val="20"/>
              </w:rPr>
              <w:t xml:space="preserve"> de l’ICCAT</w:t>
            </w:r>
            <w:r w:rsidRPr="004516BA">
              <w:rPr>
                <w:rFonts w:ascii="Cambria" w:eastAsia="Times New Roman" w:hAnsi="Cambria" w:cs="Times New Roman"/>
                <w:sz w:val="20"/>
                <w:szCs w:val="20"/>
              </w:rPr>
              <w:t>, et le navire dont l’État de pavillon est dépourvu de quotas, de limite de capture ou d’allocation de l'effort établis en vertu des mesures de conservation et de gestion pertinentes de l’ICCAT</w:t>
            </w:r>
            <w:r w:rsidR="00DA31B2" w:rsidRPr="004516BA">
              <w:rPr>
                <w:rFonts w:ascii="Cambria" w:eastAsia="Times New Roman" w:hAnsi="Cambria" w:cs="Times New Roman"/>
                <w:sz w:val="20"/>
                <w:szCs w:val="20"/>
              </w:rPr>
              <w:t>.</w:t>
            </w:r>
          </w:p>
        </w:tc>
        <w:tc>
          <w:tcPr>
            <w:tcW w:w="3504" w:type="dxa"/>
            <w:tcBorders>
              <w:left w:val="single" w:sz="4" w:space="0" w:color="000000"/>
              <w:right w:val="single" w:sz="4" w:space="0" w:color="000000"/>
            </w:tcBorders>
          </w:tcPr>
          <w:p w14:paraId="2998BE06"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595A1038" w14:textId="77777777" w:rsidTr="00DA31B2">
        <w:trPr>
          <w:trHeight w:val="500"/>
        </w:trPr>
        <w:tc>
          <w:tcPr>
            <w:tcW w:w="1560" w:type="dxa"/>
            <w:tcBorders>
              <w:left w:val="single" w:sz="4" w:space="0" w:color="000000"/>
            </w:tcBorders>
          </w:tcPr>
          <w:p w14:paraId="29189B7B" w14:textId="77777777" w:rsidR="002D4C59" w:rsidRPr="004516BA" w:rsidRDefault="002D4C59" w:rsidP="001D2676">
            <w:pPr>
              <w:widowControl w:val="0"/>
              <w:spacing w:after="0" w:line="240" w:lineRule="auto"/>
              <w:ind w:left="10"/>
              <w:jc w:val="center"/>
              <w:rPr>
                <w:rFonts w:ascii="Cambria" w:eastAsia="Times New Roman" w:hAnsi="Cambria" w:cs="Times New Roman"/>
                <w:sz w:val="20"/>
                <w:szCs w:val="20"/>
              </w:rPr>
            </w:pPr>
            <w:r w:rsidRPr="004516BA">
              <w:rPr>
                <w:rFonts w:ascii="Cambria" w:eastAsia="Times New Roman" w:hAnsi="Cambria" w:cs="Times New Roman"/>
                <w:sz w:val="20"/>
                <w:szCs w:val="20"/>
              </w:rPr>
              <w:t>c</w:t>
            </w:r>
          </w:p>
        </w:tc>
        <w:tc>
          <w:tcPr>
            <w:tcW w:w="4526" w:type="dxa"/>
            <w:tcBorders>
              <w:right w:val="single" w:sz="4" w:space="0" w:color="000000"/>
            </w:tcBorders>
          </w:tcPr>
          <w:p w14:paraId="30118A69" w14:textId="330125D0" w:rsidR="002D4C59" w:rsidRPr="004516BA" w:rsidRDefault="002D4C59" w:rsidP="001D2676">
            <w:pPr>
              <w:widowControl w:val="0"/>
              <w:tabs>
                <w:tab w:val="left" w:pos="838"/>
                <w:tab w:val="left" w:pos="839"/>
              </w:tabs>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N’enregistrent ou ne déclarent leurs captures réalisées dans la zone de la Convention </w:t>
            </w:r>
            <w:r w:rsidR="004817F0" w:rsidRPr="004516BA">
              <w:rPr>
                <w:rFonts w:ascii="Cambria" w:eastAsia="Times New Roman" w:hAnsi="Cambria" w:cs="Times New Roman"/>
                <w:sz w:val="20"/>
                <w:szCs w:val="20"/>
              </w:rPr>
              <w:t>de l’ICCAT</w:t>
            </w:r>
            <w:r w:rsidRPr="004516BA">
              <w:rPr>
                <w:rFonts w:ascii="Cambria" w:eastAsia="Times New Roman" w:hAnsi="Cambria" w:cs="Times New Roman"/>
                <w:sz w:val="20"/>
                <w:szCs w:val="20"/>
              </w:rPr>
              <w:t>, ou font de fausses déclarations</w:t>
            </w:r>
            <w:r w:rsidR="00DA31B2" w:rsidRPr="004516BA">
              <w:rPr>
                <w:rFonts w:ascii="Cambria" w:eastAsia="Times New Roman" w:hAnsi="Cambria" w:cs="Times New Roman"/>
                <w:sz w:val="20"/>
                <w:szCs w:val="20"/>
              </w:rPr>
              <w:t>.</w:t>
            </w:r>
          </w:p>
        </w:tc>
        <w:tc>
          <w:tcPr>
            <w:tcW w:w="3504" w:type="dxa"/>
            <w:tcBorders>
              <w:left w:val="single" w:sz="4" w:space="0" w:color="000000"/>
              <w:right w:val="single" w:sz="4" w:space="0" w:color="000000"/>
            </w:tcBorders>
          </w:tcPr>
          <w:p w14:paraId="2BF7B7FC"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0616594E" w14:textId="77777777" w:rsidTr="00DA31B2">
        <w:trPr>
          <w:trHeight w:val="500"/>
        </w:trPr>
        <w:tc>
          <w:tcPr>
            <w:tcW w:w="1560" w:type="dxa"/>
            <w:tcBorders>
              <w:left w:val="single" w:sz="4" w:space="0" w:color="000000"/>
            </w:tcBorders>
          </w:tcPr>
          <w:p w14:paraId="6F2D0DBB" w14:textId="77777777" w:rsidR="002D4C59" w:rsidRPr="004516BA" w:rsidRDefault="002D4C59" w:rsidP="001D2676">
            <w:pPr>
              <w:widowControl w:val="0"/>
              <w:spacing w:after="0" w:line="240" w:lineRule="auto"/>
              <w:ind w:left="6"/>
              <w:jc w:val="center"/>
              <w:rPr>
                <w:rFonts w:ascii="Cambria" w:eastAsia="Times New Roman" w:hAnsi="Cambria" w:cs="Times New Roman"/>
                <w:sz w:val="20"/>
                <w:szCs w:val="20"/>
              </w:rPr>
            </w:pPr>
            <w:r w:rsidRPr="004516BA">
              <w:rPr>
                <w:rFonts w:ascii="Cambria" w:eastAsia="Times New Roman" w:hAnsi="Cambria" w:cs="Times New Roman"/>
                <w:sz w:val="20"/>
                <w:szCs w:val="20"/>
              </w:rPr>
              <w:t>d</w:t>
            </w:r>
          </w:p>
        </w:tc>
        <w:tc>
          <w:tcPr>
            <w:tcW w:w="4526" w:type="dxa"/>
            <w:tcBorders>
              <w:right w:val="single" w:sz="4" w:space="0" w:color="000000"/>
            </w:tcBorders>
          </w:tcPr>
          <w:p w14:paraId="2E74B386" w14:textId="132F2372" w:rsidR="002D4C59" w:rsidRPr="004516BA" w:rsidRDefault="004817F0" w:rsidP="001D2676">
            <w:pPr>
              <w:widowControl w:val="0"/>
              <w:tabs>
                <w:tab w:val="left" w:pos="839"/>
              </w:tabs>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Capturent </w:t>
            </w:r>
            <w:r w:rsidR="002D4C59" w:rsidRPr="004516BA">
              <w:rPr>
                <w:rFonts w:ascii="Cambria" w:eastAsia="Times New Roman" w:hAnsi="Cambria" w:cs="Times New Roman"/>
                <w:sz w:val="20"/>
                <w:szCs w:val="20"/>
              </w:rPr>
              <w:t>ou débarquent du poisson sous-taille, en contravention avec les mesures de conservation de l’ICCAT</w:t>
            </w:r>
            <w:r w:rsidR="00DA31B2" w:rsidRPr="004516BA">
              <w:rPr>
                <w:rFonts w:ascii="Cambria" w:eastAsia="Times New Roman" w:hAnsi="Cambria" w:cs="Times New Roman"/>
                <w:sz w:val="20"/>
                <w:szCs w:val="20"/>
              </w:rPr>
              <w:t>.</w:t>
            </w:r>
          </w:p>
        </w:tc>
        <w:tc>
          <w:tcPr>
            <w:tcW w:w="3504" w:type="dxa"/>
            <w:tcBorders>
              <w:left w:val="single" w:sz="4" w:space="0" w:color="000000"/>
              <w:right w:val="single" w:sz="4" w:space="0" w:color="000000"/>
            </w:tcBorders>
          </w:tcPr>
          <w:p w14:paraId="4E17E76F"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3C24CAB9" w14:textId="77777777" w:rsidTr="00DA31B2">
        <w:trPr>
          <w:trHeight w:val="280"/>
        </w:trPr>
        <w:tc>
          <w:tcPr>
            <w:tcW w:w="1560" w:type="dxa"/>
            <w:tcBorders>
              <w:left w:val="single" w:sz="4" w:space="0" w:color="000000"/>
            </w:tcBorders>
          </w:tcPr>
          <w:p w14:paraId="226CBFDB" w14:textId="77777777" w:rsidR="002D4C59" w:rsidRPr="004516BA" w:rsidRDefault="002D4C59" w:rsidP="001D2676">
            <w:pPr>
              <w:widowControl w:val="0"/>
              <w:spacing w:after="0" w:line="240" w:lineRule="auto"/>
              <w:ind w:left="10"/>
              <w:jc w:val="center"/>
              <w:rPr>
                <w:rFonts w:ascii="Cambria" w:eastAsia="Times New Roman" w:hAnsi="Cambria" w:cs="Times New Roman"/>
                <w:sz w:val="20"/>
                <w:szCs w:val="20"/>
              </w:rPr>
            </w:pPr>
            <w:r w:rsidRPr="004516BA">
              <w:rPr>
                <w:rFonts w:ascii="Cambria" w:eastAsia="Times New Roman" w:hAnsi="Cambria" w:cs="Times New Roman"/>
                <w:sz w:val="20"/>
                <w:szCs w:val="20"/>
              </w:rPr>
              <w:t>e</w:t>
            </w:r>
          </w:p>
        </w:tc>
        <w:tc>
          <w:tcPr>
            <w:tcW w:w="4526" w:type="dxa"/>
            <w:tcBorders>
              <w:right w:val="single" w:sz="4" w:space="0" w:color="000000"/>
            </w:tcBorders>
          </w:tcPr>
          <w:p w14:paraId="41090914" w14:textId="4DC95ED4" w:rsidR="002D4C59" w:rsidRPr="004516BA" w:rsidRDefault="002D4C59" w:rsidP="001D2676">
            <w:pPr>
              <w:widowControl w:val="0"/>
              <w:tabs>
                <w:tab w:val="left" w:pos="838"/>
                <w:tab w:val="left" w:pos="839"/>
              </w:tabs>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Pêchent durant les fermetures de pêche ou dans les zones interdites, en contravention avec les mesures de conservation de l’ICCAT</w:t>
            </w:r>
            <w:r w:rsidR="00DA31B2" w:rsidRPr="004516BA">
              <w:rPr>
                <w:rFonts w:ascii="Cambria" w:eastAsia="Times New Roman" w:hAnsi="Cambria" w:cs="Times New Roman"/>
                <w:sz w:val="20"/>
                <w:szCs w:val="20"/>
              </w:rPr>
              <w:t>.</w:t>
            </w:r>
          </w:p>
        </w:tc>
        <w:tc>
          <w:tcPr>
            <w:tcW w:w="3504" w:type="dxa"/>
            <w:tcBorders>
              <w:left w:val="single" w:sz="4" w:space="0" w:color="000000"/>
              <w:right w:val="single" w:sz="4" w:space="0" w:color="000000"/>
            </w:tcBorders>
          </w:tcPr>
          <w:p w14:paraId="12AE19E9"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01A5053F" w14:textId="77777777" w:rsidTr="00DA31B2">
        <w:trPr>
          <w:trHeight w:val="760"/>
        </w:trPr>
        <w:tc>
          <w:tcPr>
            <w:tcW w:w="1560" w:type="dxa"/>
            <w:tcBorders>
              <w:left w:val="single" w:sz="4" w:space="0" w:color="000000"/>
            </w:tcBorders>
          </w:tcPr>
          <w:p w14:paraId="6A81F532" w14:textId="77777777" w:rsidR="002D4C59" w:rsidRPr="004516BA" w:rsidRDefault="002D4C59" w:rsidP="001D2676">
            <w:pPr>
              <w:widowControl w:val="0"/>
              <w:spacing w:after="0" w:line="240" w:lineRule="auto"/>
              <w:ind w:left="1"/>
              <w:jc w:val="center"/>
              <w:rPr>
                <w:rFonts w:ascii="Cambria" w:eastAsia="Times New Roman" w:hAnsi="Cambria" w:cs="Times New Roman"/>
                <w:sz w:val="20"/>
                <w:szCs w:val="20"/>
              </w:rPr>
            </w:pPr>
            <w:r w:rsidRPr="004516BA">
              <w:rPr>
                <w:rFonts w:ascii="Cambria" w:eastAsia="Times New Roman" w:hAnsi="Cambria" w:cs="Times New Roman"/>
                <w:sz w:val="20"/>
                <w:szCs w:val="20"/>
              </w:rPr>
              <w:t>f</w:t>
            </w:r>
          </w:p>
        </w:tc>
        <w:tc>
          <w:tcPr>
            <w:tcW w:w="4526" w:type="dxa"/>
            <w:tcBorders>
              <w:right w:val="single" w:sz="4" w:space="0" w:color="000000"/>
            </w:tcBorders>
          </w:tcPr>
          <w:p w14:paraId="16A85EC7" w14:textId="4147D4E4" w:rsidR="002D4C59" w:rsidRPr="004516BA" w:rsidRDefault="002D4C59" w:rsidP="001D2676">
            <w:pPr>
              <w:widowControl w:val="0"/>
              <w:tabs>
                <w:tab w:val="left" w:pos="838"/>
                <w:tab w:val="left" w:pos="839"/>
              </w:tabs>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Utilisent des engins de pêche ou des méthodes de pêche interdits, en contravention avec les mesures de conservation de l’ICCAT</w:t>
            </w:r>
            <w:r w:rsidR="00DA31B2" w:rsidRPr="004516BA">
              <w:rPr>
                <w:rFonts w:ascii="Cambria" w:eastAsia="Times New Roman" w:hAnsi="Cambria" w:cs="Times New Roman"/>
                <w:sz w:val="20"/>
                <w:szCs w:val="20"/>
              </w:rPr>
              <w:t>.</w:t>
            </w:r>
          </w:p>
        </w:tc>
        <w:tc>
          <w:tcPr>
            <w:tcW w:w="3504" w:type="dxa"/>
            <w:tcBorders>
              <w:left w:val="single" w:sz="4" w:space="0" w:color="000000"/>
              <w:right w:val="single" w:sz="4" w:space="0" w:color="000000"/>
            </w:tcBorders>
          </w:tcPr>
          <w:p w14:paraId="5448A313"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3B109163" w14:textId="77777777" w:rsidTr="00DA31B2">
        <w:trPr>
          <w:trHeight w:val="1000"/>
        </w:trPr>
        <w:tc>
          <w:tcPr>
            <w:tcW w:w="1560" w:type="dxa"/>
            <w:tcBorders>
              <w:left w:val="single" w:sz="4" w:space="0" w:color="000000"/>
            </w:tcBorders>
          </w:tcPr>
          <w:p w14:paraId="32C6E03C" w14:textId="77777777" w:rsidR="002D4C59" w:rsidRPr="004516BA" w:rsidRDefault="002D4C59" w:rsidP="001D2676">
            <w:pPr>
              <w:widowControl w:val="0"/>
              <w:spacing w:after="0" w:line="240" w:lineRule="auto"/>
              <w:ind w:left="6"/>
              <w:jc w:val="center"/>
              <w:rPr>
                <w:rFonts w:ascii="Cambria" w:eastAsia="Times New Roman" w:hAnsi="Cambria" w:cs="Times New Roman"/>
                <w:sz w:val="20"/>
                <w:szCs w:val="20"/>
              </w:rPr>
            </w:pPr>
            <w:r w:rsidRPr="004516BA">
              <w:rPr>
                <w:rFonts w:ascii="Cambria" w:eastAsia="Times New Roman" w:hAnsi="Cambria" w:cs="Times New Roman"/>
                <w:sz w:val="20"/>
                <w:szCs w:val="20"/>
              </w:rPr>
              <w:t>g</w:t>
            </w:r>
          </w:p>
        </w:tc>
        <w:tc>
          <w:tcPr>
            <w:tcW w:w="4526" w:type="dxa"/>
            <w:tcBorders>
              <w:right w:val="single" w:sz="4" w:space="0" w:color="000000"/>
            </w:tcBorders>
          </w:tcPr>
          <w:p w14:paraId="129526EE" w14:textId="0DC6F0ED" w:rsidR="002D4C59" w:rsidRPr="004516BA" w:rsidRDefault="009C1506" w:rsidP="009C1506">
            <w:pPr>
              <w:widowControl w:val="0"/>
              <w:spacing w:after="0" w:line="240" w:lineRule="auto"/>
              <w:ind w:right="110"/>
              <w:jc w:val="both"/>
              <w:rPr>
                <w:rFonts w:ascii="Cambria" w:eastAsia="Times New Roman" w:hAnsi="Cambria" w:cs="Times New Roman"/>
                <w:sz w:val="20"/>
                <w:szCs w:val="20"/>
              </w:rPr>
            </w:pPr>
            <w:r w:rsidRPr="004516BA">
              <w:rPr>
                <w:rFonts w:ascii="Cambria" w:eastAsia="Times New Roman" w:hAnsi="Cambria" w:cs="Times New Roman"/>
                <w:sz w:val="20"/>
                <w:szCs w:val="20"/>
              </w:rPr>
              <w:t>Transbordent ou participent à d’autres opérations, telles que l’approvisionnement ou le ravitaillement en combustible de navires inscrits sur la liste de navires IUU.</w:t>
            </w:r>
          </w:p>
        </w:tc>
        <w:tc>
          <w:tcPr>
            <w:tcW w:w="3504" w:type="dxa"/>
            <w:tcBorders>
              <w:left w:val="single" w:sz="4" w:space="0" w:color="000000"/>
              <w:right w:val="single" w:sz="4" w:space="0" w:color="000000"/>
            </w:tcBorders>
          </w:tcPr>
          <w:p w14:paraId="7F034239"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792CCAF5" w14:textId="77777777" w:rsidTr="00DA31B2">
        <w:trPr>
          <w:trHeight w:val="280"/>
        </w:trPr>
        <w:tc>
          <w:tcPr>
            <w:tcW w:w="1560" w:type="dxa"/>
            <w:tcBorders>
              <w:left w:val="single" w:sz="4" w:space="0" w:color="000000"/>
            </w:tcBorders>
          </w:tcPr>
          <w:p w14:paraId="05A64AD3" w14:textId="77777777" w:rsidR="002D4C59" w:rsidRPr="004516BA" w:rsidRDefault="002D4C59" w:rsidP="001D2676">
            <w:pPr>
              <w:widowControl w:val="0"/>
              <w:spacing w:after="0" w:line="240" w:lineRule="auto"/>
              <w:ind w:left="6"/>
              <w:jc w:val="center"/>
              <w:rPr>
                <w:rFonts w:ascii="Cambria" w:eastAsia="Times New Roman" w:hAnsi="Cambria" w:cs="Times New Roman"/>
                <w:sz w:val="20"/>
                <w:szCs w:val="20"/>
              </w:rPr>
            </w:pPr>
            <w:r w:rsidRPr="004516BA">
              <w:rPr>
                <w:rFonts w:ascii="Cambria" w:eastAsia="Times New Roman" w:hAnsi="Cambria" w:cs="Times New Roman"/>
                <w:sz w:val="20"/>
                <w:szCs w:val="20"/>
              </w:rPr>
              <w:t>h</w:t>
            </w:r>
          </w:p>
        </w:tc>
        <w:tc>
          <w:tcPr>
            <w:tcW w:w="4526" w:type="dxa"/>
            <w:tcBorders>
              <w:right w:val="single" w:sz="4" w:space="0" w:color="000000"/>
            </w:tcBorders>
          </w:tcPr>
          <w:p w14:paraId="57913B8B" w14:textId="40BE6657" w:rsidR="002D4C59" w:rsidRPr="004516BA" w:rsidRDefault="009C1506" w:rsidP="001D2676">
            <w:pPr>
              <w:widowControl w:val="0"/>
              <w:tabs>
                <w:tab w:val="left" w:pos="839"/>
              </w:tabs>
              <w:spacing w:after="0" w:line="240" w:lineRule="auto"/>
              <w:ind w:right="110"/>
              <w:jc w:val="both"/>
              <w:rPr>
                <w:rFonts w:ascii="Cambria" w:eastAsia="Times New Roman" w:hAnsi="Cambria" w:cs="Times New Roman"/>
                <w:sz w:val="20"/>
                <w:szCs w:val="20"/>
              </w:rPr>
            </w:pPr>
            <w:r w:rsidRPr="004516BA">
              <w:rPr>
                <w:rFonts w:ascii="Cambria" w:eastAsia="Times New Roman" w:hAnsi="Cambria" w:cs="Times New Roman"/>
                <w:sz w:val="20"/>
                <w:szCs w:val="20"/>
              </w:rPr>
              <w:t>Capturent, sans autorisation, des thonidés ou espèces voisines dans les eaux sous la juridiction nationale d’un État côtier dans la zone de la Convention de l’ICCAT, ou contreviennent aux lois et règlements de cet État, sans préjudice des droits souverains des États côtiers à prendre des mesures à l’encontre de ces navires,</w:t>
            </w:r>
          </w:p>
        </w:tc>
        <w:tc>
          <w:tcPr>
            <w:tcW w:w="3504" w:type="dxa"/>
            <w:tcBorders>
              <w:left w:val="single" w:sz="4" w:space="0" w:color="000000"/>
              <w:right w:val="single" w:sz="4" w:space="0" w:color="000000"/>
            </w:tcBorders>
          </w:tcPr>
          <w:p w14:paraId="79A63ADB"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1BCDA8A7" w14:textId="77777777" w:rsidTr="00DA31B2">
        <w:trPr>
          <w:trHeight w:val="760"/>
        </w:trPr>
        <w:tc>
          <w:tcPr>
            <w:tcW w:w="1560" w:type="dxa"/>
            <w:tcBorders>
              <w:left w:val="single" w:sz="4" w:space="0" w:color="000000"/>
            </w:tcBorders>
          </w:tcPr>
          <w:p w14:paraId="46730C52" w14:textId="77777777" w:rsidR="002D4C59" w:rsidRPr="004516BA" w:rsidRDefault="002D4C59" w:rsidP="001D2676">
            <w:pPr>
              <w:widowControl w:val="0"/>
              <w:spacing w:after="0" w:line="240" w:lineRule="auto"/>
              <w:ind w:left="5"/>
              <w:jc w:val="center"/>
              <w:rPr>
                <w:rFonts w:ascii="Cambria" w:eastAsia="Times New Roman" w:hAnsi="Cambria" w:cs="Times New Roman"/>
                <w:sz w:val="20"/>
                <w:szCs w:val="20"/>
              </w:rPr>
            </w:pPr>
            <w:r w:rsidRPr="004516BA">
              <w:rPr>
                <w:rFonts w:ascii="Cambria" w:eastAsia="Times New Roman" w:hAnsi="Cambria" w:cs="Times New Roman"/>
                <w:sz w:val="20"/>
                <w:szCs w:val="20"/>
              </w:rPr>
              <w:t>i</w:t>
            </w:r>
          </w:p>
        </w:tc>
        <w:tc>
          <w:tcPr>
            <w:tcW w:w="4526" w:type="dxa"/>
            <w:tcBorders>
              <w:right w:val="single" w:sz="4" w:space="0" w:color="000000"/>
            </w:tcBorders>
          </w:tcPr>
          <w:p w14:paraId="46AC6E3F" w14:textId="521385B7" w:rsidR="002D4C59" w:rsidRPr="004516BA" w:rsidRDefault="002D4C59" w:rsidP="001D2676">
            <w:pPr>
              <w:widowControl w:val="0"/>
              <w:tabs>
                <w:tab w:val="left" w:pos="837"/>
                <w:tab w:val="left" w:pos="838"/>
              </w:tabs>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Sont sans nationalité et </w:t>
            </w:r>
            <w:r w:rsidR="00480125" w:rsidRPr="004516BA">
              <w:rPr>
                <w:rFonts w:ascii="Cambria" w:eastAsia="Times New Roman" w:hAnsi="Cambria" w:cs="Times New Roman"/>
                <w:sz w:val="20"/>
                <w:szCs w:val="20"/>
              </w:rPr>
              <w:t xml:space="preserve">pêchent ou soutiennent </w:t>
            </w:r>
            <w:r w:rsidR="003221BF" w:rsidRPr="004516BA">
              <w:rPr>
                <w:rFonts w:ascii="Cambria" w:eastAsia="Times New Roman" w:hAnsi="Cambria" w:cs="Times New Roman"/>
                <w:sz w:val="20"/>
                <w:szCs w:val="20"/>
              </w:rPr>
              <w:t>des</w:t>
            </w:r>
            <w:r w:rsidR="00480125" w:rsidRPr="004516BA">
              <w:rPr>
                <w:rFonts w:ascii="Cambria" w:eastAsia="Times New Roman" w:hAnsi="Cambria" w:cs="Times New Roman"/>
                <w:sz w:val="20"/>
                <w:szCs w:val="20"/>
              </w:rPr>
              <w:t xml:space="preserve"> opérations de pêche </w:t>
            </w:r>
            <w:r w:rsidRPr="004516BA">
              <w:rPr>
                <w:rFonts w:ascii="Cambria" w:eastAsia="Times New Roman" w:hAnsi="Cambria" w:cs="Times New Roman"/>
                <w:sz w:val="20"/>
                <w:szCs w:val="20"/>
              </w:rPr>
              <w:t xml:space="preserve">dans la zone de la Convention </w:t>
            </w:r>
            <w:r w:rsidR="003221BF" w:rsidRPr="004516BA">
              <w:rPr>
                <w:rFonts w:ascii="Cambria" w:eastAsia="Times New Roman" w:hAnsi="Cambria" w:cs="Times New Roman"/>
                <w:sz w:val="20"/>
                <w:szCs w:val="20"/>
              </w:rPr>
              <w:t>de l’</w:t>
            </w:r>
            <w:r w:rsidRPr="004516BA">
              <w:rPr>
                <w:rFonts w:ascii="Cambria" w:eastAsia="Times New Roman" w:hAnsi="Cambria" w:cs="Times New Roman"/>
                <w:sz w:val="20"/>
                <w:szCs w:val="20"/>
              </w:rPr>
              <w:t>ICCAT</w:t>
            </w:r>
            <w:r w:rsidR="00B62597" w:rsidRPr="004516BA">
              <w:rPr>
                <w:rFonts w:ascii="Cambria" w:eastAsia="Times New Roman" w:hAnsi="Cambria" w:cs="Times New Roman"/>
                <w:sz w:val="20"/>
                <w:szCs w:val="20"/>
              </w:rPr>
              <w:t xml:space="preserve"> </w:t>
            </w:r>
          </w:p>
        </w:tc>
        <w:tc>
          <w:tcPr>
            <w:tcW w:w="3504" w:type="dxa"/>
            <w:tcBorders>
              <w:left w:val="single" w:sz="4" w:space="0" w:color="000000"/>
              <w:right w:val="single" w:sz="4" w:space="0" w:color="000000"/>
            </w:tcBorders>
          </w:tcPr>
          <w:p w14:paraId="600E3329"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r w:rsidR="002D4C59" w:rsidRPr="004516BA" w14:paraId="4A352B22" w14:textId="77777777" w:rsidTr="00DA31B2">
        <w:trPr>
          <w:trHeight w:val="500"/>
        </w:trPr>
        <w:tc>
          <w:tcPr>
            <w:tcW w:w="1560" w:type="dxa"/>
            <w:tcBorders>
              <w:left w:val="single" w:sz="4" w:space="0" w:color="000000"/>
            </w:tcBorders>
          </w:tcPr>
          <w:p w14:paraId="3BCBD2B4" w14:textId="77777777" w:rsidR="002D4C59" w:rsidRPr="004516BA" w:rsidRDefault="002D4C59" w:rsidP="001D2676">
            <w:pPr>
              <w:widowControl w:val="0"/>
              <w:spacing w:after="0" w:line="240" w:lineRule="auto"/>
              <w:ind w:left="5"/>
              <w:jc w:val="center"/>
              <w:rPr>
                <w:rFonts w:ascii="Cambria" w:eastAsia="Times New Roman" w:hAnsi="Cambria" w:cs="Times New Roman"/>
                <w:sz w:val="20"/>
                <w:szCs w:val="20"/>
              </w:rPr>
            </w:pPr>
            <w:r w:rsidRPr="004516BA">
              <w:rPr>
                <w:rFonts w:ascii="Cambria" w:eastAsia="Times New Roman" w:hAnsi="Cambria" w:cs="Times New Roman"/>
                <w:sz w:val="20"/>
                <w:szCs w:val="20"/>
              </w:rPr>
              <w:t>j</w:t>
            </w:r>
          </w:p>
        </w:tc>
        <w:tc>
          <w:tcPr>
            <w:tcW w:w="4526" w:type="dxa"/>
            <w:tcBorders>
              <w:right w:val="single" w:sz="4" w:space="0" w:color="000000"/>
            </w:tcBorders>
          </w:tcPr>
          <w:p w14:paraId="155F1A89" w14:textId="77777777" w:rsidR="002D4C59" w:rsidRPr="004516BA" w:rsidRDefault="002D4C59" w:rsidP="001D2676">
            <w:pPr>
              <w:widowControl w:val="0"/>
              <w:tabs>
                <w:tab w:val="left" w:pos="838"/>
                <w:tab w:val="left" w:pos="839"/>
              </w:tabs>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Se livrent à la pêche ou à des activités liées à la pêche contraires à toute autre mesure de conservation et de gestion de l’ICCAT </w:t>
            </w:r>
          </w:p>
        </w:tc>
        <w:tc>
          <w:tcPr>
            <w:tcW w:w="3504" w:type="dxa"/>
            <w:tcBorders>
              <w:left w:val="single" w:sz="4" w:space="0" w:color="000000"/>
              <w:right w:val="single" w:sz="4" w:space="0" w:color="000000"/>
            </w:tcBorders>
          </w:tcPr>
          <w:p w14:paraId="7C89B6C2" w14:textId="77777777" w:rsidR="002D4C59" w:rsidRPr="004516BA" w:rsidRDefault="002D4C59" w:rsidP="001D2676">
            <w:pPr>
              <w:widowControl w:val="0"/>
              <w:spacing w:after="0" w:line="240" w:lineRule="auto"/>
              <w:rPr>
                <w:rFonts w:ascii="Cambria" w:eastAsia="Times New Roman" w:hAnsi="Cambria" w:cs="Times New Roman"/>
                <w:sz w:val="20"/>
                <w:szCs w:val="20"/>
              </w:rPr>
            </w:pPr>
          </w:p>
        </w:tc>
      </w:tr>
    </w:tbl>
    <w:p w14:paraId="74C49E86"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36027F74" w14:textId="77777777" w:rsidR="002D4C59" w:rsidRPr="004516BA" w:rsidRDefault="002D4C59" w:rsidP="002D4C59">
      <w:pPr>
        <w:widowControl w:val="0"/>
        <w:spacing w:after="0" w:line="240" w:lineRule="auto"/>
        <w:rPr>
          <w:rFonts w:ascii="Cambria" w:eastAsia="Times New Roman" w:hAnsi="Cambria" w:cs="Times New Roman"/>
          <w:sz w:val="20"/>
          <w:szCs w:val="20"/>
        </w:rPr>
        <w:sectPr w:rsidR="002D4C59" w:rsidRPr="004516BA" w:rsidSect="003F67C6">
          <w:type w:val="continuous"/>
          <w:pgSz w:w="11910" w:h="16840" w:code="9"/>
          <w:pgMar w:top="1418" w:right="1418" w:bottom="1418" w:left="1418" w:header="851" w:footer="1134" w:gutter="0"/>
          <w:cols w:space="720"/>
        </w:sectPr>
      </w:pPr>
      <w:r w:rsidRPr="004516BA">
        <w:rPr>
          <w:rFonts w:ascii="Cambria" w:eastAsia="Times New Roman" w:hAnsi="Cambria" w:cs="Times New Roman"/>
          <w:sz w:val="20"/>
          <w:szCs w:val="20"/>
        </w:rPr>
        <w:br w:type="page"/>
      </w:r>
    </w:p>
    <w:p w14:paraId="18E059E3" w14:textId="77777777" w:rsidR="002D4C59" w:rsidRPr="004516BA" w:rsidRDefault="002D4C59" w:rsidP="002D4C59">
      <w:pPr>
        <w:widowControl w:val="0"/>
        <w:spacing w:after="0" w:line="240" w:lineRule="auto"/>
        <w:ind w:left="1536"/>
        <w:jc w:val="right"/>
        <w:rPr>
          <w:rFonts w:ascii="Cambria" w:eastAsia="Times New Roman" w:hAnsi="Cambria" w:cs="Times New Roman"/>
          <w:b/>
          <w:sz w:val="20"/>
          <w:szCs w:val="20"/>
        </w:rPr>
      </w:pPr>
      <w:r w:rsidRPr="004516BA">
        <w:rPr>
          <w:rFonts w:ascii="Cambria" w:eastAsia="Times New Roman" w:hAnsi="Cambria" w:cs="Times New Roman"/>
          <w:b/>
          <w:sz w:val="20"/>
          <w:szCs w:val="20"/>
        </w:rPr>
        <w:lastRenderedPageBreak/>
        <w:t>Addendum 2</w:t>
      </w:r>
    </w:p>
    <w:p w14:paraId="71E51DA6" w14:textId="77777777" w:rsidR="002D4C59" w:rsidRPr="004516BA" w:rsidRDefault="002D4C59" w:rsidP="002D4C59">
      <w:pPr>
        <w:widowControl w:val="0"/>
        <w:spacing w:after="0" w:line="240" w:lineRule="auto"/>
        <w:ind w:left="1536" w:hanging="1536"/>
        <w:jc w:val="center"/>
        <w:rPr>
          <w:rFonts w:ascii="Cambria" w:eastAsia="Times New Roman" w:hAnsi="Cambria" w:cs="Times New Roman"/>
          <w:b/>
          <w:sz w:val="20"/>
          <w:szCs w:val="20"/>
        </w:rPr>
      </w:pPr>
    </w:p>
    <w:p w14:paraId="7DAF4E61" w14:textId="77777777" w:rsidR="002D4C59" w:rsidRPr="004516BA" w:rsidRDefault="002D4C59" w:rsidP="002D4C59">
      <w:pPr>
        <w:widowControl w:val="0"/>
        <w:spacing w:after="0" w:line="240" w:lineRule="auto"/>
        <w:ind w:left="1536" w:hanging="1536"/>
        <w:jc w:val="center"/>
        <w:rPr>
          <w:rFonts w:ascii="Cambria" w:eastAsia="Times New Roman" w:hAnsi="Cambria" w:cs="Times New Roman"/>
          <w:b/>
          <w:sz w:val="20"/>
          <w:szCs w:val="20"/>
        </w:rPr>
      </w:pPr>
      <w:r w:rsidRPr="004516BA">
        <w:rPr>
          <w:rFonts w:ascii="Cambria" w:eastAsia="Times New Roman" w:hAnsi="Cambria" w:cs="Times New Roman"/>
          <w:b/>
          <w:sz w:val="20"/>
          <w:szCs w:val="20"/>
        </w:rPr>
        <w:t>Information à inclure dans toutes les listes IUU (en état de projet et en version finale)</w:t>
      </w:r>
    </w:p>
    <w:p w14:paraId="495EE0CA"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57E28178" w14:textId="77777777" w:rsidR="002D4C59" w:rsidRPr="004516BA" w:rsidRDefault="002D4C59" w:rsidP="002D4C59">
      <w:pPr>
        <w:widowControl w:val="0"/>
        <w:spacing w:after="0" w:line="240" w:lineRule="auto"/>
        <w:rPr>
          <w:rFonts w:ascii="Cambria" w:eastAsia="Times New Roman" w:hAnsi="Cambria" w:cs="Times New Roman"/>
          <w:b/>
          <w:sz w:val="20"/>
          <w:szCs w:val="20"/>
        </w:rPr>
      </w:pPr>
    </w:p>
    <w:p w14:paraId="278DBB80" w14:textId="77777777" w:rsidR="002D4C59" w:rsidRPr="004516BA" w:rsidRDefault="002D4C59" w:rsidP="00B603BF">
      <w:pPr>
        <w:widowControl w:val="0"/>
        <w:spacing w:after="0" w:line="240" w:lineRule="auto"/>
        <w:jc w:val="both"/>
        <w:rPr>
          <w:rFonts w:ascii="Cambria" w:eastAsia="Times New Roman" w:hAnsi="Cambria" w:cs="Times New Roman"/>
          <w:sz w:val="20"/>
          <w:szCs w:val="20"/>
        </w:rPr>
      </w:pPr>
      <w:r w:rsidRPr="004516BA">
        <w:rPr>
          <w:rFonts w:ascii="Cambria" w:eastAsia="Times New Roman" w:hAnsi="Cambria" w:cs="Times New Roman"/>
          <w:sz w:val="20"/>
          <w:szCs w:val="20"/>
        </w:rPr>
        <w:t>Le projet de liste IUU devra inclure des informations sur les navires inscrits sur la liste finale IUU de l’ICCAT ainsi que des informations sur les nouveaux navires dont les CPC sollicitent l’inscription. Le projet de liste IUU devra contenir les informations suivantes, si applicables et disponibles :</w:t>
      </w:r>
    </w:p>
    <w:p w14:paraId="035EEE5A" w14:textId="77777777" w:rsidR="002D4C59" w:rsidRPr="004516BA" w:rsidRDefault="002D4C59" w:rsidP="002D4C59">
      <w:pPr>
        <w:widowControl w:val="0"/>
        <w:spacing w:after="0" w:line="240" w:lineRule="auto"/>
        <w:rPr>
          <w:rFonts w:ascii="Cambria" w:eastAsia="Times New Roman" w:hAnsi="Cambria" w:cs="Times New Roman"/>
          <w:sz w:val="20"/>
          <w:szCs w:val="20"/>
        </w:rPr>
      </w:pPr>
    </w:p>
    <w:p w14:paraId="6BEAA5CB" w14:textId="77777777"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Nom du navire et nom(s) antérieur(s).</w:t>
      </w:r>
    </w:p>
    <w:p w14:paraId="23E7584E" w14:textId="77777777"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Pavillon du navire et pavillon(s) antérieur(s).</w:t>
      </w:r>
    </w:p>
    <w:p w14:paraId="7D33700A" w14:textId="3F8283C1" w:rsidR="002D4C59" w:rsidRPr="004516BA" w:rsidRDefault="002D4C59" w:rsidP="00DB0BFC">
      <w:pPr>
        <w:widowControl w:val="0"/>
        <w:numPr>
          <w:ilvl w:val="0"/>
          <w:numId w:val="11"/>
        </w:numPr>
        <w:spacing w:after="120" w:line="240" w:lineRule="auto"/>
        <w:ind w:right="111"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 xml:space="preserve">Nom et adresse du propriétaire du navire et propriétaires antérieurs, y compris propriétaires réels et lieu d’immatriculation </w:t>
      </w:r>
      <w:r w:rsidR="00DB0BFC" w:rsidRPr="004516BA">
        <w:rPr>
          <w:rFonts w:ascii="Cambria" w:eastAsia="Times New Roman" w:hAnsi="Cambria" w:cs="Times New Roman"/>
          <w:sz w:val="20"/>
          <w:szCs w:val="20"/>
        </w:rPr>
        <w:t>du propriétaire</w:t>
      </w:r>
      <w:r w:rsidRPr="004516BA">
        <w:rPr>
          <w:rFonts w:ascii="Cambria" w:eastAsia="Times New Roman" w:hAnsi="Cambria" w:cs="Times New Roman"/>
          <w:sz w:val="20"/>
          <w:szCs w:val="20"/>
        </w:rPr>
        <w:t>.</w:t>
      </w:r>
    </w:p>
    <w:p w14:paraId="395E2951" w14:textId="77777777"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Opérateur du navire et opérateurs antérieurs.</w:t>
      </w:r>
    </w:p>
    <w:p w14:paraId="6C63E1AA" w14:textId="77777777"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Indicatif d’appel du navire et indicatif d’appel antérieur.</w:t>
      </w:r>
    </w:p>
    <w:p w14:paraId="4ED51D69" w14:textId="5450BB4F"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Numéro Lloyds/OMI.</w:t>
      </w:r>
    </w:p>
    <w:p w14:paraId="60D6194A" w14:textId="77777777"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Photographies du navire.</w:t>
      </w:r>
    </w:p>
    <w:p w14:paraId="1095050D" w14:textId="77777777" w:rsidR="002D4C59" w:rsidRPr="004516BA" w:rsidRDefault="002D4C59" w:rsidP="00DB0BFC">
      <w:pPr>
        <w:widowControl w:val="0"/>
        <w:numPr>
          <w:ilvl w:val="0"/>
          <w:numId w:val="11"/>
        </w:numPr>
        <w:spacing w:after="120" w:line="240" w:lineRule="auto"/>
        <w:ind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Date de la première inclusion du navire sur la liste IUU.</w:t>
      </w:r>
    </w:p>
    <w:p w14:paraId="3FEF7D0B" w14:textId="77777777" w:rsidR="002D4C59" w:rsidRPr="004516BA" w:rsidRDefault="002D4C59" w:rsidP="00DB0BFC">
      <w:pPr>
        <w:widowControl w:val="0"/>
        <w:numPr>
          <w:ilvl w:val="0"/>
          <w:numId w:val="11"/>
        </w:numPr>
        <w:spacing w:after="120" w:line="240" w:lineRule="auto"/>
        <w:ind w:right="110"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Résumé des activités justifiant l’inclusion du navire sur la liste, avec référence à tous les documents pertinents faisant état de ces activités et en apportant la preuve.</w:t>
      </w:r>
    </w:p>
    <w:p w14:paraId="619CE71C" w14:textId="382EA47C" w:rsidR="002D4C59" w:rsidRPr="004516BA" w:rsidRDefault="002D4C59" w:rsidP="00DB0BFC">
      <w:pPr>
        <w:widowControl w:val="0"/>
        <w:numPr>
          <w:ilvl w:val="0"/>
          <w:numId w:val="11"/>
        </w:numPr>
        <w:spacing w:after="120" w:line="240" w:lineRule="auto"/>
        <w:ind w:right="110" w:hanging="412"/>
        <w:jc w:val="both"/>
        <w:rPr>
          <w:rFonts w:ascii="Cambria" w:eastAsia="Times New Roman" w:hAnsi="Cambria" w:cs="Times New Roman"/>
          <w:sz w:val="20"/>
          <w:szCs w:val="20"/>
        </w:rPr>
      </w:pPr>
      <w:r w:rsidRPr="004516BA">
        <w:rPr>
          <w:rFonts w:ascii="Cambria" w:eastAsia="Times New Roman" w:hAnsi="Cambria" w:cs="Times New Roman"/>
          <w:sz w:val="20"/>
          <w:szCs w:val="20"/>
        </w:rPr>
        <w:t>Autres informations pertinentes</w:t>
      </w:r>
      <w:r w:rsidR="00B603BF" w:rsidRPr="004516BA">
        <w:rPr>
          <w:rFonts w:ascii="Cambria" w:eastAsia="Times New Roman" w:hAnsi="Cambria" w:cs="Times New Roman"/>
          <w:sz w:val="20"/>
          <w:szCs w:val="20"/>
        </w:rPr>
        <w:t>.</w:t>
      </w:r>
    </w:p>
    <w:p w14:paraId="5B5B0E63" w14:textId="77777777" w:rsidR="002D4C59" w:rsidRPr="004516BA" w:rsidRDefault="002D4C59" w:rsidP="002D4C59">
      <w:pPr>
        <w:rPr>
          <w:rFonts w:asciiTheme="minorHAnsi" w:hAnsiTheme="minorHAnsi"/>
          <w:b/>
          <w:sz w:val="20"/>
          <w:szCs w:val="20"/>
        </w:rPr>
      </w:pPr>
    </w:p>
    <w:p w14:paraId="0A87F3BC" w14:textId="77777777" w:rsidR="00835936" w:rsidRPr="004516BA" w:rsidRDefault="00835936" w:rsidP="00570F33">
      <w:pPr>
        <w:pStyle w:val="NoSpacing"/>
        <w:rPr>
          <w:rFonts w:ascii="Cambria" w:hAnsi="Cambria"/>
          <w:sz w:val="20"/>
          <w:szCs w:val="20"/>
        </w:rPr>
      </w:pPr>
    </w:p>
    <w:sectPr w:rsidR="00835936" w:rsidRPr="004516BA" w:rsidSect="00570F33">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AC4D" w14:textId="77777777" w:rsidR="00EC1FB5" w:rsidRDefault="00EC1FB5" w:rsidP="00835936">
      <w:pPr>
        <w:spacing w:after="0" w:line="240" w:lineRule="auto"/>
      </w:pPr>
      <w:r>
        <w:separator/>
      </w:r>
    </w:p>
  </w:endnote>
  <w:endnote w:type="continuationSeparator" w:id="0">
    <w:p w14:paraId="7EF83867" w14:textId="77777777" w:rsidR="00EC1FB5" w:rsidRDefault="00EC1FB5" w:rsidP="0083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870382"/>
      <w:docPartObj>
        <w:docPartGallery w:val="Page Numbers (Bottom of Page)"/>
        <w:docPartUnique/>
      </w:docPartObj>
    </w:sdtPr>
    <w:sdtEndPr>
      <w:rPr>
        <w:rFonts w:ascii="Cambria" w:hAnsi="Cambria"/>
        <w:sz w:val="20"/>
        <w:szCs w:val="20"/>
      </w:rPr>
    </w:sdtEndPr>
    <w:sdtContent>
      <w:sdt>
        <w:sdtPr>
          <w:id w:val="743996943"/>
          <w:docPartObj>
            <w:docPartGallery w:val="Page Numbers (Top of Page)"/>
            <w:docPartUnique/>
          </w:docPartObj>
        </w:sdtPr>
        <w:sdtEndPr>
          <w:rPr>
            <w:rFonts w:ascii="Cambria" w:hAnsi="Cambria"/>
            <w:sz w:val="20"/>
            <w:szCs w:val="20"/>
          </w:rPr>
        </w:sdtEndPr>
        <w:sdtContent>
          <w:p w14:paraId="78ABC31D" w14:textId="77777777" w:rsidR="002D4C59" w:rsidRPr="00222FA9" w:rsidRDefault="002D4C59">
            <w:pPr>
              <w:pStyle w:val="Footer"/>
              <w:jc w:val="center"/>
              <w:rPr>
                <w:rFonts w:ascii="Cambria" w:hAnsi="Cambria"/>
                <w:sz w:val="20"/>
                <w:szCs w:val="20"/>
              </w:rPr>
            </w:pPr>
            <w:r w:rsidRPr="00222FA9">
              <w:rPr>
                <w:rFonts w:ascii="Cambria" w:hAnsi="Cambria"/>
                <w:bCs/>
                <w:sz w:val="20"/>
                <w:szCs w:val="20"/>
              </w:rPr>
              <w:fldChar w:fldCharType="begin"/>
            </w:r>
            <w:r w:rsidRPr="00222FA9">
              <w:rPr>
                <w:rFonts w:ascii="Cambria" w:hAnsi="Cambria"/>
                <w:bCs/>
                <w:sz w:val="20"/>
                <w:szCs w:val="20"/>
              </w:rPr>
              <w:instrText xml:space="preserve"> PAGE </w:instrText>
            </w:r>
            <w:r w:rsidRPr="00222FA9">
              <w:rPr>
                <w:rFonts w:ascii="Cambria" w:hAnsi="Cambria"/>
                <w:bCs/>
                <w:sz w:val="20"/>
                <w:szCs w:val="20"/>
              </w:rPr>
              <w:fldChar w:fldCharType="separate"/>
            </w:r>
            <w:r w:rsidRPr="00222FA9">
              <w:rPr>
                <w:rFonts w:ascii="Cambria" w:hAnsi="Cambria"/>
                <w:bCs/>
                <w:sz w:val="20"/>
                <w:szCs w:val="20"/>
              </w:rPr>
              <w:t>2</w:t>
            </w:r>
            <w:r w:rsidRPr="00222FA9">
              <w:rPr>
                <w:rFonts w:ascii="Cambria" w:hAnsi="Cambria"/>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759138"/>
      <w:docPartObj>
        <w:docPartGallery w:val="Page Numbers (Bottom of Page)"/>
        <w:docPartUnique/>
      </w:docPartObj>
    </w:sdtPr>
    <w:sdtEndPr/>
    <w:sdtContent>
      <w:sdt>
        <w:sdtPr>
          <w:id w:val="1728636285"/>
          <w:docPartObj>
            <w:docPartGallery w:val="Page Numbers (Top of Page)"/>
            <w:docPartUnique/>
          </w:docPartObj>
        </w:sdtPr>
        <w:sdtEndPr/>
        <w:sdtContent>
          <w:p w14:paraId="14519FFE" w14:textId="60667E7E" w:rsidR="00570F33" w:rsidRDefault="00570F33">
            <w:pPr>
              <w:pStyle w:val="Footer"/>
              <w:jc w:val="center"/>
            </w:pPr>
            <w:r w:rsidRPr="00570F33">
              <w:rPr>
                <w:rFonts w:ascii="CAMBdy)" w:hAnsi="CAMBdy)"/>
                <w:sz w:val="20"/>
                <w:szCs w:val="20"/>
              </w:rPr>
              <w:fldChar w:fldCharType="begin"/>
            </w:r>
            <w:r w:rsidRPr="00570F33">
              <w:rPr>
                <w:rFonts w:ascii="CAMBdy)" w:hAnsi="CAMBdy)"/>
                <w:sz w:val="20"/>
                <w:szCs w:val="20"/>
              </w:rPr>
              <w:instrText xml:space="preserve"> PAGE </w:instrText>
            </w:r>
            <w:r w:rsidRPr="00570F33">
              <w:rPr>
                <w:rFonts w:ascii="CAMBdy)" w:hAnsi="CAMBdy)"/>
                <w:sz w:val="20"/>
                <w:szCs w:val="20"/>
              </w:rPr>
              <w:fldChar w:fldCharType="separate"/>
            </w:r>
            <w:r w:rsidRPr="00570F33">
              <w:rPr>
                <w:rFonts w:ascii="CAMBdy)" w:hAnsi="CAMBdy)"/>
                <w:sz w:val="20"/>
                <w:szCs w:val="20"/>
              </w:rPr>
              <w:t>2</w:t>
            </w:r>
            <w:r w:rsidRPr="00570F33">
              <w:rPr>
                <w:rFonts w:ascii="CAMBdy)" w:hAnsi="CAMBdy)"/>
                <w:sz w:val="20"/>
                <w:szCs w:val="20"/>
              </w:rPr>
              <w:fldChar w:fldCharType="end"/>
            </w:r>
            <w:r>
              <w:rPr>
                <w:rFonts w:ascii="CAMBdy)" w:hAnsi="CAMBdy)"/>
                <w:sz w:val="20"/>
                <w:szCs w:val="20"/>
              </w:rPr>
              <w:t xml:space="preserve"> /</w:t>
            </w:r>
            <w:r w:rsidRPr="00570F33">
              <w:rPr>
                <w:rFonts w:ascii="CAMBdy)" w:hAnsi="CAMBdy)"/>
                <w:sz w:val="20"/>
                <w:szCs w:val="20"/>
              </w:rPr>
              <w:fldChar w:fldCharType="begin"/>
            </w:r>
            <w:r w:rsidRPr="00570F33">
              <w:rPr>
                <w:rFonts w:ascii="CAMBdy)" w:hAnsi="CAMBdy)"/>
                <w:sz w:val="20"/>
                <w:szCs w:val="20"/>
              </w:rPr>
              <w:instrText xml:space="preserve"> NUMPAGES  </w:instrText>
            </w:r>
            <w:r w:rsidRPr="00570F33">
              <w:rPr>
                <w:rFonts w:ascii="CAMBdy)" w:hAnsi="CAMBdy)"/>
                <w:sz w:val="20"/>
                <w:szCs w:val="20"/>
              </w:rPr>
              <w:fldChar w:fldCharType="separate"/>
            </w:r>
            <w:r w:rsidRPr="00570F33">
              <w:rPr>
                <w:rFonts w:ascii="CAMBdy)" w:hAnsi="CAMBdy)"/>
                <w:sz w:val="20"/>
                <w:szCs w:val="20"/>
              </w:rPr>
              <w:t>2</w:t>
            </w:r>
            <w:r w:rsidRPr="00570F33">
              <w:rPr>
                <w:rFonts w:ascii="CAMBdy)" w:hAnsi="CAMBdy)"/>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F17C" w14:textId="77777777" w:rsidR="00EC1FB5" w:rsidRDefault="00EC1FB5" w:rsidP="00835936">
      <w:pPr>
        <w:spacing w:after="0" w:line="240" w:lineRule="auto"/>
      </w:pPr>
      <w:r>
        <w:separator/>
      </w:r>
    </w:p>
  </w:footnote>
  <w:footnote w:type="continuationSeparator" w:id="0">
    <w:p w14:paraId="0C5039E8" w14:textId="77777777" w:rsidR="00EC1FB5" w:rsidRDefault="00EC1FB5" w:rsidP="00835936">
      <w:pPr>
        <w:spacing w:after="0" w:line="240" w:lineRule="auto"/>
      </w:pPr>
      <w:r>
        <w:continuationSeparator/>
      </w:r>
    </w:p>
  </w:footnote>
  <w:footnote w:id="1">
    <w:p w14:paraId="4F43D769" w14:textId="77777777" w:rsidR="002D4C59" w:rsidRPr="00663466" w:rsidRDefault="002D4C59" w:rsidP="002D4C59">
      <w:pPr>
        <w:pStyle w:val="FootnoteText"/>
        <w:jc w:val="both"/>
        <w:rPr>
          <w:sz w:val="16"/>
          <w:szCs w:val="16"/>
          <w:lang w:val="fr-FR"/>
        </w:rPr>
      </w:pPr>
      <w:r w:rsidRPr="00663466">
        <w:rPr>
          <w:rStyle w:val="FootnoteReference"/>
          <w:sz w:val="16"/>
          <w:szCs w:val="16"/>
        </w:rPr>
        <w:footnoteRef/>
      </w:r>
      <w:r w:rsidRPr="00663466">
        <w:rPr>
          <w:sz w:val="16"/>
          <w:szCs w:val="16"/>
          <w:lang w:val="fr-FR"/>
        </w:rPr>
        <w:t xml:space="preserve"> La Commission pour la conservation des ressources marines vivantes de l’Antarctique (CCAMLR), la Commission pour la conservation du thon rouge du Sud (CCSBT), la Commission générale des pêches pour la Méditerranée (CGPM), la Commission des thons de l'océan Indien (CTOI), la Commission interaméricaine du thon tropical (IATTC), l’Organisation des pêches de l'Atlantique Nord (OPANO), la Commission des pêches de l'Atlantique du Nord-Est (NEAFC), l’Organisation des pêches de l'Atlantique du Sud-Est (SEAFO) et la Commission des pêches du Pacifique occidental et central (WCPFC).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F6D3" w14:textId="4F99CA1E" w:rsidR="004031DE" w:rsidRPr="00803476" w:rsidRDefault="004031DE" w:rsidP="00803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AB1"/>
    <w:multiLevelType w:val="hybridMultilevel"/>
    <w:tmpl w:val="000079D0"/>
    <w:lvl w:ilvl="0" w:tplc="D72A0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64C90"/>
    <w:multiLevelType w:val="hybridMultilevel"/>
    <w:tmpl w:val="1C8EC2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564B5"/>
    <w:multiLevelType w:val="hybridMultilevel"/>
    <w:tmpl w:val="1F14980E"/>
    <w:lvl w:ilvl="0" w:tplc="DE480120">
      <w:start w:val="1"/>
      <w:numFmt w:val="decimal"/>
      <w:lvlText w:val="%1."/>
      <w:lvlJc w:val="left"/>
      <w:pPr>
        <w:ind w:left="720" w:hanging="360"/>
      </w:pPr>
      <w:rPr>
        <w:rFonts w:ascii="Cambria" w:hAnsi="Cambria" w:hint="default"/>
        <w:b w:val="0"/>
        <w:i w:val="0"/>
        <w:sz w:val="20"/>
      </w:rPr>
    </w:lvl>
    <w:lvl w:ilvl="1" w:tplc="F0FCA412">
      <w:start w:val="1"/>
      <w:numFmt w:val="lowerRoman"/>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018AF"/>
    <w:multiLevelType w:val="multilevel"/>
    <w:tmpl w:val="B6CEADC6"/>
    <w:lvl w:ilvl="0">
      <w:start w:val="13"/>
      <w:numFmt w:val="decimal"/>
      <w:lvlText w:val="%1."/>
      <w:lvlJc w:val="left"/>
      <w:pPr>
        <w:ind w:left="360" w:hanging="360"/>
      </w:pPr>
      <w:rPr>
        <w:rFonts w:ascii="Cambria" w:hAnsi="Cambria" w:hint="default"/>
        <w:sz w:val="20"/>
        <w:szCs w:val="20"/>
      </w:rPr>
    </w:lvl>
    <w:lvl w:ilvl="1">
      <w:start w:val="1"/>
      <w:numFmt w:val="lowerLetter"/>
      <w:lvlText w:val="%2)"/>
      <w:lvlJc w:val="left"/>
      <w:pPr>
        <w:ind w:left="720" w:hanging="360"/>
      </w:pPr>
      <w:rPr>
        <w:rFonts w:ascii="Times New Roman" w:eastAsia="Times New Roman" w:hAnsi="Times New Roman" w:cs="Times New Roman" w:hint="default"/>
        <w:sz w:val="20"/>
        <w:szCs w:val="20"/>
      </w:rPr>
    </w:lvl>
    <w:lvl w:ilvl="2">
      <w:start w:val="1"/>
      <w:numFmt w:val="bullet"/>
      <w:lvlText w:val="•"/>
      <w:lvlJc w:val="left"/>
      <w:pPr>
        <w:ind w:left="1662" w:hanging="360"/>
      </w:pPr>
      <w:rPr>
        <w:rFonts w:hint="default"/>
      </w:rPr>
    </w:lvl>
    <w:lvl w:ilvl="3">
      <w:start w:val="1"/>
      <w:numFmt w:val="bullet"/>
      <w:lvlText w:val="•"/>
      <w:lvlJc w:val="left"/>
      <w:pPr>
        <w:ind w:left="2602" w:hanging="360"/>
      </w:pPr>
      <w:rPr>
        <w:rFonts w:hint="default"/>
      </w:rPr>
    </w:lvl>
    <w:lvl w:ilvl="4">
      <w:start w:val="1"/>
      <w:numFmt w:val="bullet"/>
      <w:lvlText w:val="•"/>
      <w:lvlJc w:val="left"/>
      <w:pPr>
        <w:ind w:left="3543" w:hanging="360"/>
      </w:pPr>
      <w:rPr>
        <w:rFonts w:hint="default"/>
      </w:rPr>
    </w:lvl>
    <w:lvl w:ilvl="5">
      <w:start w:val="1"/>
      <w:numFmt w:val="bullet"/>
      <w:lvlText w:val="•"/>
      <w:lvlJc w:val="left"/>
      <w:pPr>
        <w:ind w:left="4483" w:hanging="360"/>
      </w:pPr>
      <w:rPr>
        <w:rFonts w:hint="default"/>
      </w:rPr>
    </w:lvl>
    <w:lvl w:ilvl="6">
      <w:start w:val="1"/>
      <w:numFmt w:val="bullet"/>
      <w:lvlText w:val="•"/>
      <w:lvlJc w:val="left"/>
      <w:pPr>
        <w:ind w:left="5424" w:hanging="360"/>
      </w:pPr>
      <w:rPr>
        <w:rFonts w:hint="default"/>
      </w:rPr>
    </w:lvl>
    <w:lvl w:ilvl="7">
      <w:start w:val="1"/>
      <w:numFmt w:val="bullet"/>
      <w:lvlText w:val="•"/>
      <w:lvlJc w:val="left"/>
      <w:pPr>
        <w:ind w:left="6364" w:hanging="360"/>
      </w:pPr>
      <w:rPr>
        <w:rFonts w:hint="default"/>
      </w:rPr>
    </w:lvl>
    <w:lvl w:ilvl="8">
      <w:start w:val="1"/>
      <w:numFmt w:val="bullet"/>
      <w:lvlText w:val="•"/>
      <w:lvlJc w:val="left"/>
      <w:pPr>
        <w:ind w:left="7305" w:hanging="360"/>
      </w:pPr>
      <w:rPr>
        <w:rFonts w:hint="default"/>
      </w:rPr>
    </w:lvl>
  </w:abstractNum>
  <w:abstractNum w:abstractNumId="4" w15:restartNumberingAfterBreak="0">
    <w:nsid w:val="3BD778F7"/>
    <w:multiLevelType w:val="multilevel"/>
    <w:tmpl w:val="31EA3A2C"/>
    <w:lvl w:ilvl="0">
      <w:start w:val="1"/>
      <w:numFmt w:val="decimal"/>
      <w:lvlText w:val="%1."/>
      <w:lvlJc w:val="left"/>
      <w:pPr>
        <w:ind w:left="360" w:hanging="360"/>
      </w:pPr>
      <w:rPr>
        <w:rFonts w:asciiTheme="minorHAnsi" w:eastAsia="Times New Roman" w:hAnsiTheme="minorHAnsi" w:cs="Times New Roman" w:hint="default"/>
        <w:sz w:val="20"/>
        <w:szCs w:val="20"/>
      </w:rPr>
    </w:lvl>
    <w:lvl w:ilvl="1">
      <w:start w:val="1"/>
      <w:numFmt w:val="lowerLetter"/>
      <w:lvlText w:val="%2)"/>
      <w:lvlJc w:val="left"/>
      <w:pPr>
        <w:ind w:left="838" w:hanging="360"/>
      </w:pPr>
      <w:rPr>
        <w:rFonts w:ascii="Times New Roman" w:eastAsia="Times New Roman" w:hAnsi="Times New Roman" w:cs="Times New Roman"/>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5" w15:restartNumberingAfterBreak="0">
    <w:nsid w:val="3C321C3D"/>
    <w:multiLevelType w:val="hybridMultilevel"/>
    <w:tmpl w:val="DE90E52E"/>
    <w:lvl w:ilvl="0" w:tplc="4E6AB17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FF568C0"/>
    <w:multiLevelType w:val="hybridMultilevel"/>
    <w:tmpl w:val="8182BABE"/>
    <w:lvl w:ilvl="0" w:tplc="783E7BD8">
      <w:start w:val="9"/>
      <w:numFmt w:val="lowerLetter"/>
      <w:lvlText w:val="%1)"/>
      <w:lvlJc w:val="left"/>
      <w:pPr>
        <w:ind w:left="1780" w:hanging="360"/>
      </w:pPr>
      <w:rPr>
        <w:rFonts w:hint="default"/>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abstractNum w:abstractNumId="7" w15:restartNumberingAfterBreak="0">
    <w:nsid w:val="5A2C1949"/>
    <w:multiLevelType w:val="multilevel"/>
    <w:tmpl w:val="54B4F754"/>
    <w:lvl w:ilvl="0">
      <w:start w:val="1"/>
      <w:numFmt w:val="bullet"/>
      <w:lvlText w:val="−"/>
      <w:lvlJc w:val="left"/>
      <w:pPr>
        <w:ind w:left="823" w:hanging="350"/>
      </w:pPr>
      <w:rPr>
        <w:rFonts w:ascii="Times New Roman" w:eastAsia="Times New Roman" w:hAnsi="Times New Roman" w:cs="Times New Roman"/>
        <w:sz w:val="20"/>
        <w:szCs w:val="20"/>
      </w:rPr>
    </w:lvl>
    <w:lvl w:ilvl="1">
      <w:start w:val="1"/>
      <w:numFmt w:val="bullet"/>
      <w:lvlText w:val="•"/>
      <w:lvlJc w:val="left"/>
      <w:pPr>
        <w:ind w:left="1668" w:hanging="350"/>
      </w:pPr>
    </w:lvl>
    <w:lvl w:ilvl="2">
      <w:start w:val="1"/>
      <w:numFmt w:val="bullet"/>
      <w:lvlText w:val="•"/>
      <w:lvlJc w:val="left"/>
      <w:pPr>
        <w:ind w:left="2516" w:hanging="350"/>
      </w:pPr>
    </w:lvl>
    <w:lvl w:ilvl="3">
      <w:start w:val="1"/>
      <w:numFmt w:val="bullet"/>
      <w:lvlText w:val="•"/>
      <w:lvlJc w:val="left"/>
      <w:pPr>
        <w:ind w:left="3365" w:hanging="350"/>
      </w:pPr>
    </w:lvl>
    <w:lvl w:ilvl="4">
      <w:start w:val="1"/>
      <w:numFmt w:val="bullet"/>
      <w:lvlText w:val="•"/>
      <w:lvlJc w:val="left"/>
      <w:pPr>
        <w:ind w:left="4213" w:hanging="350"/>
      </w:pPr>
    </w:lvl>
    <w:lvl w:ilvl="5">
      <w:start w:val="1"/>
      <w:numFmt w:val="bullet"/>
      <w:lvlText w:val="•"/>
      <w:lvlJc w:val="left"/>
      <w:pPr>
        <w:ind w:left="5062" w:hanging="350"/>
      </w:pPr>
    </w:lvl>
    <w:lvl w:ilvl="6">
      <w:start w:val="1"/>
      <w:numFmt w:val="bullet"/>
      <w:lvlText w:val="•"/>
      <w:lvlJc w:val="left"/>
      <w:pPr>
        <w:ind w:left="5910" w:hanging="350"/>
      </w:pPr>
    </w:lvl>
    <w:lvl w:ilvl="7">
      <w:start w:val="1"/>
      <w:numFmt w:val="bullet"/>
      <w:lvlText w:val="•"/>
      <w:lvlJc w:val="left"/>
      <w:pPr>
        <w:ind w:left="6759" w:hanging="350"/>
      </w:pPr>
    </w:lvl>
    <w:lvl w:ilvl="8">
      <w:start w:val="1"/>
      <w:numFmt w:val="bullet"/>
      <w:lvlText w:val="•"/>
      <w:lvlJc w:val="left"/>
      <w:pPr>
        <w:ind w:left="7607" w:hanging="350"/>
      </w:pPr>
    </w:lvl>
  </w:abstractNum>
  <w:abstractNum w:abstractNumId="8" w15:restartNumberingAfterBreak="0">
    <w:nsid w:val="71A10F3E"/>
    <w:multiLevelType w:val="multilevel"/>
    <w:tmpl w:val="EF3EA626"/>
    <w:lvl w:ilvl="0">
      <w:start w:val="1"/>
      <w:numFmt w:val="lowerRoman"/>
      <w:lvlText w:val="%1)"/>
      <w:lvlJc w:val="left"/>
      <w:pPr>
        <w:ind w:left="838" w:hanging="361"/>
      </w:pPr>
      <w:rPr>
        <w:rFonts w:ascii="Cambria" w:eastAsia="Cambria" w:hAnsi="Cambria" w:cs="Cambria" w:hint="default"/>
        <w:b w:val="0"/>
        <w:i w:val="0"/>
        <w:spacing w:val="-1"/>
        <w:w w:val="100"/>
        <w:sz w:val="20"/>
        <w:szCs w:val="20"/>
        <w:lang w:val="en-GB" w:eastAsia="en-GB" w:bidi="en-GB"/>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abstractNum w:abstractNumId="9" w15:restartNumberingAfterBreak="0">
    <w:nsid w:val="79A86768"/>
    <w:multiLevelType w:val="multilevel"/>
    <w:tmpl w:val="C386A630"/>
    <w:lvl w:ilvl="0">
      <w:start w:val="1"/>
      <w:numFmt w:val="decimal"/>
      <w:lvlText w:val="%1."/>
      <w:lvlJc w:val="left"/>
      <w:pPr>
        <w:ind w:left="838" w:hanging="361"/>
      </w:pPr>
      <w:rPr>
        <w:rFonts w:ascii="Cambria" w:hAnsi="Cambria" w:hint="default"/>
        <w:b w:val="0"/>
        <w:i w:val="0"/>
        <w:sz w:val="20"/>
        <w:szCs w:val="20"/>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abstractNum w:abstractNumId="10" w15:restartNumberingAfterBreak="0">
    <w:nsid w:val="79D94AF6"/>
    <w:multiLevelType w:val="multilevel"/>
    <w:tmpl w:val="7CBCD326"/>
    <w:lvl w:ilvl="0">
      <w:start w:val="14"/>
      <w:numFmt w:val="decimal"/>
      <w:lvlText w:val="%1."/>
      <w:lvlJc w:val="left"/>
      <w:pPr>
        <w:ind w:left="478" w:hanging="360"/>
      </w:pPr>
      <w:rPr>
        <w:rFonts w:asciiTheme="minorHAnsi" w:eastAsia="Times New Roman" w:hAnsiTheme="minorHAnsi" w:cs="Times New Roman" w:hint="default"/>
        <w:sz w:val="20"/>
        <w:szCs w:val="20"/>
      </w:rPr>
    </w:lvl>
    <w:lvl w:ilvl="1">
      <w:start w:val="1"/>
      <w:numFmt w:val="lowerLetter"/>
      <w:lvlText w:val="%2)"/>
      <w:lvlJc w:val="left"/>
      <w:pPr>
        <w:ind w:left="838" w:hanging="360"/>
      </w:pPr>
      <w:rPr>
        <w:rFonts w:ascii="Times New Roman" w:eastAsia="Times New Roman" w:hAnsi="Times New Roman" w:cs="Times New Roman" w:hint="default"/>
        <w:sz w:val="20"/>
        <w:szCs w:val="20"/>
      </w:rPr>
    </w:lvl>
    <w:lvl w:ilvl="2">
      <w:start w:val="1"/>
      <w:numFmt w:val="bullet"/>
      <w:lvlText w:val="•"/>
      <w:lvlJc w:val="left"/>
      <w:pPr>
        <w:ind w:left="1780" w:hanging="360"/>
      </w:pPr>
      <w:rPr>
        <w:rFonts w:hint="default"/>
      </w:rPr>
    </w:lvl>
    <w:lvl w:ilvl="3">
      <w:start w:val="1"/>
      <w:numFmt w:val="bullet"/>
      <w:lvlText w:val="•"/>
      <w:lvlJc w:val="left"/>
      <w:pPr>
        <w:ind w:left="2720" w:hanging="360"/>
      </w:pPr>
      <w:rPr>
        <w:rFonts w:hint="default"/>
      </w:rPr>
    </w:lvl>
    <w:lvl w:ilvl="4">
      <w:start w:val="1"/>
      <w:numFmt w:val="bullet"/>
      <w:lvlText w:val="•"/>
      <w:lvlJc w:val="left"/>
      <w:pPr>
        <w:ind w:left="3661" w:hanging="360"/>
      </w:pPr>
      <w:rPr>
        <w:rFonts w:hint="default"/>
      </w:rPr>
    </w:lvl>
    <w:lvl w:ilvl="5">
      <w:start w:val="1"/>
      <w:numFmt w:val="bullet"/>
      <w:lvlText w:val="•"/>
      <w:lvlJc w:val="left"/>
      <w:pPr>
        <w:ind w:left="4601" w:hanging="360"/>
      </w:pPr>
      <w:rPr>
        <w:rFonts w:hint="default"/>
      </w:rPr>
    </w:lvl>
    <w:lvl w:ilvl="6">
      <w:start w:val="1"/>
      <w:numFmt w:val="bullet"/>
      <w:lvlText w:val="•"/>
      <w:lvlJc w:val="left"/>
      <w:pPr>
        <w:ind w:left="5542"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423" w:hanging="360"/>
      </w:pPr>
      <w:rPr>
        <w:rFonts w:hint="default"/>
      </w:rPr>
    </w:lvl>
  </w:abstractNum>
  <w:num w:numId="1">
    <w:abstractNumId w:val="0"/>
  </w:num>
  <w:num w:numId="2">
    <w:abstractNumId w:val="1"/>
  </w:num>
  <w:num w:numId="3">
    <w:abstractNumId w:val="5"/>
  </w:num>
  <w:num w:numId="4">
    <w:abstractNumId w:val="7"/>
  </w:num>
  <w:num w:numId="5">
    <w:abstractNumId w:val="4"/>
  </w:num>
  <w:num w:numId="6">
    <w:abstractNumId w:val="9"/>
  </w:num>
  <w:num w:numId="7">
    <w:abstractNumId w:val="6"/>
  </w:num>
  <w:num w:numId="8">
    <w:abstractNumId w:val="3"/>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36"/>
    <w:rsid w:val="00040CC3"/>
    <w:rsid w:val="000A5ABD"/>
    <w:rsid w:val="000C47CD"/>
    <w:rsid w:val="001018E0"/>
    <w:rsid w:val="00133255"/>
    <w:rsid w:val="00177D24"/>
    <w:rsid w:val="001907C5"/>
    <w:rsid w:val="00190AF6"/>
    <w:rsid w:val="001C2C0E"/>
    <w:rsid w:val="001C7842"/>
    <w:rsid w:val="001F1F0F"/>
    <w:rsid w:val="00203379"/>
    <w:rsid w:val="00233359"/>
    <w:rsid w:val="00290B1F"/>
    <w:rsid w:val="002A74F2"/>
    <w:rsid w:val="002D4C59"/>
    <w:rsid w:val="00321D85"/>
    <w:rsid w:val="003221BF"/>
    <w:rsid w:val="0034039A"/>
    <w:rsid w:val="003873EC"/>
    <w:rsid w:val="003B489C"/>
    <w:rsid w:val="003C07D7"/>
    <w:rsid w:val="003C3A48"/>
    <w:rsid w:val="003F0BF8"/>
    <w:rsid w:val="003F2D59"/>
    <w:rsid w:val="00402D4E"/>
    <w:rsid w:val="004031DE"/>
    <w:rsid w:val="00444137"/>
    <w:rsid w:val="00444F74"/>
    <w:rsid w:val="004501D6"/>
    <w:rsid w:val="004516BA"/>
    <w:rsid w:val="0047620E"/>
    <w:rsid w:val="00480125"/>
    <w:rsid w:val="004817F0"/>
    <w:rsid w:val="004A79AA"/>
    <w:rsid w:val="004F00D1"/>
    <w:rsid w:val="00511608"/>
    <w:rsid w:val="00534908"/>
    <w:rsid w:val="005539A9"/>
    <w:rsid w:val="00554C4F"/>
    <w:rsid w:val="00570F33"/>
    <w:rsid w:val="00585B24"/>
    <w:rsid w:val="005900FB"/>
    <w:rsid w:val="005A6EED"/>
    <w:rsid w:val="005D4201"/>
    <w:rsid w:val="005F1D84"/>
    <w:rsid w:val="006624AF"/>
    <w:rsid w:val="00697B1D"/>
    <w:rsid w:val="006A5F14"/>
    <w:rsid w:val="006B5595"/>
    <w:rsid w:val="006E560A"/>
    <w:rsid w:val="006F4C17"/>
    <w:rsid w:val="0070135D"/>
    <w:rsid w:val="00737E3C"/>
    <w:rsid w:val="007635CD"/>
    <w:rsid w:val="007661E7"/>
    <w:rsid w:val="00770B92"/>
    <w:rsid w:val="00775ADF"/>
    <w:rsid w:val="007C357D"/>
    <w:rsid w:val="007E2F1E"/>
    <w:rsid w:val="0080129E"/>
    <w:rsid w:val="00803476"/>
    <w:rsid w:val="00835936"/>
    <w:rsid w:val="0086334E"/>
    <w:rsid w:val="00874BAE"/>
    <w:rsid w:val="00881864"/>
    <w:rsid w:val="00897DA0"/>
    <w:rsid w:val="008C7A57"/>
    <w:rsid w:val="008E029B"/>
    <w:rsid w:val="00941FAB"/>
    <w:rsid w:val="009464DA"/>
    <w:rsid w:val="00996F96"/>
    <w:rsid w:val="009C1506"/>
    <w:rsid w:val="009D5523"/>
    <w:rsid w:val="009E24E0"/>
    <w:rsid w:val="009E57DC"/>
    <w:rsid w:val="00A33277"/>
    <w:rsid w:val="00A33677"/>
    <w:rsid w:val="00A62A0E"/>
    <w:rsid w:val="00AB18EA"/>
    <w:rsid w:val="00AE2DFC"/>
    <w:rsid w:val="00B43CF8"/>
    <w:rsid w:val="00B51E8A"/>
    <w:rsid w:val="00B603BF"/>
    <w:rsid w:val="00B62597"/>
    <w:rsid w:val="00BE44A0"/>
    <w:rsid w:val="00C0318C"/>
    <w:rsid w:val="00C03903"/>
    <w:rsid w:val="00C31357"/>
    <w:rsid w:val="00CA49B2"/>
    <w:rsid w:val="00CA6A4B"/>
    <w:rsid w:val="00CC63D9"/>
    <w:rsid w:val="00CD7763"/>
    <w:rsid w:val="00D62AB2"/>
    <w:rsid w:val="00D953D2"/>
    <w:rsid w:val="00DA1857"/>
    <w:rsid w:val="00DA31B2"/>
    <w:rsid w:val="00DB0BFC"/>
    <w:rsid w:val="00DD1025"/>
    <w:rsid w:val="00DE3F87"/>
    <w:rsid w:val="00E025D4"/>
    <w:rsid w:val="00E13E24"/>
    <w:rsid w:val="00E24AD8"/>
    <w:rsid w:val="00E67DED"/>
    <w:rsid w:val="00E840D1"/>
    <w:rsid w:val="00EA1B4E"/>
    <w:rsid w:val="00EB2989"/>
    <w:rsid w:val="00EB6F90"/>
    <w:rsid w:val="00EC1FB5"/>
    <w:rsid w:val="00EF0511"/>
    <w:rsid w:val="00F07385"/>
    <w:rsid w:val="00F418B7"/>
    <w:rsid w:val="00F719BE"/>
    <w:rsid w:val="00F734BF"/>
    <w:rsid w:val="00F756DC"/>
    <w:rsid w:val="00F75FBD"/>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80AC4"/>
  <w15:chartTrackingRefBased/>
  <w15:docId w15:val="{213C8C1C-92BE-4C75-984C-4DAB0E0D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4C59"/>
    <w:pPr>
      <w:pBdr>
        <w:top w:val="nil"/>
        <w:left w:val="nil"/>
        <w:bottom w:val="nil"/>
        <w:right w:val="nil"/>
        <w:between w:val="nil"/>
      </w:pBdr>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936"/>
    <w:pPr>
      <w:spacing w:after="0" w:line="240" w:lineRule="auto"/>
    </w:pPr>
  </w:style>
  <w:style w:type="paragraph" w:styleId="Header">
    <w:name w:val="header"/>
    <w:basedOn w:val="Normal"/>
    <w:link w:val="HeaderChar"/>
    <w:uiPriority w:val="99"/>
    <w:unhideWhenUsed/>
    <w:rsid w:val="00835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936"/>
  </w:style>
  <w:style w:type="paragraph" w:styleId="Footer">
    <w:name w:val="footer"/>
    <w:basedOn w:val="Normal"/>
    <w:link w:val="FooterChar"/>
    <w:uiPriority w:val="99"/>
    <w:unhideWhenUsed/>
    <w:rsid w:val="0083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36"/>
  </w:style>
  <w:style w:type="character" w:styleId="CommentReference">
    <w:name w:val="annotation reference"/>
    <w:basedOn w:val="DefaultParagraphFont"/>
    <w:uiPriority w:val="99"/>
    <w:semiHidden/>
    <w:unhideWhenUsed/>
    <w:rsid w:val="00F75FBD"/>
    <w:rPr>
      <w:sz w:val="16"/>
      <w:szCs w:val="16"/>
    </w:rPr>
  </w:style>
  <w:style w:type="paragraph" w:styleId="CommentText">
    <w:name w:val="annotation text"/>
    <w:basedOn w:val="Normal"/>
    <w:link w:val="CommentTextChar"/>
    <w:uiPriority w:val="99"/>
    <w:semiHidden/>
    <w:unhideWhenUsed/>
    <w:rsid w:val="00F75FBD"/>
    <w:pPr>
      <w:spacing w:line="240" w:lineRule="auto"/>
    </w:pPr>
    <w:rPr>
      <w:sz w:val="20"/>
      <w:szCs w:val="20"/>
    </w:rPr>
  </w:style>
  <w:style w:type="character" w:customStyle="1" w:styleId="CommentTextChar">
    <w:name w:val="Comment Text Char"/>
    <w:basedOn w:val="DefaultParagraphFont"/>
    <w:link w:val="CommentText"/>
    <w:uiPriority w:val="99"/>
    <w:semiHidden/>
    <w:rsid w:val="00F75FBD"/>
    <w:rPr>
      <w:sz w:val="20"/>
      <w:szCs w:val="20"/>
    </w:rPr>
  </w:style>
  <w:style w:type="paragraph" w:styleId="CommentSubject">
    <w:name w:val="annotation subject"/>
    <w:basedOn w:val="CommentText"/>
    <w:next w:val="CommentText"/>
    <w:link w:val="CommentSubjectChar"/>
    <w:uiPriority w:val="99"/>
    <w:semiHidden/>
    <w:unhideWhenUsed/>
    <w:rsid w:val="00F75FBD"/>
    <w:rPr>
      <w:b/>
      <w:bCs/>
    </w:rPr>
  </w:style>
  <w:style w:type="character" w:customStyle="1" w:styleId="CommentSubjectChar">
    <w:name w:val="Comment Subject Char"/>
    <w:basedOn w:val="CommentTextChar"/>
    <w:link w:val="CommentSubject"/>
    <w:uiPriority w:val="99"/>
    <w:semiHidden/>
    <w:rsid w:val="00F75FBD"/>
    <w:rPr>
      <w:b/>
      <w:bCs/>
      <w:sz w:val="20"/>
      <w:szCs w:val="20"/>
    </w:rPr>
  </w:style>
  <w:style w:type="paragraph" w:styleId="BalloonText">
    <w:name w:val="Balloon Text"/>
    <w:basedOn w:val="Normal"/>
    <w:link w:val="BalloonTextChar"/>
    <w:uiPriority w:val="99"/>
    <w:semiHidden/>
    <w:unhideWhenUsed/>
    <w:rsid w:val="00F7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BD"/>
    <w:rPr>
      <w:rFonts w:ascii="Segoe UI" w:hAnsi="Segoe UI" w:cs="Segoe UI"/>
      <w:sz w:val="18"/>
      <w:szCs w:val="18"/>
    </w:rPr>
  </w:style>
  <w:style w:type="paragraph" w:styleId="ListParagraph">
    <w:name w:val="List Paragraph"/>
    <w:basedOn w:val="Normal"/>
    <w:uiPriority w:val="34"/>
    <w:qFormat/>
    <w:rsid w:val="00570F33"/>
    <w:pPr>
      <w:ind w:left="720"/>
      <w:contextualSpacing/>
    </w:pPr>
  </w:style>
  <w:style w:type="paragraph" w:styleId="FootnoteText">
    <w:name w:val="footnote text"/>
    <w:basedOn w:val="Normal"/>
    <w:link w:val="FootnoteTextChar"/>
    <w:uiPriority w:val="99"/>
    <w:semiHidden/>
    <w:unhideWhenUsed/>
    <w:rsid w:val="002D4C5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mbria" w:eastAsia="Cambria" w:hAnsi="Cambria" w:cs="Cambria"/>
      <w:color w:val="auto"/>
      <w:sz w:val="20"/>
      <w:szCs w:val="20"/>
      <w:lang w:val="es-ES" w:eastAsia="es-ES"/>
    </w:rPr>
  </w:style>
  <w:style w:type="character" w:customStyle="1" w:styleId="FootnoteTextChar">
    <w:name w:val="Footnote Text Char"/>
    <w:basedOn w:val="DefaultParagraphFont"/>
    <w:link w:val="FootnoteText"/>
    <w:uiPriority w:val="99"/>
    <w:semiHidden/>
    <w:rsid w:val="002D4C59"/>
    <w:rPr>
      <w:rFonts w:ascii="Cambria" w:eastAsia="Cambria" w:hAnsi="Cambria" w:cs="Cambria"/>
      <w:sz w:val="20"/>
      <w:szCs w:val="20"/>
      <w:lang w:val="es-ES" w:eastAsia="es-ES"/>
    </w:rPr>
  </w:style>
  <w:style w:type="character" w:styleId="FootnoteReference">
    <w:name w:val="footnote reference"/>
    <w:basedOn w:val="DefaultParagraphFont"/>
    <w:uiPriority w:val="99"/>
    <w:semiHidden/>
    <w:unhideWhenUsed/>
    <w:rsid w:val="002D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3823</Words>
  <Characters>21793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Lise</dc:creator>
  <cp:keywords/>
  <dc:description/>
  <cp:lastModifiedBy>Dorothee Pinet</cp:lastModifiedBy>
  <cp:revision>37</cp:revision>
  <cp:lastPrinted>2021-06-11T07:18:00Z</cp:lastPrinted>
  <dcterms:created xsi:type="dcterms:W3CDTF">2021-11-22T17:05:00Z</dcterms:created>
  <dcterms:modified xsi:type="dcterms:W3CDTF">2021-12-16T10:35:00Z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2021-04-13T18:43:40Z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8a78951b-7f9a-49df-91d7-00007bf39f22</vt:lpwstr>
  </property>
</Properties>
</file>