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BC4D" w14:textId="4AE554BA" w:rsidR="00F00072" w:rsidRDefault="00F00072" w:rsidP="00F00072">
      <w:pPr>
        <w:widowControl w:val="0"/>
        <w:pBdr>
          <w:top w:val="double" w:sz="4" w:space="1" w:color="auto"/>
          <w:left w:val="double" w:sz="4" w:space="4" w:color="auto"/>
          <w:bottom w:val="double" w:sz="4" w:space="1" w:color="auto"/>
          <w:right w:val="double" w:sz="4" w:space="4" w:color="auto"/>
        </w:pBdr>
        <w:spacing w:line="240" w:lineRule="auto"/>
        <w:ind w:left="7938" w:hanging="7938"/>
        <w:jc w:val="center"/>
        <w:rPr>
          <w:rFonts w:ascii="Cambria" w:eastAsia="Cambria" w:hAnsi="Cambria" w:cs="Cambria"/>
          <w:b/>
          <w:sz w:val="20"/>
          <w:szCs w:val="20"/>
        </w:rPr>
      </w:pPr>
      <w:r w:rsidRPr="00610914">
        <w:rPr>
          <w:rFonts w:ascii="Cambria" w:eastAsia="Cambria" w:hAnsi="Cambria" w:cs="Cambria"/>
          <w:b/>
          <w:sz w:val="20"/>
          <w:szCs w:val="20"/>
        </w:rPr>
        <w:t>21-</w:t>
      </w:r>
      <w:r w:rsidR="00610914" w:rsidRPr="00610914">
        <w:rPr>
          <w:rFonts w:ascii="Cambria" w:eastAsia="Cambria" w:hAnsi="Cambria" w:cs="Cambria"/>
          <w:b/>
          <w:sz w:val="20"/>
          <w:szCs w:val="20"/>
        </w:rPr>
        <w:t>12</w:t>
      </w:r>
      <w:r w:rsidRPr="00610914">
        <w:rPr>
          <w:rFonts w:ascii="Cambria" w:eastAsia="Cambria" w:hAnsi="Cambria" w:cs="Cambria"/>
          <w:b/>
          <w:sz w:val="20"/>
          <w:szCs w:val="20"/>
        </w:rPr>
        <w:tab/>
      </w:r>
      <w:r w:rsidRPr="00610914">
        <w:rPr>
          <w:rFonts w:ascii="Cambria" w:eastAsia="Cambria" w:hAnsi="Cambria" w:cs="Cambria"/>
          <w:b/>
          <w:sz w:val="20"/>
          <w:szCs w:val="20"/>
        </w:rPr>
        <w:tab/>
      </w:r>
      <w:r w:rsidR="00610914" w:rsidRPr="00610914">
        <w:rPr>
          <w:rFonts w:ascii="Cambria" w:eastAsia="Cambria" w:hAnsi="Cambria" w:cs="Cambria"/>
          <w:b/>
          <w:sz w:val="20"/>
          <w:szCs w:val="20"/>
        </w:rPr>
        <w:t>GEN</w:t>
      </w:r>
    </w:p>
    <w:p w14:paraId="180EEC23" w14:textId="77777777" w:rsidR="00FA5F8D" w:rsidRDefault="00FA5F8D" w:rsidP="00F00072">
      <w:pPr>
        <w:widowControl w:val="0"/>
        <w:pBdr>
          <w:top w:val="double" w:sz="4" w:space="1" w:color="auto"/>
          <w:left w:val="double" w:sz="4" w:space="4" w:color="auto"/>
          <w:bottom w:val="double" w:sz="4" w:space="1" w:color="auto"/>
          <w:right w:val="double" w:sz="4" w:space="4" w:color="auto"/>
        </w:pBdr>
        <w:spacing w:line="240" w:lineRule="auto"/>
        <w:jc w:val="center"/>
        <w:rPr>
          <w:rFonts w:ascii="Cambria" w:eastAsia="Cambria" w:hAnsi="Cambria" w:cs="Cambria"/>
          <w:b/>
          <w:sz w:val="20"/>
          <w:szCs w:val="20"/>
        </w:rPr>
      </w:pPr>
    </w:p>
    <w:p w14:paraId="5DF38584" w14:textId="19316C28" w:rsidR="00FA368F" w:rsidRDefault="000E5B90" w:rsidP="00F00072">
      <w:pPr>
        <w:widowControl w:val="0"/>
        <w:pBdr>
          <w:top w:val="double" w:sz="4" w:space="1" w:color="auto"/>
          <w:left w:val="double" w:sz="4" w:space="4" w:color="auto"/>
          <w:bottom w:val="double" w:sz="4" w:space="1" w:color="auto"/>
          <w:right w:val="double" w:sz="4" w:space="4" w:color="auto"/>
        </w:pBdr>
        <w:spacing w:line="240" w:lineRule="auto"/>
        <w:jc w:val="center"/>
        <w:rPr>
          <w:rFonts w:ascii="Cambria" w:eastAsia="Cambria" w:hAnsi="Cambria" w:cs="Cambria"/>
          <w:b/>
          <w:sz w:val="20"/>
          <w:szCs w:val="20"/>
        </w:rPr>
      </w:pPr>
      <w:r w:rsidRPr="005476CF">
        <w:rPr>
          <w:rFonts w:ascii="Cambria" w:eastAsia="Cambria" w:hAnsi="Cambria" w:cs="Cambria"/>
          <w:b/>
          <w:sz w:val="20"/>
          <w:szCs w:val="20"/>
        </w:rPr>
        <w:t>RECOMMANDATION DE L’ICCAT SUR LES NAVIRES SANS NATIONALIT</w:t>
      </w:r>
      <w:r w:rsidR="00142FD4">
        <w:rPr>
          <w:rFonts w:ascii="Cambria" w:eastAsia="Cambria" w:hAnsi="Cambria" w:cs="Cambria"/>
          <w:b/>
          <w:sz w:val="20"/>
          <w:szCs w:val="20"/>
        </w:rPr>
        <w:t>É</w:t>
      </w:r>
    </w:p>
    <w:p w14:paraId="276D34F1" w14:textId="77777777" w:rsidR="00F00072" w:rsidRDefault="00F00072" w:rsidP="00F00072">
      <w:pPr>
        <w:widowControl w:val="0"/>
        <w:pBdr>
          <w:top w:val="double" w:sz="4" w:space="1" w:color="auto"/>
          <w:left w:val="double" w:sz="4" w:space="4" w:color="auto"/>
          <w:bottom w:val="double" w:sz="4" w:space="1" w:color="auto"/>
          <w:right w:val="double" w:sz="4" w:space="4" w:color="auto"/>
        </w:pBdr>
        <w:spacing w:line="240" w:lineRule="auto"/>
        <w:jc w:val="center"/>
        <w:rPr>
          <w:rFonts w:ascii="Cambria" w:eastAsia="Cambria" w:hAnsi="Cambria" w:cs="Cambria"/>
          <w:b/>
          <w:sz w:val="20"/>
          <w:szCs w:val="20"/>
        </w:rPr>
      </w:pPr>
    </w:p>
    <w:p w14:paraId="44397CEF" w14:textId="77777777" w:rsidR="000E5B90" w:rsidRPr="000E5B90" w:rsidRDefault="000E5B90" w:rsidP="00FA368F">
      <w:pPr>
        <w:widowControl w:val="0"/>
        <w:spacing w:line="240" w:lineRule="auto"/>
        <w:jc w:val="both"/>
        <w:rPr>
          <w:rFonts w:ascii="Cambria" w:eastAsia="Times New Roman" w:hAnsi="Cambria" w:cs="Times New Roman"/>
          <w:sz w:val="20"/>
          <w:szCs w:val="20"/>
        </w:rPr>
      </w:pPr>
    </w:p>
    <w:p w14:paraId="3CF5C3E2" w14:textId="468C10CF" w:rsidR="00FA368F" w:rsidRPr="005476CF" w:rsidRDefault="00FA368F" w:rsidP="00FA368F">
      <w:pPr>
        <w:widowControl w:val="0"/>
        <w:spacing w:line="240" w:lineRule="auto"/>
        <w:ind w:firstLine="426"/>
        <w:jc w:val="both"/>
        <w:rPr>
          <w:rFonts w:ascii="Cambria" w:eastAsia="Times New Roman" w:hAnsi="Cambria" w:cs="Times New Roman"/>
          <w:sz w:val="20"/>
          <w:szCs w:val="20"/>
        </w:rPr>
      </w:pPr>
      <w:r w:rsidRPr="005476CF">
        <w:rPr>
          <w:rFonts w:ascii="Cambria" w:eastAsia="Cambria" w:hAnsi="Cambria" w:cs="Cambria"/>
          <w:i/>
          <w:sz w:val="20"/>
          <w:szCs w:val="20"/>
        </w:rPr>
        <w:t xml:space="preserve">RECONNAISSANT </w:t>
      </w:r>
      <w:r w:rsidRPr="005476CF">
        <w:rPr>
          <w:rFonts w:ascii="Cambria" w:eastAsia="Cambria" w:hAnsi="Cambria" w:cs="Cambria"/>
          <w:sz w:val="20"/>
          <w:szCs w:val="20"/>
        </w:rPr>
        <w:t>que, conformément à l'article 92 de la Convention des Nations Unies sur le droit de la mer (UNCLOS), tout navire ne battant pas le pavillon d'une CPC ou d'une non-CPC, ou les navires battant le pavillon de deux CPC ou non-CPC ou plus, devront être considérés comme des navires sans nationalité ;</w:t>
      </w:r>
    </w:p>
    <w:p w14:paraId="3B687BC2" w14:textId="77777777" w:rsidR="00FA368F" w:rsidRPr="005476CF" w:rsidRDefault="00FA368F" w:rsidP="00FA368F">
      <w:pPr>
        <w:widowControl w:val="0"/>
        <w:spacing w:line="240" w:lineRule="auto"/>
        <w:ind w:firstLine="426"/>
        <w:jc w:val="both"/>
        <w:rPr>
          <w:rFonts w:ascii="Cambria" w:eastAsia="Times New Roman" w:hAnsi="Cambria" w:cs="Times New Roman"/>
          <w:sz w:val="20"/>
          <w:szCs w:val="20"/>
        </w:rPr>
      </w:pPr>
    </w:p>
    <w:p w14:paraId="3260A655" w14:textId="60182D0D" w:rsidR="00FA368F" w:rsidRPr="005476CF" w:rsidRDefault="00FA368F" w:rsidP="00FA368F">
      <w:pPr>
        <w:widowControl w:val="0"/>
        <w:spacing w:line="240" w:lineRule="auto"/>
        <w:ind w:firstLine="426"/>
        <w:jc w:val="both"/>
        <w:rPr>
          <w:rFonts w:ascii="Cambria" w:eastAsia="Times New Roman" w:hAnsi="Cambria" w:cs="Times New Roman"/>
          <w:iCs/>
          <w:sz w:val="20"/>
          <w:szCs w:val="20"/>
        </w:rPr>
      </w:pPr>
      <w:r w:rsidRPr="000B375D">
        <w:rPr>
          <w:rFonts w:ascii="Cambria" w:eastAsia="Cambria" w:hAnsi="Cambria" w:cs="Cambria"/>
          <w:i/>
          <w:sz w:val="20"/>
          <w:szCs w:val="20"/>
        </w:rPr>
        <w:t xml:space="preserve">RECONNAISSANT EN OUTRE </w:t>
      </w:r>
      <w:r w:rsidRPr="000B375D">
        <w:rPr>
          <w:rFonts w:ascii="Cambria" w:eastAsia="Cambria" w:hAnsi="Cambria" w:cs="Cambria"/>
          <w:iCs/>
          <w:sz w:val="20"/>
          <w:szCs w:val="20"/>
        </w:rPr>
        <w:t xml:space="preserve">que les navires sans nationalité opèrent sans gouvernance ni surveillance, </w:t>
      </w:r>
      <w:r w:rsidR="000B375D" w:rsidRPr="000B375D">
        <w:rPr>
          <w:rFonts w:ascii="Cambria" w:eastAsia="Cambria" w:hAnsi="Cambria" w:cs="Cambria"/>
          <w:iCs/>
          <w:sz w:val="20"/>
          <w:szCs w:val="20"/>
        </w:rPr>
        <w:t>de manière</w:t>
      </w:r>
      <w:r w:rsidRPr="000B375D">
        <w:rPr>
          <w:rFonts w:ascii="Cambria" w:eastAsia="Cambria" w:hAnsi="Cambria" w:cs="Cambria"/>
          <w:iCs/>
          <w:sz w:val="20"/>
          <w:szCs w:val="20"/>
        </w:rPr>
        <w:t xml:space="preserve"> contraire au droit international ;</w:t>
      </w:r>
    </w:p>
    <w:p w14:paraId="40D9D116" w14:textId="77777777" w:rsidR="00FA368F" w:rsidRPr="005476CF" w:rsidRDefault="00FA368F" w:rsidP="00FA368F">
      <w:pPr>
        <w:widowControl w:val="0"/>
        <w:spacing w:line="240" w:lineRule="auto"/>
        <w:ind w:firstLine="426"/>
        <w:jc w:val="both"/>
        <w:rPr>
          <w:rFonts w:ascii="Cambria" w:eastAsia="Times New Roman" w:hAnsi="Cambria" w:cs="Times New Roman"/>
          <w:i/>
          <w:sz w:val="20"/>
          <w:szCs w:val="20"/>
        </w:rPr>
      </w:pPr>
    </w:p>
    <w:p w14:paraId="7F371A65" w14:textId="7C193FA8" w:rsidR="00FA368F" w:rsidRPr="005476CF" w:rsidRDefault="00FA368F" w:rsidP="00FA368F">
      <w:pPr>
        <w:widowControl w:val="0"/>
        <w:spacing w:line="240" w:lineRule="auto"/>
        <w:ind w:firstLine="426"/>
        <w:jc w:val="both"/>
        <w:rPr>
          <w:rFonts w:ascii="Cambria" w:eastAsia="Times New Roman" w:hAnsi="Cambria" w:cs="Times New Roman"/>
          <w:iCs/>
          <w:sz w:val="20"/>
          <w:szCs w:val="20"/>
        </w:rPr>
      </w:pPr>
      <w:r w:rsidRPr="005476CF">
        <w:rPr>
          <w:rFonts w:ascii="Cambria" w:eastAsia="Cambria" w:hAnsi="Cambria" w:cs="Cambria"/>
          <w:i/>
          <w:sz w:val="20"/>
          <w:szCs w:val="20"/>
        </w:rPr>
        <w:t xml:space="preserve">PRÉOCCUPÉE PAR LE FAIT </w:t>
      </w:r>
      <w:r w:rsidRPr="005476CF">
        <w:rPr>
          <w:rFonts w:ascii="Cambria" w:eastAsia="Cambria" w:hAnsi="Cambria" w:cs="Cambria"/>
          <w:iCs/>
          <w:sz w:val="20"/>
          <w:szCs w:val="20"/>
        </w:rPr>
        <w:t>que les navires sans nationalité qui pêchent ou soutiennent des activités de pêche dans la zone de la Convention de l’ICCAT compromettent l'objectif de la Convention de l’ICCAT et les travaux de conservation et de gestion de la Commission ;</w:t>
      </w:r>
    </w:p>
    <w:p w14:paraId="7FFC99FC" w14:textId="77777777" w:rsidR="00FA368F" w:rsidRPr="005476CF" w:rsidRDefault="00FA368F" w:rsidP="00FA368F">
      <w:pPr>
        <w:widowControl w:val="0"/>
        <w:spacing w:line="240" w:lineRule="auto"/>
        <w:ind w:firstLine="426"/>
        <w:jc w:val="both"/>
        <w:rPr>
          <w:rFonts w:ascii="Cambria" w:eastAsia="Times New Roman" w:hAnsi="Cambria" w:cs="Times New Roman"/>
          <w:i/>
          <w:sz w:val="20"/>
          <w:szCs w:val="20"/>
        </w:rPr>
      </w:pPr>
    </w:p>
    <w:p w14:paraId="18AC5E26" w14:textId="4017A133" w:rsidR="00FA368F" w:rsidRPr="005476CF" w:rsidRDefault="00FA368F" w:rsidP="00FA368F">
      <w:pPr>
        <w:widowControl w:val="0"/>
        <w:spacing w:line="240" w:lineRule="auto"/>
        <w:ind w:firstLine="426"/>
        <w:jc w:val="both"/>
        <w:rPr>
          <w:rFonts w:ascii="Cambria" w:eastAsia="Times New Roman" w:hAnsi="Cambria" w:cs="Times New Roman"/>
          <w:iCs/>
          <w:sz w:val="20"/>
          <w:szCs w:val="20"/>
        </w:rPr>
      </w:pPr>
      <w:r w:rsidRPr="005476CF">
        <w:rPr>
          <w:rFonts w:ascii="Cambria" w:eastAsia="Cambria" w:hAnsi="Cambria" w:cs="Cambria"/>
          <w:i/>
          <w:sz w:val="20"/>
          <w:szCs w:val="20"/>
        </w:rPr>
        <w:t xml:space="preserve">RAPPELANT </w:t>
      </w:r>
      <w:r w:rsidRPr="005476CF">
        <w:rPr>
          <w:rFonts w:ascii="Cambria" w:eastAsia="Cambria" w:hAnsi="Cambria" w:cs="Cambria"/>
          <w:iCs/>
          <w:sz w:val="20"/>
          <w:szCs w:val="20"/>
        </w:rPr>
        <w:t>que le Plan d'action international de la FAO visant à prévenir, à contrecarrer et à éliminer la pêche illicite, non réglementée et non déclarée (IUU) recommande que les CPC prennent des mesures conformes au droit international en ce qui concerne les navires de pêche sans nationalité impliqués dans la pêche IUU ;</w:t>
      </w:r>
    </w:p>
    <w:p w14:paraId="27A48630" w14:textId="77777777" w:rsidR="00FA368F" w:rsidRPr="005476CF" w:rsidRDefault="00FA368F" w:rsidP="00FA368F">
      <w:pPr>
        <w:widowControl w:val="0"/>
        <w:spacing w:line="240" w:lineRule="auto"/>
        <w:ind w:firstLine="426"/>
        <w:jc w:val="both"/>
        <w:rPr>
          <w:rFonts w:ascii="Cambria" w:eastAsia="Times New Roman" w:hAnsi="Cambria" w:cs="Times New Roman"/>
          <w:iCs/>
          <w:sz w:val="20"/>
          <w:szCs w:val="20"/>
        </w:rPr>
      </w:pPr>
    </w:p>
    <w:p w14:paraId="7F841BFA" w14:textId="77777777" w:rsidR="00BA221A" w:rsidRPr="00BA221A" w:rsidRDefault="00BA221A" w:rsidP="00BA221A">
      <w:pPr>
        <w:widowControl w:val="0"/>
        <w:spacing w:line="240" w:lineRule="auto"/>
        <w:ind w:firstLine="426"/>
        <w:jc w:val="both"/>
        <w:rPr>
          <w:rFonts w:ascii="Cambria" w:eastAsia="Times New Roman" w:hAnsi="Cambria" w:cs="Times New Roman"/>
          <w:iCs/>
          <w:sz w:val="20"/>
          <w:szCs w:val="20"/>
        </w:rPr>
      </w:pPr>
      <w:r w:rsidRPr="00BA221A">
        <w:rPr>
          <w:rFonts w:ascii="Cambria" w:eastAsia="Cambria" w:hAnsi="Cambria" w:cs="Cambria"/>
          <w:i/>
          <w:sz w:val="20"/>
          <w:szCs w:val="20"/>
        </w:rPr>
        <w:t xml:space="preserve">NOTANT </w:t>
      </w:r>
      <w:r w:rsidRPr="00BA221A">
        <w:rPr>
          <w:rFonts w:ascii="Cambria" w:eastAsia="Cambria" w:hAnsi="Cambria" w:cs="Cambria"/>
          <w:iCs/>
          <w:sz w:val="20"/>
          <w:szCs w:val="20"/>
        </w:rPr>
        <w:t xml:space="preserve">que le paragraphe 1 de la </w:t>
      </w:r>
      <w:r w:rsidRPr="00BA221A">
        <w:rPr>
          <w:rFonts w:ascii="Cambria" w:eastAsia="Cambria" w:hAnsi="Cambria" w:cs="Cambria"/>
          <w:i/>
          <w:sz w:val="20"/>
          <w:szCs w:val="20"/>
        </w:rPr>
        <w:t>Recommandation de l'ICCAT établissant une liste de navires présumés avoir exercé des activités de pêche IUU</w:t>
      </w:r>
      <w:r w:rsidRPr="00BA221A">
        <w:rPr>
          <w:rFonts w:ascii="Cambria" w:eastAsia="Cambria" w:hAnsi="Cambria" w:cs="Cambria"/>
          <w:iCs/>
          <w:sz w:val="20"/>
          <w:szCs w:val="20"/>
        </w:rPr>
        <w:t xml:space="preserve"> (Rec. 18-08</w:t>
      </w:r>
      <w:r w:rsidRPr="00BA221A">
        <w:rPr>
          <w:rFonts w:ascii="Cambria" w:eastAsia="Cambria" w:hAnsi="Cambria" w:cs="Cambria"/>
          <w:iCs/>
          <w:sz w:val="20"/>
          <w:szCs w:val="20"/>
          <w:vertAlign w:val="superscript"/>
        </w:rPr>
        <w:footnoteReference w:id="1"/>
      </w:r>
      <w:r w:rsidRPr="00BA221A">
        <w:rPr>
          <w:rFonts w:ascii="Cambria" w:eastAsia="Cambria" w:hAnsi="Cambria" w:cs="Cambria"/>
          <w:iCs/>
          <w:sz w:val="20"/>
          <w:szCs w:val="20"/>
        </w:rPr>
        <w:t>) crée une présomption selon laquelle les navires sans nationalité qui capturent des espèces de l’ICCAT dans la zone de la Convention se livrent à des activités de pêche IUU ;</w:t>
      </w:r>
    </w:p>
    <w:p w14:paraId="78DDEFD6" w14:textId="77777777" w:rsidR="00FA368F" w:rsidRPr="005476CF" w:rsidRDefault="00FA368F" w:rsidP="00FA368F">
      <w:pPr>
        <w:widowControl w:val="0"/>
        <w:spacing w:line="240" w:lineRule="auto"/>
        <w:ind w:firstLine="426"/>
        <w:jc w:val="both"/>
        <w:rPr>
          <w:rFonts w:ascii="Cambria" w:eastAsia="Times New Roman" w:hAnsi="Cambria" w:cs="Times New Roman"/>
          <w:iCs/>
          <w:sz w:val="20"/>
          <w:szCs w:val="20"/>
        </w:rPr>
      </w:pPr>
    </w:p>
    <w:p w14:paraId="7546E64A" w14:textId="215AEDCD" w:rsidR="00FA368F" w:rsidRPr="005476CF" w:rsidRDefault="00FA368F" w:rsidP="00FA368F">
      <w:pPr>
        <w:widowControl w:val="0"/>
        <w:spacing w:line="240" w:lineRule="auto"/>
        <w:ind w:firstLine="426"/>
        <w:jc w:val="both"/>
        <w:rPr>
          <w:rFonts w:ascii="Cambria" w:eastAsia="Times New Roman" w:hAnsi="Cambria" w:cs="Times New Roman"/>
          <w:iCs/>
          <w:sz w:val="20"/>
          <w:szCs w:val="20"/>
        </w:rPr>
      </w:pPr>
      <w:r w:rsidRPr="005476CF">
        <w:rPr>
          <w:rFonts w:ascii="Cambria" w:eastAsia="Cambria" w:hAnsi="Cambria" w:cs="Cambria"/>
          <w:i/>
          <w:sz w:val="20"/>
          <w:szCs w:val="20"/>
        </w:rPr>
        <w:t xml:space="preserve">NOTANT EN OUTRE </w:t>
      </w:r>
      <w:r w:rsidRPr="005476CF">
        <w:rPr>
          <w:rFonts w:ascii="Cambria" w:eastAsia="Cambria" w:hAnsi="Cambria" w:cs="Cambria"/>
          <w:iCs/>
          <w:sz w:val="20"/>
          <w:szCs w:val="20"/>
        </w:rPr>
        <w:t xml:space="preserve">que la </w:t>
      </w:r>
      <w:r w:rsidRPr="005476CF">
        <w:rPr>
          <w:rFonts w:ascii="Cambria" w:eastAsia="Cambria" w:hAnsi="Cambria" w:cs="Cambria"/>
          <w:i/>
          <w:sz w:val="20"/>
          <w:szCs w:val="20"/>
        </w:rPr>
        <w:t>Recommandation de l'ICCAT sur les observations de navires</w:t>
      </w:r>
      <w:r w:rsidRPr="005476CF">
        <w:rPr>
          <w:rFonts w:ascii="Cambria" w:eastAsia="Cambria" w:hAnsi="Cambria" w:cs="Cambria"/>
          <w:iCs/>
          <w:sz w:val="20"/>
          <w:szCs w:val="20"/>
        </w:rPr>
        <w:t xml:space="preserve"> (Rec. 19-09) établit le protocole de notification pour l</w:t>
      </w:r>
      <w:r w:rsidR="00EC1C86">
        <w:rPr>
          <w:rFonts w:ascii="Cambria" w:eastAsia="Cambria" w:hAnsi="Cambria" w:cs="Cambria"/>
          <w:iCs/>
          <w:sz w:val="20"/>
          <w:szCs w:val="20"/>
        </w:rPr>
        <w:t>’</w:t>
      </w:r>
      <w:r w:rsidRPr="005476CF">
        <w:rPr>
          <w:rFonts w:ascii="Cambria" w:eastAsia="Cambria" w:hAnsi="Cambria" w:cs="Cambria"/>
          <w:iCs/>
          <w:sz w:val="20"/>
          <w:szCs w:val="20"/>
        </w:rPr>
        <w:t>observation de navires suspects et les mesures qui pourraient être prises en vertu du droit international pour confirmer le pavillon d'un navire, s'il est soupçonné d'être sans nationalité</w:t>
      </w:r>
      <w:r w:rsidR="00EC1C86">
        <w:rPr>
          <w:rFonts w:ascii="Cambria" w:eastAsia="Cambria" w:hAnsi="Cambria" w:cs="Cambria"/>
          <w:iCs/>
          <w:sz w:val="20"/>
          <w:szCs w:val="20"/>
        </w:rPr>
        <w:t> ;</w:t>
      </w:r>
    </w:p>
    <w:p w14:paraId="3BFDA755" w14:textId="77777777" w:rsidR="00FA368F" w:rsidRPr="005476CF" w:rsidRDefault="00FA368F" w:rsidP="00FA368F">
      <w:pPr>
        <w:widowControl w:val="0"/>
        <w:spacing w:line="240" w:lineRule="auto"/>
        <w:ind w:firstLine="426"/>
        <w:jc w:val="both"/>
        <w:rPr>
          <w:rFonts w:ascii="Cambria" w:eastAsia="Times New Roman" w:hAnsi="Cambria" w:cs="Times New Roman"/>
          <w:i/>
          <w:sz w:val="20"/>
          <w:szCs w:val="20"/>
        </w:rPr>
      </w:pPr>
    </w:p>
    <w:p w14:paraId="493FB1F3" w14:textId="77777777" w:rsidR="003818BC" w:rsidRPr="003818BC" w:rsidRDefault="003818BC" w:rsidP="003818BC">
      <w:pPr>
        <w:widowControl w:val="0"/>
        <w:spacing w:line="240" w:lineRule="auto"/>
        <w:ind w:firstLine="426"/>
        <w:jc w:val="both"/>
        <w:rPr>
          <w:rFonts w:ascii="Cambria" w:eastAsia="Times New Roman" w:hAnsi="Cambria" w:cs="Times New Roman"/>
          <w:iCs/>
          <w:sz w:val="20"/>
          <w:szCs w:val="20"/>
        </w:rPr>
      </w:pPr>
      <w:r w:rsidRPr="003818BC">
        <w:rPr>
          <w:rFonts w:ascii="Cambria" w:eastAsia="Cambria" w:hAnsi="Cambria" w:cs="Cambria"/>
          <w:i/>
          <w:iCs/>
          <w:sz w:val="20"/>
          <w:szCs w:val="20"/>
        </w:rPr>
        <w:t>RECONNAISSANT</w:t>
      </w:r>
      <w:r w:rsidRPr="003818BC">
        <w:rPr>
          <w:rFonts w:ascii="Cambria" w:eastAsia="Cambria" w:hAnsi="Cambria" w:cs="Cambria"/>
          <w:sz w:val="20"/>
          <w:szCs w:val="20"/>
        </w:rPr>
        <w:t xml:space="preserve"> les obligations énoncées dans la </w:t>
      </w:r>
      <w:r w:rsidRPr="003818BC">
        <w:rPr>
          <w:rFonts w:ascii="Cambria" w:eastAsia="Cambria" w:hAnsi="Cambria" w:cs="Cambria"/>
          <w:i/>
          <w:iCs/>
          <w:sz w:val="20"/>
          <w:szCs w:val="20"/>
        </w:rPr>
        <w:t xml:space="preserve">Recommandation de l’ICCAT visant à promouvoir l’application des mesures de conservation et de gestion de l’ICCAT par les ressortissants des Parties contractantes et des Parties, Entités ou Entités de pêche non contractantes coopérantes </w:t>
      </w:r>
      <w:r w:rsidRPr="003818BC">
        <w:rPr>
          <w:rFonts w:ascii="Cambria" w:eastAsia="Cambria" w:hAnsi="Cambria" w:cs="Cambria"/>
          <w:sz w:val="20"/>
          <w:szCs w:val="20"/>
        </w:rPr>
        <w:t xml:space="preserve">(Rec. </w:t>
      </w:r>
      <w:r w:rsidRPr="003818BC">
        <w:rPr>
          <w:rFonts w:ascii="Cambria" w:eastAsia="Cambria" w:hAnsi="Cambria" w:cs="Cambria"/>
          <w:iCs/>
          <w:sz w:val="20"/>
          <w:szCs w:val="20"/>
        </w:rPr>
        <w:t>06-14</w:t>
      </w:r>
      <w:r w:rsidRPr="003818BC">
        <w:rPr>
          <w:rFonts w:ascii="Cambria" w:eastAsia="Cambria" w:hAnsi="Cambria" w:cs="Cambria"/>
          <w:iCs/>
          <w:sz w:val="20"/>
          <w:szCs w:val="20"/>
          <w:vertAlign w:val="superscript"/>
        </w:rPr>
        <w:footnoteReference w:id="2"/>
      </w:r>
      <w:r w:rsidRPr="003818BC">
        <w:rPr>
          <w:rFonts w:ascii="Cambria" w:eastAsia="Cambria" w:hAnsi="Cambria" w:cs="Cambria"/>
          <w:iCs/>
          <w:sz w:val="20"/>
          <w:szCs w:val="20"/>
        </w:rPr>
        <w:t>) ;</w:t>
      </w:r>
    </w:p>
    <w:p w14:paraId="3889B1BD" w14:textId="77777777" w:rsidR="00FA368F" w:rsidRPr="005476CF" w:rsidRDefault="00FA368F" w:rsidP="00FA368F">
      <w:pPr>
        <w:widowControl w:val="0"/>
        <w:spacing w:line="240" w:lineRule="auto"/>
        <w:ind w:firstLine="426"/>
        <w:jc w:val="both"/>
        <w:rPr>
          <w:rFonts w:ascii="Cambria" w:eastAsia="Times New Roman" w:hAnsi="Cambria" w:cs="Times New Roman"/>
          <w:iCs/>
          <w:sz w:val="20"/>
          <w:szCs w:val="20"/>
        </w:rPr>
      </w:pPr>
    </w:p>
    <w:p w14:paraId="15747502" w14:textId="3F09D60A" w:rsidR="00FA368F" w:rsidRPr="005476CF" w:rsidRDefault="00FA368F" w:rsidP="00FA368F">
      <w:pPr>
        <w:widowControl w:val="0"/>
        <w:spacing w:line="240" w:lineRule="auto"/>
        <w:ind w:firstLine="426"/>
        <w:jc w:val="both"/>
        <w:rPr>
          <w:rFonts w:ascii="Cambria" w:eastAsia="Times New Roman" w:hAnsi="Cambria" w:cs="Times New Roman"/>
          <w:sz w:val="20"/>
          <w:szCs w:val="20"/>
        </w:rPr>
      </w:pPr>
      <w:r w:rsidRPr="005476CF">
        <w:rPr>
          <w:rFonts w:ascii="Cambria" w:eastAsia="Cambria" w:hAnsi="Cambria" w:cs="Cambria"/>
          <w:i/>
          <w:sz w:val="20"/>
          <w:szCs w:val="20"/>
        </w:rPr>
        <w:t>DÉTERMINÉE</w:t>
      </w:r>
      <w:r w:rsidRPr="005476CF">
        <w:rPr>
          <w:rFonts w:ascii="Cambria" w:eastAsia="Cambria" w:hAnsi="Cambria" w:cs="Cambria"/>
          <w:sz w:val="20"/>
          <w:szCs w:val="20"/>
        </w:rPr>
        <w:t xml:space="preserve"> à continuer de décourager toutes les facettes des activités de pêche IUU dans la zone de la Convention</w:t>
      </w:r>
      <w:r w:rsidR="00EC1C86">
        <w:rPr>
          <w:rFonts w:ascii="Cambria" w:eastAsia="Cambria" w:hAnsi="Cambria" w:cs="Cambria"/>
          <w:sz w:val="20"/>
          <w:szCs w:val="20"/>
        </w:rPr>
        <w:t> ;</w:t>
      </w:r>
    </w:p>
    <w:p w14:paraId="2FB97CEF" w14:textId="77777777" w:rsidR="00FA368F" w:rsidRPr="005476CF" w:rsidRDefault="00FA368F" w:rsidP="00FA368F">
      <w:pPr>
        <w:widowControl w:val="0"/>
        <w:spacing w:line="240" w:lineRule="auto"/>
        <w:jc w:val="center"/>
        <w:rPr>
          <w:rFonts w:ascii="Cambria" w:eastAsia="Times New Roman" w:hAnsi="Cambria" w:cs="Times New Roman"/>
          <w:sz w:val="20"/>
          <w:szCs w:val="20"/>
        </w:rPr>
      </w:pPr>
    </w:p>
    <w:p w14:paraId="79FAA0EE" w14:textId="77777777" w:rsidR="00FA368F" w:rsidRPr="005476CF" w:rsidRDefault="00FA368F" w:rsidP="00FA368F">
      <w:pPr>
        <w:widowControl w:val="0"/>
        <w:spacing w:line="240" w:lineRule="auto"/>
        <w:jc w:val="center"/>
        <w:rPr>
          <w:rFonts w:ascii="Cambria" w:eastAsia="Times New Roman" w:hAnsi="Cambria" w:cs="Times New Roman"/>
          <w:sz w:val="20"/>
          <w:szCs w:val="20"/>
        </w:rPr>
      </w:pPr>
    </w:p>
    <w:p w14:paraId="1EFCCEF0" w14:textId="77777777" w:rsidR="00FA368F" w:rsidRPr="005476CF" w:rsidRDefault="00FA368F" w:rsidP="00FA368F">
      <w:pPr>
        <w:widowControl w:val="0"/>
        <w:spacing w:line="240" w:lineRule="auto"/>
        <w:jc w:val="center"/>
        <w:rPr>
          <w:rFonts w:ascii="Cambria" w:eastAsia="Times New Roman" w:hAnsi="Cambria" w:cs="Times New Roman"/>
          <w:sz w:val="20"/>
          <w:szCs w:val="20"/>
        </w:rPr>
      </w:pPr>
      <w:r w:rsidRPr="005476CF">
        <w:rPr>
          <w:rFonts w:ascii="Cambria" w:eastAsia="Cambria" w:hAnsi="Cambria" w:cs="Cambria"/>
          <w:sz w:val="20"/>
          <w:szCs w:val="20"/>
        </w:rPr>
        <w:t xml:space="preserve">LA COMMISSION INTERNATIONALE POUR LA CONSERVATION </w:t>
      </w:r>
    </w:p>
    <w:p w14:paraId="639B860E" w14:textId="77777777" w:rsidR="00FA368F" w:rsidRPr="005476CF" w:rsidRDefault="00FA368F" w:rsidP="00FA368F">
      <w:pPr>
        <w:widowControl w:val="0"/>
        <w:spacing w:line="240" w:lineRule="auto"/>
        <w:jc w:val="center"/>
        <w:rPr>
          <w:rFonts w:ascii="Cambria" w:eastAsia="Times New Roman" w:hAnsi="Cambria" w:cs="Times New Roman"/>
          <w:sz w:val="20"/>
          <w:szCs w:val="20"/>
        </w:rPr>
      </w:pPr>
      <w:r w:rsidRPr="005476CF">
        <w:rPr>
          <w:rFonts w:ascii="Cambria" w:eastAsia="Cambria" w:hAnsi="Cambria" w:cs="Cambria"/>
          <w:sz w:val="20"/>
          <w:szCs w:val="20"/>
        </w:rPr>
        <w:t>DES THONIDÉS DE L’ATLANTIQUE (ICCAT) RECOMMANDE CE QUI SUIT :</w:t>
      </w:r>
    </w:p>
    <w:p w14:paraId="6072C21E" w14:textId="77777777" w:rsidR="00FA368F" w:rsidRPr="005476CF" w:rsidRDefault="00FA368F" w:rsidP="00FA368F">
      <w:pPr>
        <w:widowControl w:val="0"/>
        <w:pBdr>
          <w:top w:val="nil"/>
          <w:left w:val="nil"/>
          <w:bottom w:val="nil"/>
          <w:right w:val="nil"/>
          <w:between w:val="nil"/>
        </w:pBdr>
        <w:spacing w:line="240" w:lineRule="auto"/>
        <w:jc w:val="both"/>
        <w:rPr>
          <w:rFonts w:ascii="Cambria" w:eastAsia="Times New Roman" w:hAnsi="Cambria" w:cs="Times New Roman"/>
          <w:sz w:val="20"/>
          <w:szCs w:val="20"/>
        </w:rPr>
      </w:pPr>
    </w:p>
    <w:p w14:paraId="2D8DDC7B" w14:textId="77777777" w:rsidR="00FA368F" w:rsidRPr="005476CF" w:rsidRDefault="00FA368F" w:rsidP="00FA5F8D">
      <w:pPr>
        <w:widowControl w:val="0"/>
        <w:pBdr>
          <w:top w:val="nil"/>
          <w:left w:val="nil"/>
          <w:bottom w:val="nil"/>
          <w:right w:val="nil"/>
          <w:between w:val="nil"/>
        </w:pBdr>
        <w:spacing w:line="240" w:lineRule="auto"/>
        <w:ind w:left="426" w:hanging="426"/>
        <w:jc w:val="both"/>
        <w:rPr>
          <w:rFonts w:ascii="Cambria" w:eastAsia="Times New Roman" w:hAnsi="Cambria" w:cs="Times New Roman"/>
          <w:sz w:val="20"/>
          <w:szCs w:val="20"/>
        </w:rPr>
      </w:pPr>
      <w:r w:rsidRPr="005476CF">
        <w:rPr>
          <w:rFonts w:ascii="Cambria" w:eastAsia="Cambria" w:hAnsi="Cambria" w:cs="Cambria"/>
          <w:sz w:val="20"/>
          <w:szCs w:val="20"/>
        </w:rPr>
        <w:t>1</w:t>
      </w:r>
      <w:r w:rsidRPr="005476CF">
        <w:rPr>
          <w:rFonts w:ascii="Cambria" w:eastAsia="Cambria" w:hAnsi="Cambria" w:cs="Cambria"/>
          <w:b/>
          <w:bCs/>
          <w:sz w:val="20"/>
          <w:szCs w:val="20"/>
        </w:rPr>
        <w:t>.</w:t>
      </w:r>
      <w:r w:rsidRPr="005476CF">
        <w:rPr>
          <w:rFonts w:ascii="Cambria" w:eastAsia="Cambria" w:hAnsi="Cambria" w:cs="Cambria"/>
          <w:sz w:val="20"/>
          <w:szCs w:val="20"/>
        </w:rPr>
        <w:tab/>
        <w:t>Les navires sans nationalité qui pêchent ou soutiennent des opérations de pêche dans la zone de la Convention de l’ICCAT sont réputés opérer en violation de la Convention de l’ICCAT et compromettre les mesures de conservation et de gestion de l’ICCAT.</w:t>
      </w:r>
    </w:p>
    <w:p w14:paraId="36501D85" w14:textId="77777777" w:rsidR="00FA368F" w:rsidRPr="005476CF" w:rsidRDefault="00FA368F" w:rsidP="00FA368F">
      <w:pPr>
        <w:widowControl w:val="0"/>
        <w:pBdr>
          <w:top w:val="nil"/>
          <w:left w:val="nil"/>
          <w:bottom w:val="nil"/>
          <w:right w:val="nil"/>
          <w:between w:val="nil"/>
        </w:pBdr>
        <w:spacing w:line="240" w:lineRule="auto"/>
        <w:jc w:val="both"/>
        <w:rPr>
          <w:rFonts w:ascii="Cambria" w:eastAsia="Times New Roman" w:hAnsi="Cambria" w:cs="Times New Roman"/>
          <w:sz w:val="20"/>
          <w:szCs w:val="20"/>
        </w:rPr>
      </w:pPr>
    </w:p>
    <w:p w14:paraId="3A89520E" w14:textId="77777777" w:rsidR="00FA368F" w:rsidRPr="005476CF" w:rsidRDefault="00FA368F" w:rsidP="00AB6B91">
      <w:pPr>
        <w:widowControl w:val="0"/>
        <w:pBdr>
          <w:top w:val="nil"/>
          <w:left w:val="nil"/>
          <w:bottom w:val="nil"/>
          <w:right w:val="nil"/>
          <w:between w:val="nil"/>
        </w:pBdr>
        <w:spacing w:line="240" w:lineRule="auto"/>
        <w:ind w:left="426" w:hanging="426"/>
        <w:jc w:val="both"/>
        <w:rPr>
          <w:rFonts w:ascii="Cambria" w:eastAsia="Times New Roman" w:hAnsi="Cambria" w:cs="Times New Roman"/>
          <w:sz w:val="20"/>
          <w:szCs w:val="20"/>
        </w:rPr>
      </w:pPr>
      <w:r w:rsidRPr="005476CF">
        <w:rPr>
          <w:rFonts w:ascii="Cambria" w:eastAsia="Cambria" w:hAnsi="Cambria" w:cs="Cambria"/>
          <w:sz w:val="20"/>
          <w:szCs w:val="20"/>
        </w:rPr>
        <w:t>2</w:t>
      </w:r>
      <w:r w:rsidRPr="005476CF">
        <w:rPr>
          <w:rFonts w:ascii="Cambria" w:eastAsia="Cambria" w:hAnsi="Cambria" w:cs="Cambria"/>
          <w:b/>
          <w:bCs/>
          <w:sz w:val="20"/>
          <w:szCs w:val="20"/>
        </w:rPr>
        <w:t>.</w:t>
      </w:r>
      <w:r w:rsidRPr="005476CF">
        <w:rPr>
          <w:rFonts w:ascii="Cambria" w:eastAsia="Cambria" w:hAnsi="Cambria" w:cs="Cambria"/>
          <w:sz w:val="20"/>
          <w:szCs w:val="20"/>
        </w:rPr>
        <w:t xml:space="preserve"> </w:t>
      </w:r>
      <w:r w:rsidRPr="005476CF">
        <w:rPr>
          <w:rFonts w:ascii="Cambria" w:eastAsia="Cambria" w:hAnsi="Cambria" w:cs="Cambria"/>
          <w:sz w:val="20"/>
          <w:szCs w:val="20"/>
        </w:rPr>
        <w:tab/>
        <w:t>Toute pêche ou activité de soutien connexe dans la zone de la Convention de l’ICCAT réalisée par des navires sans nationalité est considérée comme une pêche IUU, constitue une violation grave des mesures de conservation et de gestion de l’ICCAT et devra faire l'objet de mesures conformes au droit national et international pertinent, y compris celles prévues à l'article IX de la Convention de l’ICCAT et conformément aux mesures adoptées par la Commission.</w:t>
      </w:r>
    </w:p>
    <w:p w14:paraId="411DBBA7" w14:textId="6A7C96FA" w:rsidR="00FA368F" w:rsidRDefault="00FA368F" w:rsidP="003C5F72">
      <w:pPr>
        <w:widowControl w:val="0"/>
        <w:spacing w:line="240" w:lineRule="auto"/>
        <w:ind w:right="1518"/>
        <w:jc w:val="both"/>
        <w:rPr>
          <w:rFonts w:ascii="Cambria" w:eastAsia="Cambria" w:hAnsi="Cambria" w:cs="Cambria"/>
          <w:sz w:val="20"/>
          <w:szCs w:val="20"/>
        </w:rPr>
      </w:pPr>
    </w:p>
    <w:p w14:paraId="48B8D3AE" w14:textId="759D9266" w:rsidR="004D634A" w:rsidRDefault="004D634A" w:rsidP="003C5F72">
      <w:pPr>
        <w:widowControl w:val="0"/>
        <w:spacing w:line="240" w:lineRule="auto"/>
        <w:ind w:right="1518"/>
        <w:jc w:val="both"/>
        <w:rPr>
          <w:rFonts w:ascii="Cambria" w:eastAsia="Cambria" w:hAnsi="Cambria" w:cs="Cambria"/>
          <w:sz w:val="20"/>
          <w:szCs w:val="20"/>
        </w:rPr>
      </w:pPr>
    </w:p>
    <w:sectPr w:rsidR="004D634A" w:rsidSect="003C5F72">
      <w:footerReference w:type="default" r:id="rId8"/>
      <w:type w:val="continuous"/>
      <w:pgSz w:w="11910" w:h="16840" w:code="9"/>
      <w:pgMar w:top="1418" w:right="1418" w:bottom="1418" w:left="1418" w:header="851"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4323" w14:textId="77777777" w:rsidR="006A1CB9" w:rsidRDefault="006A1CB9">
      <w:pPr>
        <w:spacing w:line="240" w:lineRule="auto"/>
      </w:pPr>
      <w:r>
        <w:separator/>
      </w:r>
    </w:p>
  </w:endnote>
  <w:endnote w:type="continuationSeparator" w:id="0">
    <w:p w14:paraId="38F3D910" w14:textId="77777777" w:rsidR="006A1CB9" w:rsidRDefault="006A1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270408"/>
      <w:docPartObj>
        <w:docPartGallery w:val="Page Numbers (Bottom of Page)"/>
        <w:docPartUnique/>
      </w:docPartObj>
    </w:sdtPr>
    <w:sdtEndPr>
      <w:rPr>
        <w:rFonts w:asciiTheme="minorHAnsi" w:hAnsiTheme="minorHAnsi"/>
        <w:noProof/>
        <w:sz w:val="20"/>
        <w:szCs w:val="20"/>
      </w:rPr>
    </w:sdtEndPr>
    <w:sdtContent>
      <w:p w14:paraId="6066CC5D" w14:textId="01527372" w:rsidR="000E5B90" w:rsidRPr="00D41266" w:rsidRDefault="00D41266" w:rsidP="00D41266">
        <w:pPr>
          <w:pStyle w:val="Footer"/>
          <w:jc w:val="center"/>
          <w:rPr>
            <w:rFonts w:asciiTheme="minorHAnsi" w:hAnsiTheme="minorHAnsi"/>
            <w:sz w:val="20"/>
            <w:szCs w:val="20"/>
          </w:rPr>
        </w:pPr>
        <w:r w:rsidRPr="00D41266">
          <w:rPr>
            <w:rFonts w:asciiTheme="minorHAnsi" w:hAnsiTheme="minorHAnsi"/>
            <w:sz w:val="20"/>
            <w:szCs w:val="20"/>
          </w:rPr>
          <w:fldChar w:fldCharType="begin"/>
        </w:r>
        <w:r w:rsidRPr="00D41266">
          <w:rPr>
            <w:rFonts w:asciiTheme="minorHAnsi" w:hAnsiTheme="minorHAnsi"/>
            <w:sz w:val="20"/>
            <w:szCs w:val="20"/>
          </w:rPr>
          <w:instrText xml:space="preserve"> PAGE   \* MERGEFORMAT </w:instrText>
        </w:r>
        <w:r w:rsidRPr="00D41266">
          <w:rPr>
            <w:rFonts w:asciiTheme="minorHAnsi" w:hAnsiTheme="minorHAnsi"/>
            <w:sz w:val="20"/>
            <w:szCs w:val="20"/>
          </w:rPr>
          <w:fldChar w:fldCharType="separate"/>
        </w:r>
        <w:r w:rsidRPr="00D41266">
          <w:rPr>
            <w:rFonts w:asciiTheme="minorHAnsi" w:hAnsiTheme="minorHAnsi"/>
            <w:noProof/>
            <w:sz w:val="20"/>
            <w:szCs w:val="20"/>
          </w:rPr>
          <w:t>2</w:t>
        </w:r>
        <w:r w:rsidRPr="00D41266">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C814" w14:textId="77777777" w:rsidR="006A1CB9" w:rsidRDefault="006A1CB9">
      <w:pPr>
        <w:spacing w:line="240" w:lineRule="auto"/>
      </w:pPr>
      <w:r>
        <w:separator/>
      </w:r>
    </w:p>
  </w:footnote>
  <w:footnote w:type="continuationSeparator" w:id="0">
    <w:p w14:paraId="4963DB88" w14:textId="77777777" w:rsidR="006A1CB9" w:rsidRDefault="006A1CB9">
      <w:pPr>
        <w:spacing w:line="240" w:lineRule="auto"/>
      </w:pPr>
      <w:r>
        <w:continuationSeparator/>
      </w:r>
    </w:p>
  </w:footnote>
  <w:footnote w:id="1">
    <w:p w14:paraId="0A324248" w14:textId="5B0482E4" w:rsidR="00BA221A" w:rsidRPr="001C5E52" w:rsidRDefault="00BA221A" w:rsidP="00BA221A">
      <w:pPr>
        <w:widowControl w:val="0"/>
        <w:ind w:right="1518"/>
        <w:jc w:val="both"/>
        <w:rPr>
          <w:rFonts w:ascii="Cambria" w:hAnsi="Cambria"/>
          <w:sz w:val="16"/>
          <w:szCs w:val="16"/>
        </w:rPr>
      </w:pPr>
      <w:r w:rsidRPr="001C5E52">
        <w:rPr>
          <w:rStyle w:val="FootnoteReference"/>
          <w:rFonts w:ascii="Cambria" w:hAnsi="Cambria"/>
          <w:sz w:val="16"/>
          <w:szCs w:val="16"/>
        </w:rPr>
        <w:footnoteRef/>
      </w:r>
      <w:r w:rsidRPr="001C5E52">
        <w:rPr>
          <w:rFonts w:ascii="Cambria" w:hAnsi="Cambria"/>
          <w:sz w:val="16"/>
          <w:szCs w:val="16"/>
        </w:rPr>
        <w:t xml:space="preserve"> </w:t>
      </w:r>
      <w:r w:rsidRPr="006975A5">
        <w:rPr>
          <w:rFonts w:ascii="Cambria" w:eastAsia="Cambria" w:hAnsi="Cambria" w:cs="Cambria"/>
          <w:sz w:val="16"/>
          <w:szCs w:val="16"/>
        </w:rPr>
        <w:t xml:space="preserve">Cette mesure a été abrogée et remplacée </w:t>
      </w:r>
      <w:r w:rsidR="003818BC">
        <w:rPr>
          <w:rFonts w:ascii="Cambria" w:eastAsia="Cambria" w:hAnsi="Cambria" w:cs="Cambria"/>
          <w:sz w:val="16"/>
          <w:szCs w:val="16"/>
        </w:rPr>
        <w:t>successivement</w:t>
      </w:r>
      <w:r>
        <w:rPr>
          <w:rFonts w:ascii="Cambria" w:eastAsia="Cambria" w:hAnsi="Cambria" w:cs="Cambria"/>
          <w:sz w:val="16"/>
          <w:szCs w:val="16"/>
        </w:rPr>
        <w:t xml:space="preserve"> </w:t>
      </w:r>
      <w:r w:rsidRPr="006975A5">
        <w:rPr>
          <w:rFonts w:ascii="Cambria" w:eastAsia="Cambria" w:hAnsi="Cambria" w:cs="Cambria"/>
          <w:sz w:val="16"/>
          <w:szCs w:val="16"/>
        </w:rPr>
        <w:t>par</w:t>
      </w:r>
      <w:r>
        <w:rPr>
          <w:rFonts w:ascii="Cambria" w:eastAsia="Cambria" w:hAnsi="Cambria" w:cs="Cambria"/>
          <w:sz w:val="16"/>
          <w:szCs w:val="16"/>
        </w:rPr>
        <w:t xml:space="preserve"> les Recommandations </w:t>
      </w:r>
      <w:r w:rsidRPr="001C5E52">
        <w:rPr>
          <w:rFonts w:ascii="Cambria" w:eastAsia="Cambria" w:hAnsi="Cambria" w:cs="Cambria"/>
          <w:sz w:val="16"/>
          <w:szCs w:val="16"/>
        </w:rPr>
        <w:t xml:space="preserve">21-13 </w:t>
      </w:r>
      <w:r>
        <w:rPr>
          <w:rFonts w:ascii="Cambria" w:eastAsia="Cambria" w:hAnsi="Cambria" w:cs="Cambria"/>
          <w:sz w:val="16"/>
          <w:szCs w:val="16"/>
        </w:rPr>
        <w:t xml:space="preserve">et </w:t>
      </w:r>
      <w:r w:rsidRPr="001C5E52">
        <w:rPr>
          <w:rFonts w:ascii="Cambria" w:eastAsia="Cambria" w:hAnsi="Cambria" w:cs="Cambria"/>
          <w:sz w:val="16"/>
          <w:szCs w:val="16"/>
        </w:rPr>
        <w:t>23-16.</w:t>
      </w:r>
    </w:p>
  </w:footnote>
  <w:footnote w:id="2">
    <w:p w14:paraId="2B9A983C" w14:textId="77777777" w:rsidR="003818BC" w:rsidRPr="00105F36" w:rsidRDefault="003818BC" w:rsidP="003818BC">
      <w:pPr>
        <w:pStyle w:val="FootnoteText"/>
      </w:pPr>
      <w:r w:rsidRPr="001C5E52">
        <w:rPr>
          <w:rStyle w:val="FootnoteReference"/>
          <w:rFonts w:ascii="Cambria" w:hAnsi="Cambria"/>
          <w:sz w:val="16"/>
          <w:szCs w:val="16"/>
        </w:rPr>
        <w:footnoteRef/>
      </w:r>
      <w:r w:rsidRPr="001C5E52">
        <w:rPr>
          <w:rFonts w:ascii="Cambria" w:hAnsi="Cambria"/>
          <w:sz w:val="16"/>
          <w:szCs w:val="16"/>
        </w:rPr>
        <w:t xml:space="preserve"> </w:t>
      </w:r>
      <w:r w:rsidRPr="00006D69">
        <w:rPr>
          <w:rFonts w:ascii="Cambria" w:hAnsi="Cambria"/>
          <w:sz w:val="16"/>
          <w:szCs w:val="16"/>
        </w:rPr>
        <w:t>Cette mesure a été abrogée et remplacée par la Recommandation</w:t>
      </w:r>
      <w:r w:rsidRPr="001C5E52">
        <w:rPr>
          <w:rFonts w:ascii="Cambria" w:hAnsi="Cambria"/>
          <w:sz w:val="16"/>
          <w:szCs w:val="16"/>
        </w:rPr>
        <w:t>. 22-14.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64B5"/>
    <w:multiLevelType w:val="hybridMultilevel"/>
    <w:tmpl w:val="1F14980E"/>
    <w:lvl w:ilvl="0" w:tplc="DE480120">
      <w:start w:val="1"/>
      <w:numFmt w:val="decimal"/>
      <w:lvlText w:val="%1."/>
      <w:lvlJc w:val="left"/>
      <w:pPr>
        <w:ind w:left="720" w:hanging="360"/>
      </w:pPr>
      <w:rPr>
        <w:rFonts w:ascii="Cambria" w:hAnsi="Cambria" w:hint="default"/>
        <w:b w:val="0"/>
        <w:i w:val="0"/>
        <w:sz w:val="20"/>
      </w:rPr>
    </w:lvl>
    <w:lvl w:ilvl="1" w:tplc="F0FCA412">
      <w:start w:val="1"/>
      <w:numFmt w:val="lowerRoman"/>
      <w:lvlText w:val="%2)"/>
      <w:lvlJc w:val="left"/>
      <w:pPr>
        <w:ind w:left="1440" w:hanging="360"/>
      </w:pPr>
      <w:rPr>
        <w:rFonts w:ascii="Cambria" w:eastAsia="Times New Roman" w:hAnsi="Cambri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11A96"/>
    <w:multiLevelType w:val="multilevel"/>
    <w:tmpl w:val="F15043D8"/>
    <w:lvl w:ilvl="0">
      <w:start w:val="1"/>
      <w:numFmt w:val="decimal"/>
      <w:lvlText w:val="%1."/>
      <w:lvlJc w:val="left"/>
      <w:pPr>
        <w:ind w:left="0" w:firstLine="0"/>
      </w:pPr>
      <w:rPr>
        <w:rFonts w:asciiTheme="minorHAnsi" w:eastAsia="Times New Roman" w:hAnsiTheme="minorHAnsi" w:cs="Times New Roman" w:hint="default"/>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B018AF"/>
    <w:multiLevelType w:val="multilevel"/>
    <w:tmpl w:val="B6CEADC6"/>
    <w:lvl w:ilvl="0">
      <w:start w:val="13"/>
      <w:numFmt w:val="decimal"/>
      <w:lvlText w:val="%1."/>
      <w:lvlJc w:val="left"/>
      <w:pPr>
        <w:ind w:left="360" w:hanging="360"/>
      </w:pPr>
      <w:rPr>
        <w:rFonts w:ascii="Cambria" w:hAnsi="Cambria" w:hint="default"/>
        <w:sz w:val="20"/>
        <w:szCs w:val="20"/>
      </w:rPr>
    </w:lvl>
    <w:lvl w:ilvl="1">
      <w:start w:val="1"/>
      <w:numFmt w:val="lowerLetter"/>
      <w:lvlText w:val="%2)"/>
      <w:lvlJc w:val="left"/>
      <w:pPr>
        <w:ind w:left="720" w:hanging="360"/>
      </w:pPr>
      <w:rPr>
        <w:rFonts w:ascii="Times New Roman" w:eastAsia="Times New Roman" w:hAnsi="Times New Roman" w:cs="Times New Roman" w:hint="default"/>
        <w:sz w:val="20"/>
        <w:szCs w:val="20"/>
      </w:rPr>
    </w:lvl>
    <w:lvl w:ilvl="2">
      <w:start w:val="1"/>
      <w:numFmt w:val="bullet"/>
      <w:lvlText w:val="•"/>
      <w:lvlJc w:val="left"/>
      <w:pPr>
        <w:ind w:left="1662" w:hanging="360"/>
      </w:pPr>
      <w:rPr>
        <w:rFonts w:hint="default"/>
      </w:rPr>
    </w:lvl>
    <w:lvl w:ilvl="3">
      <w:start w:val="1"/>
      <w:numFmt w:val="bullet"/>
      <w:lvlText w:val="•"/>
      <w:lvlJc w:val="left"/>
      <w:pPr>
        <w:ind w:left="2602" w:hanging="360"/>
      </w:pPr>
      <w:rPr>
        <w:rFonts w:hint="default"/>
      </w:rPr>
    </w:lvl>
    <w:lvl w:ilvl="4">
      <w:start w:val="1"/>
      <w:numFmt w:val="bullet"/>
      <w:lvlText w:val="•"/>
      <w:lvlJc w:val="left"/>
      <w:pPr>
        <w:ind w:left="3543" w:hanging="360"/>
      </w:pPr>
      <w:rPr>
        <w:rFonts w:hint="default"/>
      </w:rPr>
    </w:lvl>
    <w:lvl w:ilvl="5">
      <w:start w:val="1"/>
      <w:numFmt w:val="bullet"/>
      <w:lvlText w:val="•"/>
      <w:lvlJc w:val="left"/>
      <w:pPr>
        <w:ind w:left="4483" w:hanging="360"/>
      </w:pPr>
      <w:rPr>
        <w:rFonts w:hint="default"/>
      </w:rPr>
    </w:lvl>
    <w:lvl w:ilvl="6">
      <w:start w:val="1"/>
      <w:numFmt w:val="bullet"/>
      <w:lvlText w:val="•"/>
      <w:lvlJc w:val="left"/>
      <w:pPr>
        <w:ind w:left="5424" w:hanging="360"/>
      </w:pPr>
      <w:rPr>
        <w:rFonts w:hint="default"/>
      </w:rPr>
    </w:lvl>
    <w:lvl w:ilvl="7">
      <w:start w:val="1"/>
      <w:numFmt w:val="bullet"/>
      <w:lvlText w:val="•"/>
      <w:lvlJc w:val="left"/>
      <w:pPr>
        <w:ind w:left="6364" w:hanging="360"/>
      </w:pPr>
      <w:rPr>
        <w:rFonts w:hint="default"/>
      </w:rPr>
    </w:lvl>
    <w:lvl w:ilvl="8">
      <w:start w:val="1"/>
      <w:numFmt w:val="bullet"/>
      <w:lvlText w:val="•"/>
      <w:lvlJc w:val="left"/>
      <w:pPr>
        <w:ind w:left="7305" w:hanging="360"/>
      </w:pPr>
      <w:rPr>
        <w:rFonts w:hint="default"/>
      </w:rPr>
    </w:lvl>
  </w:abstractNum>
  <w:abstractNum w:abstractNumId="3" w15:restartNumberingAfterBreak="0">
    <w:nsid w:val="3BD778F7"/>
    <w:multiLevelType w:val="multilevel"/>
    <w:tmpl w:val="31EA3A2C"/>
    <w:lvl w:ilvl="0">
      <w:start w:val="1"/>
      <w:numFmt w:val="decimal"/>
      <w:lvlText w:val="%1."/>
      <w:lvlJc w:val="left"/>
      <w:pPr>
        <w:ind w:left="478" w:hanging="360"/>
      </w:pPr>
      <w:rPr>
        <w:rFonts w:asciiTheme="minorHAnsi" w:eastAsia="Times New Roman" w:hAnsiTheme="minorHAnsi" w:cs="Times New Roman" w:hint="default"/>
        <w:sz w:val="20"/>
        <w:szCs w:val="20"/>
      </w:rPr>
    </w:lvl>
    <w:lvl w:ilvl="1">
      <w:start w:val="1"/>
      <w:numFmt w:val="lowerLetter"/>
      <w:lvlText w:val="%2)"/>
      <w:lvlJc w:val="left"/>
      <w:pPr>
        <w:ind w:left="838" w:hanging="360"/>
      </w:pPr>
      <w:rPr>
        <w:rFonts w:ascii="Times New Roman" w:eastAsia="Times New Roman" w:hAnsi="Times New Roman" w:cs="Times New Roman"/>
        <w:sz w:val="20"/>
        <w:szCs w:val="20"/>
      </w:rPr>
    </w:lvl>
    <w:lvl w:ilvl="2">
      <w:start w:val="1"/>
      <w:numFmt w:val="bullet"/>
      <w:lvlText w:val="•"/>
      <w:lvlJc w:val="left"/>
      <w:pPr>
        <w:ind w:left="1780" w:hanging="360"/>
      </w:pPr>
    </w:lvl>
    <w:lvl w:ilvl="3">
      <w:start w:val="1"/>
      <w:numFmt w:val="bullet"/>
      <w:lvlText w:val="•"/>
      <w:lvlJc w:val="left"/>
      <w:pPr>
        <w:ind w:left="2720" w:hanging="360"/>
      </w:pPr>
    </w:lvl>
    <w:lvl w:ilvl="4">
      <w:start w:val="1"/>
      <w:numFmt w:val="bullet"/>
      <w:lvlText w:val="•"/>
      <w:lvlJc w:val="left"/>
      <w:pPr>
        <w:ind w:left="3661" w:hanging="360"/>
      </w:pPr>
    </w:lvl>
    <w:lvl w:ilvl="5">
      <w:start w:val="1"/>
      <w:numFmt w:val="bullet"/>
      <w:lvlText w:val="•"/>
      <w:lvlJc w:val="left"/>
      <w:pPr>
        <w:ind w:left="4601" w:hanging="360"/>
      </w:pPr>
    </w:lvl>
    <w:lvl w:ilvl="6">
      <w:start w:val="1"/>
      <w:numFmt w:val="bullet"/>
      <w:lvlText w:val="•"/>
      <w:lvlJc w:val="left"/>
      <w:pPr>
        <w:ind w:left="5542" w:hanging="360"/>
      </w:pPr>
    </w:lvl>
    <w:lvl w:ilvl="7">
      <w:start w:val="1"/>
      <w:numFmt w:val="bullet"/>
      <w:lvlText w:val="•"/>
      <w:lvlJc w:val="left"/>
      <w:pPr>
        <w:ind w:left="6482" w:hanging="360"/>
      </w:pPr>
    </w:lvl>
    <w:lvl w:ilvl="8">
      <w:start w:val="1"/>
      <w:numFmt w:val="bullet"/>
      <w:lvlText w:val="•"/>
      <w:lvlJc w:val="left"/>
      <w:pPr>
        <w:ind w:left="7423" w:hanging="360"/>
      </w:pPr>
    </w:lvl>
  </w:abstractNum>
  <w:abstractNum w:abstractNumId="4" w15:restartNumberingAfterBreak="0">
    <w:nsid w:val="3F24090A"/>
    <w:multiLevelType w:val="multilevel"/>
    <w:tmpl w:val="0C44CA5A"/>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FF568C0"/>
    <w:multiLevelType w:val="hybridMultilevel"/>
    <w:tmpl w:val="8182BABE"/>
    <w:lvl w:ilvl="0" w:tplc="783E7BD8">
      <w:start w:val="9"/>
      <w:numFmt w:val="lowerLetter"/>
      <w:lvlText w:val="%1)"/>
      <w:lvlJc w:val="left"/>
      <w:pPr>
        <w:ind w:left="1780" w:hanging="360"/>
      </w:pPr>
      <w:rPr>
        <w:rFonts w:hint="default"/>
      </w:rPr>
    </w:lvl>
    <w:lvl w:ilvl="1" w:tplc="040C0019" w:tentative="1">
      <w:start w:val="1"/>
      <w:numFmt w:val="lowerLetter"/>
      <w:lvlText w:val="%2."/>
      <w:lvlJc w:val="left"/>
      <w:pPr>
        <w:ind w:left="2500" w:hanging="360"/>
      </w:pPr>
    </w:lvl>
    <w:lvl w:ilvl="2" w:tplc="040C001B" w:tentative="1">
      <w:start w:val="1"/>
      <w:numFmt w:val="lowerRoman"/>
      <w:lvlText w:val="%3."/>
      <w:lvlJc w:val="right"/>
      <w:pPr>
        <w:ind w:left="3220" w:hanging="180"/>
      </w:pPr>
    </w:lvl>
    <w:lvl w:ilvl="3" w:tplc="040C000F" w:tentative="1">
      <w:start w:val="1"/>
      <w:numFmt w:val="decimal"/>
      <w:lvlText w:val="%4."/>
      <w:lvlJc w:val="left"/>
      <w:pPr>
        <w:ind w:left="3940" w:hanging="360"/>
      </w:pPr>
    </w:lvl>
    <w:lvl w:ilvl="4" w:tplc="040C0019" w:tentative="1">
      <w:start w:val="1"/>
      <w:numFmt w:val="lowerLetter"/>
      <w:lvlText w:val="%5."/>
      <w:lvlJc w:val="left"/>
      <w:pPr>
        <w:ind w:left="4660" w:hanging="360"/>
      </w:pPr>
    </w:lvl>
    <w:lvl w:ilvl="5" w:tplc="040C001B" w:tentative="1">
      <w:start w:val="1"/>
      <w:numFmt w:val="lowerRoman"/>
      <w:lvlText w:val="%6."/>
      <w:lvlJc w:val="right"/>
      <w:pPr>
        <w:ind w:left="5380" w:hanging="180"/>
      </w:pPr>
    </w:lvl>
    <w:lvl w:ilvl="6" w:tplc="040C000F" w:tentative="1">
      <w:start w:val="1"/>
      <w:numFmt w:val="decimal"/>
      <w:lvlText w:val="%7."/>
      <w:lvlJc w:val="left"/>
      <w:pPr>
        <w:ind w:left="6100" w:hanging="360"/>
      </w:pPr>
    </w:lvl>
    <w:lvl w:ilvl="7" w:tplc="040C0019" w:tentative="1">
      <w:start w:val="1"/>
      <w:numFmt w:val="lowerLetter"/>
      <w:lvlText w:val="%8."/>
      <w:lvlJc w:val="left"/>
      <w:pPr>
        <w:ind w:left="6820" w:hanging="360"/>
      </w:pPr>
    </w:lvl>
    <w:lvl w:ilvl="8" w:tplc="040C001B" w:tentative="1">
      <w:start w:val="1"/>
      <w:numFmt w:val="lowerRoman"/>
      <w:lvlText w:val="%9."/>
      <w:lvlJc w:val="right"/>
      <w:pPr>
        <w:ind w:left="7540" w:hanging="180"/>
      </w:pPr>
    </w:lvl>
  </w:abstractNum>
  <w:abstractNum w:abstractNumId="6" w15:restartNumberingAfterBreak="0">
    <w:nsid w:val="5A2C1949"/>
    <w:multiLevelType w:val="multilevel"/>
    <w:tmpl w:val="54B4F754"/>
    <w:lvl w:ilvl="0">
      <w:start w:val="1"/>
      <w:numFmt w:val="bullet"/>
      <w:lvlText w:val="−"/>
      <w:lvlJc w:val="left"/>
      <w:pPr>
        <w:ind w:left="823" w:hanging="350"/>
      </w:pPr>
      <w:rPr>
        <w:rFonts w:ascii="Times New Roman" w:eastAsia="Times New Roman" w:hAnsi="Times New Roman" w:cs="Times New Roman"/>
        <w:sz w:val="20"/>
        <w:szCs w:val="20"/>
      </w:rPr>
    </w:lvl>
    <w:lvl w:ilvl="1">
      <w:start w:val="1"/>
      <w:numFmt w:val="bullet"/>
      <w:lvlText w:val="•"/>
      <w:lvlJc w:val="left"/>
      <w:pPr>
        <w:ind w:left="1668" w:hanging="350"/>
      </w:pPr>
    </w:lvl>
    <w:lvl w:ilvl="2">
      <w:start w:val="1"/>
      <w:numFmt w:val="bullet"/>
      <w:lvlText w:val="•"/>
      <w:lvlJc w:val="left"/>
      <w:pPr>
        <w:ind w:left="2516" w:hanging="350"/>
      </w:pPr>
    </w:lvl>
    <w:lvl w:ilvl="3">
      <w:start w:val="1"/>
      <w:numFmt w:val="bullet"/>
      <w:lvlText w:val="•"/>
      <w:lvlJc w:val="left"/>
      <w:pPr>
        <w:ind w:left="3365" w:hanging="350"/>
      </w:pPr>
    </w:lvl>
    <w:lvl w:ilvl="4">
      <w:start w:val="1"/>
      <w:numFmt w:val="bullet"/>
      <w:lvlText w:val="•"/>
      <w:lvlJc w:val="left"/>
      <w:pPr>
        <w:ind w:left="4213" w:hanging="350"/>
      </w:pPr>
    </w:lvl>
    <w:lvl w:ilvl="5">
      <w:start w:val="1"/>
      <w:numFmt w:val="bullet"/>
      <w:lvlText w:val="•"/>
      <w:lvlJc w:val="left"/>
      <w:pPr>
        <w:ind w:left="5062" w:hanging="350"/>
      </w:pPr>
    </w:lvl>
    <w:lvl w:ilvl="6">
      <w:start w:val="1"/>
      <w:numFmt w:val="bullet"/>
      <w:lvlText w:val="•"/>
      <w:lvlJc w:val="left"/>
      <w:pPr>
        <w:ind w:left="5910" w:hanging="350"/>
      </w:pPr>
    </w:lvl>
    <w:lvl w:ilvl="7">
      <w:start w:val="1"/>
      <w:numFmt w:val="bullet"/>
      <w:lvlText w:val="•"/>
      <w:lvlJc w:val="left"/>
      <w:pPr>
        <w:ind w:left="6759" w:hanging="350"/>
      </w:pPr>
    </w:lvl>
    <w:lvl w:ilvl="8">
      <w:start w:val="1"/>
      <w:numFmt w:val="bullet"/>
      <w:lvlText w:val="•"/>
      <w:lvlJc w:val="left"/>
      <w:pPr>
        <w:ind w:left="7607" w:hanging="350"/>
      </w:pPr>
    </w:lvl>
  </w:abstractNum>
  <w:abstractNum w:abstractNumId="7" w15:restartNumberingAfterBreak="0">
    <w:nsid w:val="5E2446E7"/>
    <w:multiLevelType w:val="hybridMultilevel"/>
    <w:tmpl w:val="501CB60A"/>
    <w:lvl w:ilvl="0" w:tplc="0809000F">
      <w:start w:val="1"/>
      <w:numFmt w:val="decimal"/>
      <w:lvlText w:val="%1."/>
      <w:lvlJc w:val="left"/>
      <w:pPr>
        <w:ind w:left="5180" w:hanging="360"/>
      </w:pPr>
    </w:lvl>
    <w:lvl w:ilvl="1" w:tplc="08090019">
      <w:start w:val="1"/>
      <w:numFmt w:val="lowerLetter"/>
      <w:lvlText w:val="%2."/>
      <w:lvlJc w:val="left"/>
      <w:pPr>
        <w:ind w:left="448" w:hanging="360"/>
      </w:pPr>
    </w:lvl>
    <w:lvl w:ilvl="2" w:tplc="0809001B">
      <w:start w:val="1"/>
      <w:numFmt w:val="lowerRoman"/>
      <w:lvlText w:val="%3."/>
      <w:lvlJc w:val="right"/>
      <w:pPr>
        <w:ind w:left="1168" w:hanging="180"/>
      </w:pPr>
    </w:lvl>
    <w:lvl w:ilvl="3" w:tplc="0809000F">
      <w:start w:val="1"/>
      <w:numFmt w:val="decimal"/>
      <w:lvlText w:val="%4."/>
      <w:lvlJc w:val="left"/>
      <w:pPr>
        <w:ind w:left="1888" w:hanging="360"/>
      </w:pPr>
    </w:lvl>
    <w:lvl w:ilvl="4" w:tplc="08090019">
      <w:start w:val="1"/>
      <w:numFmt w:val="lowerLetter"/>
      <w:lvlText w:val="%5."/>
      <w:lvlJc w:val="left"/>
      <w:pPr>
        <w:ind w:left="2608" w:hanging="360"/>
      </w:pPr>
    </w:lvl>
    <w:lvl w:ilvl="5" w:tplc="0809001B">
      <w:start w:val="1"/>
      <w:numFmt w:val="lowerRoman"/>
      <w:lvlText w:val="%6."/>
      <w:lvlJc w:val="right"/>
      <w:pPr>
        <w:ind w:left="3328" w:hanging="180"/>
      </w:pPr>
    </w:lvl>
    <w:lvl w:ilvl="6" w:tplc="0809000F">
      <w:start w:val="1"/>
      <w:numFmt w:val="decimal"/>
      <w:lvlText w:val="%7."/>
      <w:lvlJc w:val="left"/>
      <w:pPr>
        <w:ind w:left="4048" w:hanging="360"/>
      </w:pPr>
    </w:lvl>
    <w:lvl w:ilvl="7" w:tplc="08090019">
      <w:start w:val="1"/>
      <w:numFmt w:val="lowerLetter"/>
      <w:lvlText w:val="%8."/>
      <w:lvlJc w:val="left"/>
      <w:pPr>
        <w:ind w:left="4768" w:hanging="360"/>
      </w:pPr>
    </w:lvl>
    <w:lvl w:ilvl="8" w:tplc="0809001B">
      <w:start w:val="1"/>
      <w:numFmt w:val="lowerRoman"/>
      <w:lvlText w:val="%9."/>
      <w:lvlJc w:val="right"/>
      <w:pPr>
        <w:ind w:left="5488" w:hanging="180"/>
      </w:pPr>
    </w:lvl>
  </w:abstractNum>
  <w:abstractNum w:abstractNumId="8" w15:restartNumberingAfterBreak="0">
    <w:nsid w:val="63894A27"/>
    <w:multiLevelType w:val="multilevel"/>
    <w:tmpl w:val="E5A2375C"/>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9A86768"/>
    <w:multiLevelType w:val="multilevel"/>
    <w:tmpl w:val="92F0AC58"/>
    <w:lvl w:ilvl="0">
      <w:start w:val="1"/>
      <w:numFmt w:val="lowerRoman"/>
      <w:lvlText w:val="%1)"/>
      <w:lvlJc w:val="left"/>
      <w:pPr>
        <w:ind w:left="838" w:hanging="361"/>
      </w:pPr>
      <w:rPr>
        <w:rFonts w:ascii="Times New Roman" w:eastAsia="Times New Roman" w:hAnsi="Times New Roman" w:cs="Times New Roman"/>
        <w:sz w:val="20"/>
        <w:szCs w:val="20"/>
      </w:rPr>
    </w:lvl>
    <w:lvl w:ilvl="1">
      <w:start w:val="1"/>
      <w:numFmt w:val="bullet"/>
      <w:lvlText w:val="•"/>
      <w:lvlJc w:val="left"/>
      <w:pPr>
        <w:ind w:left="1686" w:hanging="361"/>
      </w:pPr>
    </w:lvl>
    <w:lvl w:ilvl="2">
      <w:start w:val="1"/>
      <w:numFmt w:val="bullet"/>
      <w:lvlText w:val="•"/>
      <w:lvlJc w:val="left"/>
      <w:pPr>
        <w:ind w:left="2532" w:hanging="361"/>
      </w:pPr>
    </w:lvl>
    <w:lvl w:ilvl="3">
      <w:start w:val="1"/>
      <w:numFmt w:val="bullet"/>
      <w:lvlText w:val="•"/>
      <w:lvlJc w:val="left"/>
      <w:pPr>
        <w:ind w:left="3379" w:hanging="361"/>
      </w:pPr>
    </w:lvl>
    <w:lvl w:ilvl="4">
      <w:start w:val="1"/>
      <w:numFmt w:val="bullet"/>
      <w:lvlText w:val="•"/>
      <w:lvlJc w:val="left"/>
      <w:pPr>
        <w:ind w:left="4225" w:hanging="361"/>
      </w:pPr>
    </w:lvl>
    <w:lvl w:ilvl="5">
      <w:start w:val="1"/>
      <w:numFmt w:val="bullet"/>
      <w:lvlText w:val="•"/>
      <w:lvlJc w:val="left"/>
      <w:pPr>
        <w:ind w:left="5072" w:hanging="361"/>
      </w:pPr>
    </w:lvl>
    <w:lvl w:ilvl="6">
      <w:start w:val="1"/>
      <w:numFmt w:val="bullet"/>
      <w:lvlText w:val="•"/>
      <w:lvlJc w:val="left"/>
      <w:pPr>
        <w:ind w:left="5918" w:hanging="361"/>
      </w:pPr>
    </w:lvl>
    <w:lvl w:ilvl="7">
      <w:start w:val="1"/>
      <w:numFmt w:val="bullet"/>
      <w:lvlText w:val="•"/>
      <w:lvlJc w:val="left"/>
      <w:pPr>
        <w:ind w:left="6765" w:hanging="361"/>
      </w:pPr>
    </w:lvl>
    <w:lvl w:ilvl="8">
      <w:start w:val="1"/>
      <w:numFmt w:val="bullet"/>
      <w:lvlText w:val="•"/>
      <w:lvlJc w:val="left"/>
      <w:pPr>
        <w:ind w:left="7611" w:hanging="361"/>
      </w:pPr>
    </w:lvl>
  </w:abstractNum>
  <w:abstractNum w:abstractNumId="10" w15:restartNumberingAfterBreak="0">
    <w:nsid w:val="79D94AF6"/>
    <w:multiLevelType w:val="multilevel"/>
    <w:tmpl w:val="7CBCD326"/>
    <w:lvl w:ilvl="0">
      <w:start w:val="14"/>
      <w:numFmt w:val="decimal"/>
      <w:lvlText w:val="%1."/>
      <w:lvlJc w:val="left"/>
      <w:pPr>
        <w:ind w:left="478" w:hanging="360"/>
      </w:pPr>
      <w:rPr>
        <w:rFonts w:asciiTheme="minorHAnsi" w:eastAsia="Times New Roman" w:hAnsiTheme="minorHAnsi" w:cs="Times New Roman" w:hint="default"/>
        <w:sz w:val="20"/>
        <w:szCs w:val="20"/>
      </w:rPr>
    </w:lvl>
    <w:lvl w:ilvl="1">
      <w:start w:val="1"/>
      <w:numFmt w:val="lowerLetter"/>
      <w:lvlText w:val="%2)"/>
      <w:lvlJc w:val="left"/>
      <w:pPr>
        <w:ind w:left="838" w:hanging="360"/>
      </w:pPr>
      <w:rPr>
        <w:rFonts w:ascii="Times New Roman" w:eastAsia="Times New Roman" w:hAnsi="Times New Roman" w:cs="Times New Roman" w:hint="default"/>
        <w:sz w:val="20"/>
        <w:szCs w:val="20"/>
      </w:rPr>
    </w:lvl>
    <w:lvl w:ilvl="2">
      <w:start w:val="1"/>
      <w:numFmt w:val="bullet"/>
      <w:lvlText w:val="•"/>
      <w:lvlJc w:val="left"/>
      <w:pPr>
        <w:ind w:left="1780" w:hanging="360"/>
      </w:pPr>
      <w:rPr>
        <w:rFonts w:hint="default"/>
      </w:rPr>
    </w:lvl>
    <w:lvl w:ilvl="3">
      <w:start w:val="1"/>
      <w:numFmt w:val="bullet"/>
      <w:lvlText w:val="•"/>
      <w:lvlJc w:val="left"/>
      <w:pPr>
        <w:ind w:left="2720" w:hanging="360"/>
      </w:pPr>
      <w:rPr>
        <w:rFonts w:hint="default"/>
      </w:rPr>
    </w:lvl>
    <w:lvl w:ilvl="4">
      <w:start w:val="1"/>
      <w:numFmt w:val="bullet"/>
      <w:lvlText w:val="•"/>
      <w:lvlJc w:val="left"/>
      <w:pPr>
        <w:ind w:left="3661" w:hanging="360"/>
      </w:pPr>
      <w:rPr>
        <w:rFonts w:hint="default"/>
      </w:rPr>
    </w:lvl>
    <w:lvl w:ilvl="5">
      <w:start w:val="1"/>
      <w:numFmt w:val="bullet"/>
      <w:lvlText w:val="•"/>
      <w:lvlJc w:val="left"/>
      <w:pPr>
        <w:ind w:left="4601" w:hanging="360"/>
      </w:pPr>
      <w:rPr>
        <w:rFonts w:hint="default"/>
      </w:rPr>
    </w:lvl>
    <w:lvl w:ilvl="6">
      <w:start w:val="1"/>
      <w:numFmt w:val="bullet"/>
      <w:lvlText w:val="•"/>
      <w:lvlJc w:val="left"/>
      <w:pPr>
        <w:ind w:left="5542" w:hanging="360"/>
      </w:pPr>
      <w:rPr>
        <w:rFonts w:hint="default"/>
      </w:rPr>
    </w:lvl>
    <w:lvl w:ilvl="7">
      <w:start w:val="1"/>
      <w:numFmt w:val="bullet"/>
      <w:lvlText w:val="•"/>
      <w:lvlJc w:val="left"/>
      <w:pPr>
        <w:ind w:left="6482" w:hanging="360"/>
      </w:pPr>
      <w:rPr>
        <w:rFonts w:hint="default"/>
      </w:rPr>
    </w:lvl>
    <w:lvl w:ilvl="8">
      <w:start w:val="1"/>
      <w:numFmt w:val="bullet"/>
      <w:lvlText w:val="•"/>
      <w:lvlJc w:val="left"/>
      <w:pPr>
        <w:ind w:left="7423" w:hanging="360"/>
      </w:pPr>
      <w:rPr>
        <w:rFonts w:hint="default"/>
      </w:rPr>
    </w:lvl>
  </w:abstractNum>
  <w:abstractNum w:abstractNumId="11" w15:restartNumberingAfterBreak="0">
    <w:nsid w:val="7A7C2BC4"/>
    <w:multiLevelType w:val="hybridMultilevel"/>
    <w:tmpl w:val="CEB45E94"/>
    <w:lvl w:ilvl="0" w:tplc="221CDB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734041">
    <w:abstractNumId w:val="4"/>
  </w:num>
  <w:num w:numId="2" w16cid:durableId="1051224218">
    <w:abstractNumId w:val="1"/>
  </w:num>
  <w:num w:numId="3" w16cid:durableId="1180583680">
    <w:abstractNumId w:val="11"/>
  </w:num>
  <w:num w:numId="4" w16cid:durableId="3485312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472744">
    <w:abstractNumId w:val="8"/>
  </w:num>
  <w:num w:numId="6" w16cid:durableId="472139079">
    <w:abstractNumId w:val="6"/>
  </w:num>
  <w:num w:numId="7" w16cid:durableId="738135493">
    <w:abstractNumId w:val="3"/>
  </w:num>
  <w:num w:numId="8" w16cid:durableId="650477286">
    <w:abstractNumId w:val="9"/>
  </w:num>
  <w:num w:numId="9" w16cid:durableId="838614113">
    <w:abstractNumId w:val="5"/>
  </w:num>
  <w:num w:numId="10" w16cid:durableId="325938051">
    <w:abstractNumId w:val="2"/>
  </w:num>
  <w:num w:numId="11" w16cid:durableId="2014452051">
    <w:abstractNumId w:val="10"/>
  </w:num>
  <w:num w:numId="12" w16cid:durableId="41513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2F6"/>
    <w:rsid w:val="00000620"/>
    <w:rsid w:val="000323A6"/>
    <w:rsid w:val="00033289"/>
    <w:rsid w:val="00037105"/>
    <w:rsid w:val="0004430D"/>
    <w:rsid w:val="00061882"/>
    <w:rsid w:val="00063020"/>
    <w:rsid w:val="000651B8"/>
    <w:rsid w:val="00070933"/>
    <w:rsid w:val="000734A5"/>
    <w:rsid w:val="000762A8"/>
    <w:rsid w:val="00083F24"/>
    <w:rsid w:val="000938BA"/>
    <w:rsid w:val="000943E5"/>
    <w:rsid w:val="000A32EB"/>
    <w:rsid w:val="000A339A"/>
    <w:rsid w:val="000A5C52"/>
    <w:rsid w:val="000A5E1F"/>
    <w:rsid w:val="000A659B"/>
    <w:rsid w:val="000B1609"/>
    <w:rsid w:val="000B1A86"/>
    <w:rsid w:val="000B362A"/>
    <w:rsid w:val="000B375D"/>
    <w:rsid w:val="000B4D87"/>
    <w:rsid w:val="000B66BA"/>
    <w:rsid w:val="000C175D"/>
    <w:rsid w:val="000C1EC1"/>
    <w:rsid w:val="000C22D9"/>
    <w:rsid w:val="000C5626"/>
    <w:rsid w:val="000C7639"/>
    <w:rsid w:val="000D25A6"/>
    <w:rsid w:val="000E5B90"/>
    <w:rsid w:val="000E6D32"/>
    <w:rsid w:val="000F0D0F"/>
    <w:rsid w:val="000F3A74"/>
    <w:rsid w:val="000F7981"/>
    <w:rsid w:val="0010144B"/>
    <w:rsid w:val="0011096D"/>
    <w:rsid w:val="00111749"/>
    <w:rsid w:val="0011208D"/>
    <w:rsid w:val="00114EE5"/>
    <w:rsid w:val="00116459"/>
    <w:rsid w:val="00122541"/>
    <w:rsid w:val="0014267C"/>
    <w:rsid w:val="00142FD4"/>
    <w:rsid w:val="00146EC6"/>
    <w:rsid w:val="00156E0A"/>
    <w:rsid w:val="001630CF"/>
    <w:rsid w:val="00165006"/>
    <w:rsid w:val="00166BD4"/>
    <w:rsid w:val="0016775D"/>
    <w:rsid w:val="001759CC"/>
    <w:rsid w:val="001769B2"/>
    <w:rsid w:val="00177DDB"/>
    <w:rsid w:val="00181A85"/>
    <w:rsid w:val="00184400"/>
    <w:rsid w:val="00192990"/>
    <w:rsid w:val="001957F7"/>
    <w:rsid w:val="00195D34"/>
    <w:rsid w:val="00196FCA"/>
    <w:rsid w:val="001A121C"/>
    <w:rsid w:val="001A2F59"/>
    <w:rsid w:val="001A4EEA"/>
    <w:rsid w:val="001B18B0"/>
    <w:rsid w:val="001B3A4E"/>
    <w:rsid w:val="001B4793"/>
    <w:rsid w:val="001C7450"/>
    <w:rsid w:val="001C7CA0"/>
    <w:rsid w:val="001D54B7"/>
    <w:rsid w:val="001E104D"/>
    <w:rsid w:val="001E6369"/>
    <w:rsid w:val="001F01EE"/>
    <w:rsid w:val="001F62CC"/>
    <w:rsid w:val="00200024"/>
    <w:rsid w:val="00200764"/>
    <w:rsid w:val="00206F9E"/>
    <w:rsid w:val="00211DA1"/>
    <w:rsid w:val="00227FD8"/>
    <w:rsid w:val="002353D6"/>
    <w:rsid w:val="002427C0"/>
    <w:rsid w:val="00243E84"/>
    <w:rsid w:val="002511D6"/>
    <w:rsid w:val="002679E3"/>
    <w:rsid w:val="00276A4D"/>
    <w:rsid w:val="002938A1"/>
    <w:rsid w:val="002A020C"/>
    <w:rsid w:val="002A242C"/>
    <w:rsid w:val="002A5D4C"/>
    <w:rsid w:val="002B5C44"/>
    <w:rsid w:val="002C00CD"/>
    <w:rsid w:val="002C1EC6"/>
    <w:rsid w:val="002C2510"/>
    <w:rsid w:val="002C3902"/>
    <w:rsid w:val="002C6A9B"/>
    <w:rsid w:val="002D29BA"/>
    <w:rsid w:val="002D4995"/>
    <w:rsid w:val="002D78B7"/>
    <w:rsid w:val="002E143B"/>
    <w:rsid w:val="002E37E0"/>
    <w:rsid w:val="002E4151"/>
    <w:rsid w:val="002F3CD7"/>
    <w:rsid w:val="003051F8"/>
    <w:rsid w:val="003135B6"/>
    <w:rsid w:val="00317D9F"/>
    <w:rsid w:val="00322651"/>
    <w:rsid w:val="00324AD3"/>
    <w:rsid w:val="00331F80"/>
    <w:rsid w:val="0033711D"/>
    <w:rsid w:val="00340119"/>
    <w:rsid w:val="003404BF"/>
    <w:rsid w:val="003502F9"/>
    <w:rsid w:val="003674EF"/>
    <w:rsid w:val="0037442D"/>
    <w:rsid w:val="00376498"/>
    <w:rsid w:val="00377604"/>
    <w:rsid w:val="003808C1"/>
    <w:rsid w:val="003818BC"/>
    <w:rsid w:val="0039020F"/>
    <w:rsid w:val="003944DF"/>
    <w:rsid w:val="00395D6F"/>
    <w:rsid w:val="003A77BB"/>
    <w:rsid w:val="003A7AA4"/>
    <w:rsid w:val="003B13DB"/>
    <w:rsid w:val="003B1D1D"/>
    <w:rsid w:val="003B4748"/>
    <w:rsid w:val="003B5946"/>
    <w:rsid w:val="003B5FD4"/>
    <w:rsid w:val="003B6786"/>
    <w:rsid w:val="003B7B86"/>
    <w:rsid w:val="003C0DE5"/>
    <w:rsid w:val="003C5F72"/>
    <w:rsid w:val="003C613B"/>
    <w:rsid w:val="003C6F83"/>
    <w:rsid w:val="003D1BDA"/>
    <w:rsid w:val="003D6138"/>
    <w:rsid w:val="003E01AC"/>
    <w:rsid w:val="003E1401"/>
    <w:rsid w:val="003E3767"/>
    <w:rsid w:val="003E59D7"/>
    <w:rsid w:val="003F17D0"/>
    <w:rsid w:val="003F22F0"/>
    <w:rsid w:val="003F30DF"/>
    <w:rsid w:val="003F43FC"/>
    <w:rsid w:val="003F48E3"/>
    <w:rsid w:val="004139C0"/>
    <w:rsid w:val="004159F0"/>
    <w:rsid w:val="00423536"/>
    <w:rsid w:val="004253AD"/>
    <w:rsid w:val="00425D58"/>
    <w:rsid w:val="00426997"/>
    <w:rsid w:val="00427DC4"/>
    <w:rsid w:val="00434072"/>
    <w:rsid w:val="004341B3"/>
    <w:rsid w:val="00447977"/>
    <w:rsid w:val="004510A4"/>
    <w:rsid w:val="0045284A"/>
    <w:rsid w:val="004553B2"/>
    <w:rsid w:val="00470B3E"/>
    <w:rsid w:val="00470F74"/>
    <w:rsid w:val="0047261E"/>
    <w:rsid w:val="00480BF7"/>
    <w:rsid w:val="00487228"/>
    <w:rsid w:val="004943E1"/>
    <w:rsid w:val="004963C6"/>
    <w:rsid w:val="00496B1D"/>
    <w:rsid w:val="004A3683"/>
    <w:rsid w:val="004A651C"/>
    <w:rsid w:val="004A677B"/>
    <w:rsid w:val="004A7425"/>
    <w:rsid w:val="004B0431"/>
    <w:rsid w:val="004B1051"/>
    <w:rsid w:val="004B1D9C"/>
    <w:rsid w:val="004B3266"/>
    <w:rsid w:val="004B5F6D"/>
    <w:rsid w:val="004C1585"/>
    <w:rsid w:val="004C1BF1"/>
    <w:rsid w:val="004C57E9"/>
    <w:rsid w:val="004D634A"/>
    <w:rsid w:val="004D6E7E"/>
    <w:rsid w:val="004E011C"/>
    <w:rsid w:val="004E29E6"/>
    <w:rsid w:val="004F3136"/>
    <w:rsid w:val="004F3767"/>
    <w:rsid w:val="004F6032"/>
    <w:rsid w:val="00500F73"/>
    <w:rsid w:val="00505088"/>
    <w:rsid w:val="00506983"/>
    <w:rsid w:val="00506D34"/>
    <w:rsid w:val="00515AC9"/>
    <w:rsid w:val="00517832"/>
    <w:rsid w:val="00520B02"/>
    <w:rsid w:val="00520B4B"/>
    <w:rsid w:val="00524CA2"/>
    <w:rsid w:val="00527CBF"/>
    <w:rsid w:val="00530FB6"/>
    <w:rsid w:val="00531097"/>
    <w:rsid w:val="00531DC1"/>
    <w:rsid w:val="005476CF"/>
    <w:rsid w:val="00553556"/>
    <w:rsid w:val="00554FDD"/>
    <w:rsid w:val="00564F41"/>
    <w:rsid w:val="005660CD"/>
    <w:rsid w:val="00566C2D"/>
    <w:rsid w:val="00570C47"/>
    <w:rsid w:val="005906CC"/>
    <w:rsid w:val="00590F69"/>
    <w:rsid w:val="005A12A0"/>
    <w:rsid w:val="005A6C63"/>
    <w:rsid w:val="005A76AC"/>
    <w:rsid w:val="005A7BA7"/>
    <w:rsid w:val="005B0C36"/>
    <w:rsid w:val="005B7139"/>
    <w:rsid w:val="005C0452"/>
    <w:rsid w:val="005C7B9D"/>
    <w:rsid w:val="005D6862"/>
    <w:rsid w:val="005D7C01"/>
    <w:rsid w:val="005E068E"/>
    <w:rsid w:val="005E13B2"/>
    <w:rsid w:val="005E4273"/>
    <w:rsid w:val="005E53CC"/>
    <w:rsid w:val="005E7AAE"/>
    <w:rsid w:val="005F06A1"/>
    <w:rsid w:val="005F0B74"/>
    <w:rsid w:val="005F21F1"/>
    <w:rsid w:val="005F48B0"/>
    <w:rsid w:val="005F5353"/>
    <w:rsid w:val="006049C5"/>
    <w:rsid w:val="00610914"/>
    <w:rsid w:val="00614074"/>
    <w:rsid w:val="00616593"/>
    <w:rsid w:val="00623969"/>
    <w:rsid w:val="00625110"/>
    <w:rsid w:val="00626F1F"/>
    <w:rsid w:val="006347A6"/>
    <w:rsid w:val="00634EE8"/>
    <w:rsid w:val="00636F0D"/>
    <w:rsid w:val="00642E32"/>
    <w:rsid w:val="006468D5"/>
    <w:rsid w:val="006477CD"/>
    <w:rsid w:val="006514CC"/>
    <w:rsid w:val="0065183C"/>
    <w:rsid w:val="00652FA6"/>
    <w:rsid w:val="0065398F"/>
    <w:rsid w:val="00653FFD"/>
    <w:rsid w:val="006557E5"/>
    <w:rsid w:val="0066026D"/>
    <w:rsid w:val="00664F8E"/>
    <w:rsid w:val="00675D18"/>
    <w:rsid w:val="00682F99"/>
    <w:rsid w:val="0068375F"/>
    <w:rsid w:val="00691920"/>
    <w:rsid w:val="00693AF3"/>
    <w:rsid w:val="006A0094"/>
    <w:rsid w:val="006A0892"/>
    <w:rsid w:val="006A1CB9"/>
    <w:rsid w:val="006A262E"/>
    <w:rsid w:val="006B1078"/>
    <w:rsid w:val="006B283F"/>
    <w:rsid w:val="006B4489"/>
    <w:rsid w:val="006C7532"/>
    <w:rsid w:val="006C7B74"/>
    <w:rsid w:val="006D546C"/>
    <w:rsid w:val="006E1AFF"/>
    <w:rsid w:val="006E55A5"/>
    <w:rsid w:val="006E573F"/>
    <w:rsid w:val="006E6511"/>
    <w:rsid w:val="006F148E"/>
    <w:rsid w:val="007021A4"/>
    <w:rsid w:val="0071244C"/>
    <w:rsid w:val="0072280A"/>
    <w:rsid w:val="00722CE7"/>
    <w:rsid w:val="0072341A"/>
    <w:rsid w:val="00730D5F"/>
    <w:rsid w:val="0073748B"/>
    <w:rsid w:val="0074123D"/>
    <w:rsid w:val="0074420C"/>
    <w:rsid w:val="00744B0C"/>
    <w:rsid w:val="00745A92"/>
    <w:rsid w:val="00753D2C"/>
    <w:rsid w:val="00753D94"/>
    <w:rsid w:val="00754681"/>
    <w:rsid w:val="00762533"/>
    <w:rsid w:val="00763008"/>
    <w:rsid w:val="007712B3"/>
    <w:rsid w:val="00772483"/>
    <w:rsid w:val="00781736"/>
    <w:rsid w:val="007826AB"/>
    <w:rsid w:val="00793B5C"/>
    <w:rsid w:val="007A044F"/>
    <w:rsid w:val="007B008E"/>
    <w:rsid w:val="007B208C"/>
    <w:rsid w:val="007B461A"/>
    <w:rsid w:val="007C10FB"/>
    <w:rsid w:val="007C197B"/>
    <w:rsid w:val="007C43D2"/>
    <w:rsid w:val="007D1A1A"/>
    <w:rsid w:val="007E348E"/>
    <w:rsid w:val="007F494B"/>
    <w:rsid w:val="00801C15"/>
    <w:rsid w:val="0080296D"/>
    <w:rsid w:val="008038B2"/>
    <w:rsid w:val="00803FED"/>
    <w:rsid w:val="008115A2"/>
    <w:rsid w:val="00814137"/>
    <w:rsid w:val="00814C99"/>
    <w:rsid w:val="00816579"/>
    <w:rsid w:val="0082122B"/>
    <w:rsid w:val="00824814"/>
    <w:rsid w:val="00827F7D"/>
    <w:rsid w:val="008335B0"/>
    <w:rsid w:val="008441B0"/>
    <w:rsid w:val="008443CA"/>
    <w:rsid w:val="008455EE"/>
    <w:rsid w:val="008474FE"/>
    <w:rsid w:val="008479B3"/>
    <w:rsid w:val="00853285"/>
    <w:rsid w:val="00853765"/>
    <w:rsid w:val="008555A8"/>
    <w:rsid w:val="008574B1"/>
    <w:rsid w:val="00863A98"/>
    <w:rsid w:val="00871A67"/>
    <w:rsid w:val="00875B3E"/>
    <w:rsid w:val="00876794"/>
    <w:rsid w:val="00892883"/>
    <w:rsid w:val="00893485"/>
    <w:rsid w:val="008A1AEC"/>
    <w:rsid w:val="008A271A"/>
    <w:rsid w:val="008A2755"/>
    <w:rsid w:val="008B22DD"/>
    <w:rsid w:val="008B43D9"/>
    <w:rsid w:val="008B4D56"/>
    <w:rsid w:val="008B59FF"/>
    <w:rsid w:val="008C1E10"/>
    <w:rsid w:val="008C27EB"/>
    <w:rsid w:val="008C2E6E"/>
    <w:rsid w:val="008C2F77"/>
    <w:rsid w:val="008C46E2"/>
    <w:rsid w:val="008C4DBF"/>
    <w:rsid w:val="008C5A68"/>
    <w:rsid w:val="008C6C13"/>
    <w:rsid w:val="008D5439"/>
    <w:rsid w:val="008D6703"/>
    <w:rsid w:val="008E7626"/>
    <w:rsid w:val="008F29D6"/>
    <w:rsid w:val="008F41A6"/>
    <w:rsid w:val="008F42AA"/>
    <w:rsid w:val="008F6A42"/>
    <w:rsid w:val="00902247"/>
    <w:rsid w:val="00905E5C"/>
    <w:rsid w:val="00907F26"/>
    <w:rsid w:val="009123D6"/>
    <w:rsid w:val="00913F84"/>
    <w:rsid w:val="0091757E"/>
    <w:rsid w:val="00925E0E"/>
    <w:rsid w:val="0093024A"/>
    <w:rsid w:val="00931885"/>
    <w:rsid w:val="00934670"/>
    <w:rsid w:val="009352A2"/>
    <w:rsid w:val="00940637"/>
    <w:rsid w:val="00951FF4"/>
    <w:rsid w:val="00952663"/>
    <w:rsid w:val="009607F9"/>
    <w:rsid w:val="009624DB"/>
    <w:rsid w:val="00963B7B"/>
    <w:rsid w:val="00963C15"/>
    <w:rsid w:val="0096481F"/>
    <w:rsid w:val="00965D29"/>
    <w:rsid w:val="0097289D"/>
    <w:rsid w:val="009746E8"/>
    <w:rsid w:val="00975380"/>
    <w:rsid w:val="009770C1"/>
    <w:rsid w:val="009873A7"/>
    <w:rsid w:val="009875A0"/>
    <w:rsid w:val="00993212"/>
    <w:rsid w:val="009972E5"/>
    <w:rsid w:val="009A22F8"/>
    <w:rsid w:val="009A34F2"/>
    <w:rsid w:val="009A41B5"/>
    <w:rsid w:val="009A465C"/>
    <w:rsid w:val="009B0CF3"/>
    <w:rsid w:val="009B1398"/>
    <w:rsid w:val="009B372A"/>
    <w:rsid w:val="009C0881"/>
    <w:rsid w:val="009C2F0C"/>
    <w:rsid w:val="009C4647"/>
    <w:rsid w:val="009D1156"/>
    <w:rsid w:val="009D4EE9"/>
    <w:rsid w:val="009D5E37"/>
    <w:rsid w:val="009D7C9A"/>
    <w:rsid w:val="009E28F2"/>
    <w:rsid w:val="009F6960"/>
    <w:rsid w:val="00A01D2E"/>
    <w:rsid w:val="00A04338"/>
    <w:rsid w:val="00A11E5C"/>
    <w:rsid w:val="00A125F8"/>
    <w:rsid w:val="00A12895"/>
    <w:rsid w:val="00A14340"/>
    <w:rsid w:val="00A16368"/>
    <w:rsid w:val="00A164E3"/>
    <w:rsid w:val="00A22CA6"/>
    <w:rsid w:val="00A2454A"/>
    <w:rsid w:val="00A32DEF"/>
    <w:rsid w:val="00A35921"/>
    <w:rsid w:val="00A436F1"/>
    <w:rsid w:val="00A4564B"/>
    <w:rsid w:val="00A466E5"/>
    <w:rsid w:val="00A472C6"/>
    <w:rsid w:val="00A51627"/>
    <w:rsid w:val="00A5204C"/>
    <w:rsid w:val="00A7017E"/>
    <w:rsid w:val="00A7200E"/>
    <w:rsid w:val="00A77243"/>
    <w:rsid w:val="00A81641"/>
    <w:rsid w:val="00A843DD"/>
    <w:rsid w:val="00A86EC5"/>
    <w:rsid w:val="00A87EFC"/>
    <w:rsid w:val="00A9353D"/>
    <w:rsid w:val="00A96E3B"/>
    <w:rsid w:val="00AA0EED"/>
    <w:rsid w:val="00AA761D"/>
    <w:rsid w:val="00AB003A"/>
    <w:rsid w:val="00AB28EB"/>
    <w:rsid w:val="00AB3746"/>
    <w:rsid w:val="00AB44C8"/>
    <w:rsid w:val="00AB6B91"/>
    <w:rsid w:val="00AB6C02"/>
    <w:rsid w:val="00AB7DAD"/>
    <w:rsid w:val="00AC2824"/>
    <w:rsid w:val="00AD207F"/>
    <w:rsid w:val="00AD271D"/>
    <w:rsid w:val="00AD2884"/>
    <w:rsid w:val="00AD308A"/>
    <w:rsid w:val="00AE306B"/>
    <w:rsid w:val="00B075F2"/>
    <w:rsid w:val="00B118B8"/>
    <w:rsid w:val="00B1469B"/>
    <w:rsid w:val="00B2031D"/>
    <w:rsid w:val="00B207C1"/>
    <w:rsid w:val="00B2159C"/>
    <w:rsid w:val="00B3077D"/>
    <w:rsid w:val="00B36062"/>
    <w:rsid w:val="00B41937"/>
    <w:rsid w:val="00B427F0"/>
    <w:rsid w:val="00B473E3"/>
    <w:rsid w:val="00B51C87"/>
    <w:rsid w:val="00B559C5"/>
    <w:rsid w:val="00B57B2C"/>
    <w:rsid w:val="00B60F53"/>
    <w:rsid w:val="00B646B4"/>
    <w:rsid w:val="00B6784F"/>
    <w:rsid w:val="00B74BF4"/>
    <w:rsid w:val="00B8088D"/>
    <w:rsid w:val="00B81D49"/>
    <w:rsid w:val="00B87B0A"/>
    <w:rsid w:val="00BA0727"/>
    <w:rsid w:val="00BA221A"/>
    <w:rsid w:val="00BA2479"/>
    <w:rsid w:val="00BA31FF"/>
    <w:rsid w:val="00BA4EC6"/>
    <w:rsid w:val="00BA52BD"/>
    <w:rsid w:val="00BB3BE6"/>
    <w:rsid w:val="00BB5324"/>
    <w:rsid w:val="00BC1F03"/>
    <w:rsid w:val="00BC2FCD"/>
    <w:rsid w:val="00BD04A5"/>
    <w:rsid w:val="00BD6623"/>
    <w:rsid w:val="00BE04F6"/>
    <w:rsid w:val="00BE402A"/>
    <w:rsid w:val="00BE5F74"/>
    <w:rsid w:val="00BF2E94"/>
    <w:rsid w:val="00C03511"/>
    <w:rsid w:val="00C04144"/>
    <w:rsid w:val="00C16CE5"/>
    <w:rsid w:val="00C3161B"/>
    <w:rsid w:val="00C31800"/>
    <w:rsid w:val="00C335C3"/>
    <w:rsid w:val="00C3394E"/>
    <w:rsid w:val="00C34666"/>
    <w:rsid w:val="00C35DE7"/>
    <w:rsid w:val="00C40778"/>
    <w:rsid w:val="00C413E4"/>
    <w:rsid w:val="00C46985"/>
    <w:rsid w:val="00C46B35"/>
    <w:rsid w:val="00C55B80"/>
    <w:rsid w:val="00C67E99"/>
    <w:rsid w:val="00C800B2"/>
    <w:rsid w:val="00C805BE"/>
    <w:rsid w:val="00C813EE"/>
    <w:rsid w:val="00C84531"/>
    <w:rsid w:val="00C86BBD"/>
    <w:rsid w:val="00C8711A"/>
    <w:rsid w:val="00C90CFB"/>
    <w:rsid w:val="00CB508A"/>
    <w:rsid w:val="00CC7CD3"/>
    <w:rsid w:val="00CD00E1"/>
    <w:rsid w:val="00CE07AA"/>
    <w:rsid w:val="00CE666A"/>
    <w:rsid w:val="00D05B0D"/>
    <w:rsid w:val="00D16DA3"/>
    <w:rsid w:val="00D25CE0"/>
    <w:rsid w:val="00D26305"/>
    <w:rsid w:val="00D318A9"/>
    <w:rsid w:val="00D40688"/>
    <w:rsid w:val="00D41266"/>
    <w:rsid w:val="00D45CEC"/>
    <w:rsid w:val="00D47B51"/>
    <w:rsid w:val="00D57410"/>
    <w:rsid w:val="00D64D3A"/>
    <w:rsid w:val="00D67AF7"/>
    <w:rsid w:val="00D7462D"/>
    <w:rsid w:val="00D8382D"/>
    <w:rsid w:val="00D87CBC"/>
    <w:rsid w:val="00D9113D"/>
    <w:rsid w:val="00D978B0"/>
    <w:rsid w:val="00DA26B9"/>
    <w:rsid w:val="00DA46EB"/>
    <w:rsid w:val="00DA4DDF"/>
    <w:rsid w:val="00DA522F"/>
    <w:rsid w:val="00DA588B"/>
    <w:rsid w:val="00DB2B37"/>
    <w:rsid w:val="00DC57D6"/>
    <w:rsid w:val="00DD3264"/>
    <w:rsid w:val="00DE0893"/>
    <w:rsid w:val="00DF3DA7"/>
    <w:rsid w:val="00DF5747"/>
    <w:rsid w:val="00DF62D1"/>
    <w:rsid w:val="00DF72D6"/>
    <w:rsid w:val="00DF7A67"/>
    <w:rsid w:val="00E01C7C"/>
    <w:rsid w:val="00E03ABA"/>
    <w:rsid w:val="00E0501F"/>
    <w:rsid w:val="00E07B71"/>
    <w:rsid w:val="00E116C4"/>
    <w:rsid w:val="00E1674E"/>
    <w:rsid w:val="00E274C6"/>
    <w:rsid w:val="00E43983"/>
    <w:rsid w:val="00E467E5"/>
    <w:rsid w:val="00E51480"/>
    <w:rsid w:val="00E56257"/>
    <w:rsid w:val="00E602EF"/>
    <w:rsid w:val="00E6414F"/>
    <w:rsid w:val="00E64856"/>
    <w:rsid w:val="00E65A10"/>
    <w:rsid w:val="00E662F6"/>
    <w:rsid w:val="00E66DB7"/>
    <w:rsid w:val="00E74585"/>
    <w:rsid w:val="00E7731F"/>
    <w:rsid w:val="00E90E13"/>
    <w:rsid w:val="00EA2844"/>
    <w:rsid w:val="00EB16D4"/>
    <w:rsid w:val="00EB3486"/>
    <w:rsid w:val="00EB5101"/>
    <w:rsid w:val="00EC1C86"/>
    <w:rsid w:val="00EC5CF4"/>
    <w:rsid w:val="00EC5D0E"/>
    <w:rsid w:val="00ED07A0"/>
    <w:rsid w:val="00ED118E"/>
    <w:rsid w:val="00ED1835"/>
    <w:rsid w:val="00ED3951"/>
    <w:rsid w:val="00ED3F61"/>
    <w:rsid w:val="00EE303C"/>
    <w:rsid w:val="00EE49DB"/>
    <w:rsid w:val="00EE64AC"/>
    <w:rsid w:val="00EF23A0"/>
    <w:rsid w:val="00EF2A6F"/>
    <w:rsid w:val="00F00072"/>
    <w:rsid w:val="00F01827"/>
    <w:rsid w:val="00F01977"/>
    <w:rsid w:val="00F0723F"/>
    <w:rsid w:val="00F17067"/>
    <w:rsid w:val="00F25B01"/>
    <w:rsid w:val="00F301B6"/>
    <w:rsid w:val="00F373A0"/>
    <w:rsid w:val="00F47543"/>
    <w:rsid w:val="00F5607B"/>
    <w:rsid w:val="00F56B23"/>
    <w:rsid w:val="00F5764E"/>
    <w:rsid w:val="00F57742"/>
    <w:rsid w:val="00F630EC"/>
    <w:rsid w:val="00F63469"/>
    <w:rsid w:val="00F6429A"/>
    <w:rsid w:val="00F71C3E"/>
    <w:rsid w:val="00F72FA5"/>
    <w:rsid w:val="00F73749"/>
    <w:rsid w:val="00F7488A"/>
    <w:rsid w:val="00F805FE"/>
    <w:rsid w:val="00F80736"/>
    <w:rsid w:val="00F85A53"/>
    <w:rsid w:val="00F90654"/>
    <w:rsid w:val="00F90B77"/>
    <w:rsid w:val="00FA368F"/>
    <w:rsid w:val="00FA5810"/>
    <w:rsid w:val="00FA5F8D"/>
    <w:rsid w:val="00FA6853"/>
    <w:rsid w:val="00FB3425"/>
    <w:rsid w:val="00FB637B"/>
    <w:rsid w:val="00FB7225"/>
    <w:rsid w:val="00FC1A9A"/>
    <w:rsid w:val="00FC38B2"/>
    <w:rsid w:val="00FC5324"/>
    <w:rsid w:val="00FD2EFC"/>
    <w:rsid w:val="00FD2F02"/>
    <w:rsid w:val="00FD6030"/>
    <w:rsid w:val="00FE440E"/>
    <w:rsid w:val="00FE4A37"/>
    <w:rsid w:val="00FE7104"/>
    <w:rsid w:val="00FE7CF8"/>
    <w:rsid w:val="00FF2BF1"/>
    <w:rsid w:val="00FF3D6F"/>
    <w:rsid w:val="00FF414F"/>
    <w:rsid w:val="00FF5DC1"/>
    <w:rsid w:val="00FF6578"/>
    <w:rsid w:val="00FF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31097"/>
    <w:pPr>
      <w:spacing w:line="240" w:lineRule="auto"/>
    </w:pPr>
  </w:style>
  <w:style w:type="paragraph" w:styleId="ListParagraph">
    <w:name w:val="List Paragraph"/>
    <w:basedOn w:val="Normal"/>
    <w:uiPriority w:val="34"/>
    <w:qFormat/>
    <w:rsid w:val="008C4DBF"/>
    <w:pPr>
      <w:ind w:left="720"/>
      <w:contextualSpacing/>
    </w:pPr>
  </w:style>
  <w:style w:type="paragraph" w:customStyle="1" w:styleId="Default">
    <w:name w:val="Default"/>
    <w:rsid w:val="002C2510"/>
    <w:pPr>
      <w:autoSpaceDE w:val="0"/>
      <w:autoSpaceDN w:val="0"/>
      <w:adjustRightInd w:val="0"/>
      <w:spacing w:line="240" w:lineRule="auto"/>
    </w:pPr>
    <w:rPr>
      <w:rFonts w:ascii="Cambria" w:hAnsi="Cambria" w:cs="Cambria"/>
      <w:color w:val="000000"/>
      <w:sz w:val="24"/>
      <w:szCs w:val="24"/>
    </w:rPr>
  </w:style>
  <w:style w:type="paragraph" w:styleId="Header">
    <w:name w:val="header"/>
    <w:basedOn w:val="Normal"/>
    <w:link w:val="HeaderChar"/>
    <w:uiPriority w:val="99"/>
    <w:unhideWhenUsed/>
    <w:rsid w:val="00C90CFB"/>
    <w:pPr>
      <w:tabs>
        <w:tab w:val="center" w:pos="4513"/>
        <w:tab w:val="right" w:pos="9026"/>
      </w:tabs>
      <w:spacing w:line="240" w:lineRule="auto"/>
    </w:pPr>
  </w:style>
  <w:style w:type="character" w:customStyle="1" w:styleId="HeaderChar">
    <w:name w:val="Header Char"/>
    <w:basedOn w:val="DefaultParagraphFont"/>
    <w:link w:val="Header"/>
    <w:uiPriority w:val="99"/>
    <w:rsid w:val="00C90CFB"/>
  </w:style>
  <w:style w:type="paragraph" w:styleId="Footer">
    <w:name w:val="footer"/>
    <w:basedOn w:val="Normal"/>
    <w:link w:val="FooterChar"/>
    <w:uiPriority w:val="99"/>
    <w:unhideWhenUsed/>
    <w:rsid w:val="00C90CFB"/>
    <w:pPr>
      <w:tabs>
        <w:tab w:val="center" w:pos="4513"/>
        <w:tab w:val="right" w:pos="9026"/>
      </w:tabs>
      <w:spacing w:line="240" w:lineRule="auto"/>
    </w:pPr>
  </w:style>
  <w:style w:type="character" w:customStyle="1" w:styleId="FooterChar">
    <w:name w:val="Footer Char"/>
    <w:basedOn w:val="DefaultParagraphFont"/>
    <w:link w:val="Footer"/>
    <w:uiPriority w:val="99"/>
    <w:rsid w:val="00C90CFB"/>
  </w:style>
  <w:style w:type="paragraph" w:styleId="FootnoteText">
    <w:name w:val="footnote text"/>
    <w:basedOn w:val="Normal"/>
    <w:link w:val="FootnoteTextChar"/>
    <w:uiPriority w:val="99"/>
    <w:semiHidden/>
    <w:unhideWhenUsed/>
    <w:rsid w:val="00FF3D6F"/>
    <w:pPr>
      <w:spacing w:line="240" w:lineRule="auto"/>
    </w:pPr>
    <w:rPr>
      <w:sz w:val="20"/>
      <w:szCs w:val="20"/>
    </w:rPr>
  </w:style>
  <w:style w:type="character" w:customStyle="1" w:styleId="FootnoteTextChar">
    <w:name w:val="Footnote Text Char"/>
    <w:basedOn w:val="DefaultParagraphFont"/>
    <w:link w:val="FootnoteText"/>
    <w:uiPriority w:val="99"/>
    <w:semiHidden/>
    <w:rsid w:val="00FF3D6F"/>
    <w:rPr>
      <w:sz w:val="20"/>
      <w:szCs w:val="20"/>
    </w:rPr>
  </w:style>
  <w:style w:type="character" w:styleId="FootnoteReference">
    <w:name w:val="footnote reference"/>
    <w:aliases w:val="Footnote Text Char1,fr,ft Char1"/>
    <w:basedOn w:val="DefaultParagraphFont"/>
    <w:uiPriority w:val="99"/>
    <w:unhideWhenUsed/>
    <w:rsid w:val="00FF3D6F"/>
    <w:rPr>
      <w:vertAlign w:val="superscript"/>
    </w:rPr>
  </w:style>
  <w:style w:type="character" w:styleId="Hyperlink">
    <w:name w:val="Hyperlink"/>
    <w:basedOn w:val="DefaultParagraphFont"/>
    <w:uiPriority w:val="99"/>
    <w:unhideWhenUsed/>
    <w:rsid w:val="00D8382D"/>
    <w:rPr>
      <w:color w:val="0000FF" w:themeColor="hyperlink"/>
      <w:u w:val="single"/>
    </w:rPr>
  </w:style>
  <w:style w:type="character" w:styleId="UnresolvedMention">
    <w:name w:val="Unresolved Mention"/>
    <w:basedOn w:val="DefaultParagraphFont"/>
    <w:uiPriority w:val="99"/>
    <w:semiHidden/>
    <w:unhideWhenUsed/>
    <w:rsid w:val="00D83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996">
      <w:bodyDiv w:val="1"/>
      <w:marLeft w:val="0"/>
      <w:marRight w:val="0"/>
      <w:marTop w:val="0"/>
      <w:marBottom w:val="0"/>
      <w:divBdr>
        <w:top w:val="none" w:sz="0" w:space="0" w:color="auto"/>
        <w:left w:val="none" w:sz="0" w:space="0" w:color="auto"/>
        <w:bottom w:val="none" w:sz="0" w:space="0" w:color="auto"/>
        <w:right w:val="none" w:sz="0" w:space="0" w:color="auto"/>
      </w:divBdr>
    </w:div>
    <w:div w:id="558908019">
      <w:bodyDiv w:val="1"/>
      <w:marLeft w:val="0"/>
      <w:marRight w:val="0"/>
      <w:marTop w:val="0"/>
      <w:marBottom w:val="0"/>
      <w:divBdr>
        <w:top w:val="none" w:sz="0" w:space="0" w:color="auto"/>
        <w:left w:val="none" w:sz="0" w:space="0" w:color="auto"/>
        <w:bottom w:val="none" w:sz="0" w:space="0" w:color="auto"/>
        <w:right w:val="none" w:sz="0" w:space="0" w:color="auto"/>
      </w:divBdr>
    </w:div>
    <w:div w:id="1301157921">
      <w:bodyDiv w:val="1"/>
      <w:marLeft w:val="0"/>
      <w:marRight w:val="0"/>
      <w:marTop w:val="0"/>
      <w:marBottom w:val="0"/>
      <w:divBdr>
        <w:top w:val="none" w:sz="0" w:space="0" w:color="auto"/>
        <w:left w:val="none" w:sz="0" w:space="0" w:color="auto"/>
        <w:bottom w:val="none" w:sz="0" w:space="0" w:color="auto"/>
        <w:right w:val="none" w:sz="0" w:space="0" w:color="auto"/>
      </w:divBdr>
      <w:divsChild>
        <w:div w:id="455681469">
          <w:marLeft w:val="0"/>
          <w:marRight w:val="0"/>
          <w:marTop w:val="0"/>
          <w:marBottom w:val="0"/>
          <w:divBdr>
            <w:top w:val="none" w:sz="0" w:space="0" w:color="auto"/>
            <w:left w:val="none" w:sz="0" w:space="0" w:color="auto"/>
            <w:bottom w:val="none" w:sz="0" w:space="0" w:color="auto"/>
            <w:right w:val="none" w:sz="0" w:space="0" w:color="auto"/>
          </w:divBdr>
        </w:div>
      </w:divsChild>
    </w:div>
    <w:div w:id="1477184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1F459-F675-47D5-93BD-655FA04A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2543</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2021-08-19T06:54:00Z</dcterms:created>
  <dcterms:modified xsi:type="dcterms:W3CDTF">2025-06-18T08:53:00Z</dcterms:modified>
</cp:coreProperties>
</file>