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8FA" w14:textId="24589959" w:rsidR="009B03EC" w:rsidRDefault="009B03EC" w:rsidP="00613A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8080" w:hanging="808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21-10</w:t>
      </w:r>
      <w:r w:rsidR="00325306">
        <w:rPr>
          <w:rFonts w:asciiTheme="majorHAnsi" w:hAnsiTheme="majorHAnsi"/>
          <w:b/>
          <w:sz w:val="20"/>
          <w:szCs w:val="20"/>
        </w:rPr>
        <w:tab/>
      </w:r>
      <w:r w:rsidR="00613AD8">
        <w:rPr>
          <w:rFonts w:asciiTheme="majorHAnsi" w:hAnsiTheme="majorHAnsi"/>
          <w:b/>
          <w:sz w:val="20"/>
          <w:szCs w:val="20"/>
        </w:rPr>
        <w:t xml:space="preserve">          </w:t>
      </w:r>
      <w:r w:rsidR="00AE5ED7">
        <w:rPr>
          <w:rFonts w:asciiTheme="majorHAnsi" w:hAnsiTheme="majorHAnsi"/>
          <w:b/>
          <w:sz w:val="20"/>
          <w:szCs w:val="20"/>
        </w:rPr>
        <w:t>SHK</w:t>
      </w:r>
    </w:p>
    <w:p w14:paraId="7CAB616B" w14:textId="77777777" w:rsidR="00040A8B" w:rsidRDefault="00040A8B" w:rsidP="009B03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</w:p>
    <w:p w14:paraId="4ADA07E5" w14:textId="16A0EB1D" w:rsidR="009B03EC" w:rsidRDefault="001E49D2" w:rsidP="009B03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2F5A61">
        <w:rPr>
          <w:rFonts w:asciiTheme="majorHAnsi" w:hAnsiTheme="majorHAnsi"/>
          <w:b/>
          <w:sz w:val="20"/>
          <w:szCs w:val="20"/>
        </w:rPr>
        <w:t xml:space="preserve">RECOMMANDATION DE L’ICCAT </w:t>
      </w:r>
      <w:r w:rsidR="00BB2A2B">
        <w:rPr>
          <w:rFonts w:asciiTheme="majorHAnsi" w:hAnsiTheme="majorHAnsi"/>
          <w:b/>
          <w:sz w:val="20"/>
          <w:szCs w:val="20"/>
        </w:rPr>
        <w:t>A</w:t>
      </w:r>
      <w:r w:rsidRPr="002F5A61">
        <w:rPr>
          <w:rFonts w:asciiTheme="majorHAnsi" w:hAnsiTheme="majorHAnsi"/>
          <w:b/>
          <w:sz w:val="20"/>
          <w:szCs w:val="20"/>
        </w:rPr>
        <w:t>MEND</w:t>
      </w:r>
      <w:r w:rsidR="00BB2A2B">
        <w:rPr>
          <w:rFonts w:asciiTheme="majorHAnsi" w:hAnsiTheme="majorHAnsi"/>
          <w:b/>
          <w:sz w:val="20"/>
          <w:szCs w:val="20"/>
        </w:rPr>
        <w:t>ANT</w:t>
      </w:r>
      <w:r w:rsidRPr="002F5A61">
        <w:rPr>
          <w:rFonts w:asciiTheme="majorHAnsi" w:hAnsiTheme="majorHAnsi"/>
          <w:b/>
          <w:sz w:val="20"/>
          <w:szCs w:val="20"/>
        </w:rPr>
        <w:t xml:space="preserve"> </w:t>
      </w:r>
      <w:r w:rsidR="000E0FC3">
        <w:rPr>
          <w:rFonts w:asciiTheme="majorHAnsi" w:hAnsiTheme="majorHAnsi"/>
          <w:b/>
          <w:sz w:val="20"/>
          <w:szCs w:val="20"/>
        </w:rPr>
        <w:t xml:space="preserve">LA </w:t>
      </w:r>
      <w:r w:rsidR="000E0FC3" w:rsidRPr="002F5A61">
        <w:rPr>
          <w:rFonts w:asciiTheme="majorHAnsi" w:hAnsiTheme="majorHAnsi"/>
          <w:b/>
          <w:sz w:val="20"/>
          <w:szCs w:val="20"/>
        </w:rPr>
        <w:t xml:space="preserve">RECOMMANDATION </w:t>
      </w:r>
      <w:r w:rsidR="000E0FC3">
        <w:rPr>
          <w:rFonts w:asciiTheme="majorHAnsi" w:hAnsiTheme="majorHAnsi"/>
          <w:b/>
          <w:sz w:val="20"/>
          <w:szCs w:val="20"/>
        </w:rPr>
        <w:t>19-07 AMEND</w:t>
      </w:r>
      <w:r w:rsidR="000B3771">
        <w:rPr>
          <w:rFonts w:asciiTheme="majorHAnsi" w:hAnsiTheme="majorHAnsi"/>
          <w:b/>
          <w:sz w:val="20"/>
          <w:szCs w:val="20"/>
        </w:rPr>
        <w:t>ANT</w:t>
      </w:r>
      <w:r w:rsidR="000E0FC3">
        <w:rPr>
          <w:rFonts w:asciiTheme="majorHAnsi" w:hAnsiTheme="majorHAnsi"/>
          <w:b/>
          <w:sz w:val="20"/>
          <w:szCs w:val="20"/>
        </w:rPr>
        <w:t xml:space="preserve"> </w:t>
      </w:r>
      <w:r w:rsidRPr="002F5A61">
        <w:rPr>
          <w:rFonts w:asciiTheme="majorHAnsi" w:hAnsiTheme="majorHAnsi"/>
          <w:b/>
          <w:sz w:val="20"/>
          <w:szCs w:val="20"/>
        </w:rPr>
        <w:t>LA RECOMMANDATION 16-12 CONCERNANT DES MESURES DE GESTION AUX FINS DE LA CONSERVATION DU REQUIN PEAU BLEUE DE L’ATLANTIQUE NORD CAPTURÉ EN ASSOCIATION AVEC LES PÊCHERIES DE L’ICCAT</w:t>
      </w:r>
    </w:p>
    <w:p w14:paraId="36687BF2" w14:textId="77777777" w:rsidR="00EF3EA4" w:rsidRPr="002F5A61" w:rsidRDefault="00EF3EA4" w:rsidP="009B03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ajorHAnsi" w:hAnsiTheme="majorHAnsi"/>
          <w:i/>
          <w:sz w:val="20"/>
          <w:szCs w:val="20"/>
        </w:rPr>
      </w:pPr>
    </w:p>
    <w:p w14:paraId="3C03EA89" w14:textId="535B4A84" w:rsidR="001E49D2" w:rsidRDefault="001E49D2" w:rsidP="001E49D2">
      <w:pPr>
        <w:pStyle w:val="Default"/>
        <w:ind w:firstLine="284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635D3ECB" w14:textId="77777777" w:rsidR="000B3771" w:rsidRPr="002F5A61" w:rsidRDefault="000B3771" w:rsidP="001E49D2">
      <w:pPr>
        <w:pStyle w:val="Default"/>
        <w:ind w:firstLine="284"/>
        <w:jc w:val="both"/>
        <w:rPr>
          <w:rFonts w:asciiTheme="majorHAnsi" w:hAnsiTheme="majorHAnsi" w:cs="Times New Roman"/>
          <w:i/>
          <w:sz w:val="20"/>
          <w:szCs w:val="20"/>
        </w:rPr>
      </w:pPr>
    </w:p>
    <w:p w14:paraId="7D496926" w14:textId="77777777" w:rsidR="001E49D2" w:rsidRPr="002F5A61" w:rsidRDefault="001E49D2" w:rsidP="002F5A61">
      <w:pPr>
        <w:pStyle w:val="Default"/>
        <w:ind w:firstLine="426"/>
        <w:jc w:val="both"/>
        <w:rPr>
          <w:rFonts w:asciiTheme="majorHAnsi" w:hAnsiTheme="majorHAnsi" w:cs="Times New Roman"/>
          <w:sz w:val="20"/>
          <w:szCs w:val="20"/>
        </w:rPr>
      </w:pPr>
      <w:r w:rsidRPr="002F5A61">
        <w:rPr>
          <w:rFonts w:asciiTheme="majorHAnsi" w:hAnsiTheme="majorHAnsi"/>
          <w:i/>
          <w:sz w:val="20"/>
          <w:szCs w:val="20"/>
        </w:rPr>
        <w:t>CONSIDÉRANT</w:t>
      </w:r>
      <w:r w:rsidRPr="002F5A61">
        <w:rPr>
          <w:rFonts w:asciiTheme="majorHAnsi" w:hAnsiTheme="majorHAnsi"/>
          <w:sz w:val="20"/>
          <w:szCs w:val="20"/>
        </w:rPr>
        <w:t xml:space="preserve"> l'accord de commerce et de coopération entre le Royaume-Uni et l'Union européenne qui transfère une partie de l'allocation de certaines espèces de l’ICCAT de l'Union européenne au Royaume-Uni suite au retrait du Royaume-Uni de l'Union européenne ; </w:t>
      </w:r>
    </w:p>
    <w:p w14:paraId="0453DFC7" w14:textId="77777777" w:rsidR="001E49D2" w:rsidRPr="002F5A61" w:rsidRDefault="001E49D2" w:rsidP="001E49D2">
      <w:pPr>
        <w:pStyle w:val="Default"/>
        <w:jc w:val="both"/>
        <w:rPr>
          <w:rFonts w:asciiTheme="majorHAnsi" w:hAnsiTheme="majorHAnsi" w:cs="Times New Roman"/>
          <w:sz w:val="20"/>
          <w:szCs w:val="20"/>
        </w:rPr>
      </w:pPr>
    </w:p>
    <w:p w14:paraId="20BC8A45" w14:textId="77777777" w:rsidR="001E49D2" w:rsidRPr="002F5A61" w:rsidRDefault="001E49D2" w:rsidP="002F5A61">
      <w:pPr>
        <w:pStyle w:val="Default"/>
        <w:ind w:firstLine="426"/>
        <w:jc w:val="both"/>
        <w:rPr>
          <w:rFonts w:asciiTheme="majorHAnsi" w:hAnsiTheme="majorHAnsi" w:cs="Times New Roman"/>
          <w:sz w:val="20"/>
          <w:szCs w:val="20"/>
        </w:rPr>
      </w:pPr>
      <w:r w:rsidRPr="002F5A61">
        <w:rPr>
          <w:rFonts w:asciiTheme="majorHAnsi" w:hAnsiTheme="majorHAnsi"/>
          <w:i/>
          <w:sz w:val="20"/>
          <w:szCs w:val="20"/>
        </w:rPr>
        <w:t>NOTANT</w:t>
      </w:r>
      <w:r w:rsidRPr="002F5A61">
        <w:rPr>
          <w:rFonts w:asciiTheme="majorHAnsi" w:hAnsiTheme="majorHAnsi"/>
          <w:sz w:val="20"/>
          <w:szCs w:val="20"/>
        </w:rPr>
        <w:t xml:space="preserve"> que les limites de capture totales de ces deux CPC combinées restent inchangées ;</w:t>
      </w:r>
    </w:p>
    <w:p w14:paraId="7C113CA6" w14:textId="77777777" w:rsidR="001E49D2" w:rsidRPr="002F5A61" w:rsidRDefault="001E49D2" w:rsidP="001E49D2">
      <w:pPr>
        <w:pStyle w:val="Default"/>
        <w:jc w:val="both"/>
        <w:rPr>
          <w:rFonts w:asciiTheme="majorHAnsi" w:hAnsiTheme="majorHAnsi" w:cs="Times New Roman"/>
          <w:sz w:val="20"/>
          <w:szCs w:val="20"/>
        </w:rPr>
      </w:pPr>
    </w:p>
    <w:p w14:paraId="3C50A65D" w14:textId="77777777" w:rsidR="001E49D2" w:rsidRPr="002F5A61" w:rsidRDefault="001E49D2" w:rsidP="002F5A61">
      <w:pPr>
        <w:pStyle w:val="Default"/>
        <w:ind w:firstLine="426"/>
        <w:jc w:val="both"/>
        <w:rPr>
          <w:rFonts w:asciiTheme="majorHAnsi" w:hAnsiTheme="majorHAnsi" w:cs="Times New Roman"/>
          <w:sz w:val="20"/>
          <w:szCs w:val="20"/>
        </w:rPr>
      </w:pPr>
      <w:r w:rsidRPr="002F5A61">
        <w:rPr>
          <w:rFonts w:asciiTheme="majorHAnsi" w:hAnsiTheme="majorHAnsi"/>
          <w:i/>
          <w:sz w:val="20"/>
          <w:szCs w:val="20"/>
        </w:rPr>
        <w:t xml:space="preserve">DÉSIREUSE </w:t>
      </w:r>
      <w:r w:rsidRPr="002F5A61">
        <w:rPr>
          <w:rFonts w:asciiTheme="majorHAnsi" w:hAnsiTheme="majorHAnsi"/>
          <w:sz w:val="20"/>
          <w:szCs w:val="20"/>
        </w:rPr>
        <w:t>de refléter correctement les limites de capture dans les mesures de conservation et de gestion de l’ICCAT ;</w:t>
      </w:r>
    </w:p>
    <w:p w14:paraId="7D0B1393" w14:textId="0D5549E1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1BFFFD8E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2CFAEDC8" w14:textId="77777777" w:rsidR="001E49D2" w:rsidRPr="002F5A61" w:rsidRDefault="001E49D2" w:rsidP="001E49D2">
      <w:pPr>
        <w:pStyle w:val="Default"/>
        <w:jc w:val="center"/>
        <w:rPr>
          <w:rFonts w:asciiTheme="majorHAnsi" w:hAnsiTheme="majorHAnsi" w:cs="Times New Roman"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>LA COMMISSION INTERNATIONALE POUR LA CONSERVATION</w:t>
      </w:r>
    </w:p>
    <w:p w14:paraId="3180E367" w14:textId="77777777" w:rsidR="001E49D2" w:rsidRPr="002F5A61" w:rsidRDefault="001E49D2" w:rsidP="001E49D2">
      <w:pPr>
        <w:jc w:val="center"/>
        <w:rPr>
          <w:rFonts w:asciiTheme="majorHAnsi" w:hAnsiTheme="majorHAnsi"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>DES THONIDÉS DE L’ATLANTIQUE (ICCAT) RECOMMANDE CE QUI SUIT :</w:t>
      </w:r>
    </w:p>
    <w:p w14:paraId="3F1F6399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0AF68A67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 xml:space="preserve">Les modifications suivantes devront être apportées à la Rec. 19-07 : </w:t>
      </w:r>
    </w:p>
    <w:p w14:paraId="2F28372F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34D9CE88" w14:textId="77777777" w:rsidR="001E49D2" w:rsidRPr="002F5A61" w:rsidRDefault="001E49D2" w:rsidP="001E49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>Le paragraphe 3 devra être remplacé par le texte suivant :</w:t>
      </w:r>
    </w:p>
    <w:p w14:paraId="22D503AF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60FB26F7" w14:textId="4D1CFA57" w:rsidR="001E49D2" w:rsidRPr="002F5A61" w:rsidRDefault="001E49D2" w:rsidP="00040A8B">
      <w:pPr>
        <w:tabs>
          <w:tab w:val="left" w:pos="1276"/>
        </w:tabs>
        <w:ind w:left="709"/>
        <w:jc w:val="both"/>
        <w:rPr>
          <w:rFonts w:asciiTheme="majorHAnsi" w:hAnsiTheme="majorHAnsi"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>« 3.</w:t>
      </w:r>
      <w:r w:rsidR="00040A8B">
        <w:rPr>
          <w:rFonts w:asciiTheme="majorHAnsi" w:hAnsiTheme="majorHAnsi"/>
          <w:sz w:val="20"/>
          <w:szCs w:val="20"/>
        </w:rPr>
        <w:tab/>
      </w:r>
      <w:r w:rsidRPr="002F5A61">
        <w:rPr>
          <w:rFonts w:asciiTheme="majorHAnsi" w:hAnsiTheme="majorHAnsi"/>
          <w:sz w:val="20"/>
          <w:szCs w:val="20"/>
        </w:rPr>
        <w:t>Les CPC ci-dessous devront être soumises aux limites de capture suivantes :</w:t>
      </w:r>
    </w:p>
    <w:p w14:paraId="1E12BC22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2008"/>
      </w:tblGrid>
      <w:tr w:rsidR="001E49D2" w:rsidRPr="00040A8B" w14:paraId="1CCBE244" w14:textId="77777777" w:rsidTr="00040A8B">
        <w:trPr>
          <w:jc w:val="center"/>
        </w:trPr>
        <w:tc>
          <w:tcPr>
            <w:tcW w:w="1961" w:type="dxa"/>
          </w:tcPr>
          <w:p w14:paraId="4FC81521" w14:textId="77777777" w:rsidR="001E49D2" w:rsidRPr="00040A8B" w:rsidRDefault="001E49D2" w:rsidP="00040A8B">
            <w:pPr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040A8B">
              <w:rPr>
                <w:rFonts w:asciiTheme="majorHAnsi" w:hAnsiTheme="majorHAnsi"/>
                <w:i/>
                <w:iCs/>
                <w:sz w:val="20"/>
                <w:szCs w:val="20"/>
              </w:rPr>
              <w:t>CPC</w:t>
            </w:r>
          </w:p>
        </w:tc>
        <w:tc>
          <w:tcPr>
            <w:tcW w:w="2008" w:type="dxa"/>
          </w:tcPr>
          <w:p w14:paraId="49DF7658" w14:textId="69D62556" w:rsidR="001E49D2" w:rsidRPr="00040A8B" w:rsidRDefault="001C02A0" w:rsidP="00040A8B">
            <w:pPr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040A8B">
              <w:rPr>
                <w:rFonts w:asciiTheme="majorHAnsi" w:hAnsiTheme="majorHAnsi"/>
                <w:i/>
                <w:iCs/>
                <w:sz w:val="20"/>
                <w:szCs w:val="20"/>
              </w:rPr>
              <w:t>t</w:t>
            </w:r>
          </w:p>
        </w:tc>
      </w:tr>
      <w:tr w:rsidR="001E49D2" w:rsidRPr="002F5A61" w14:paraId="02D04BA4" w14:textId="77777777" w:rsidTr="00040A8B">
        <w:trPr>
          <w:jc w:val="center"/>
        </w:trPr>
        <w:tc>
          <w:tcPr>
            <w:tcW w:w="1961" w:type="dxa"/>
          </w:tcPr>
          <w:p w14:paraId="54B40B71" w14:textId="77777777" w:rsidR="001E49D2" w:rsidRPr="002F5A61" w:rsidRDefault="001E49D2" w:rsidP="001E49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F5A61">
              <w:rPr>
                <w:rFonts w:asciiTheme="majorHAnsi" w:hAnsiTheme="majorHAnsi"/>
                <w:sz w:val="20"/>
                <w:szCs w:val="20"/>
              </w:rPr>
              <w:t>UE*</w:t>
            </w:r>
          </w:p>
        </w:tc>
        <w:tc>
          <w:tcPr>
            <w:tcW w:w="2008" w:type="dxa"/>
          </w:tcPr>
          <w:p w14:paraId="1A27C57F" w14:textId="39A30DE7" w:rsidR="001E49D2" w:rsidRPr="002F5A61" w:rsidRDefault="001E49D2" w:rsidP="00040A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F5A61">
              <w:rPr>
                <w:rFonts w:asciiTheme="majorHAnsi" w:hAnsiTheme="majorHAnsi"/>
                <w:sz w:val="20"/>
                <w:szCs w:val="20"/>
              </w:rPr>
              <w:t>32.5</w:t>
            </w:r>
            <w:r w:rsidR="001C02A0">
              <w:rPr>
                <w:rFonts w:asciiTheme="majorHAnsi" w:hAnsiTheme="majorHAnsi"/>
                <w:sz w:val="20"/>
                <w:szCs w:val="20"/>
              </w:rPr>
              <w:t>7</w:t>
            </w:r>
            <w:r w:rsidRPr="002F5A61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1E49D2" w:rsidRPr="002F5A61" w14:paraId="76A06705" w14:textId="77777777" w:rsidTr="00040A8B">
        <w:trPr>
          <w:jc w:val="center"/>
        </w:trPr>
        <w:tc>
          <w:tcPr>
            <w:tcW w:w="1961" w:type="dxa"/>
          </w:tcPr>
          <w:p w14:paraId="0BF29664" w14:textId="77777777" w:rsidR="001E49D2" w:rsidRPr="002F5A61" w:rsidRDefault="001E49D2" w:rsidP="001E49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F5A61">
              <w:rPr>
                <w:rFonts w:asciiTheme="majorHAnsi" w:hAnsiTheme="majorHAnsi"/>
                <w:sz w:val="20"/>
                <w:szCs w:val="20"/>
              </w:rPr>
              <w:t>Japon</w:t>
            </w:r>
          </w:p>
        </w:tc>
        <w:tc>
          <w:tcPr>
            <w:tcW w:w="2008" w:type="dxa"/>
          </w:tcPr>
          <w:p w14:paraId="74803C90" w14:textId="77777777" w:rsidR="001E49D2" w:rsidRPr="002F5A61" w:rsidRDefault="001E49D2" w:rsidP="00040A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F5A61">
              <w:rPr>
                <w:rFonts w:asciiTheme="majorHAnsi" w:hAnsiTheme="majorHAnsi"/>
                <w:sz w:val="20"/>
                <w:szCs w:val="20"/>
              </w:rPr>
              <w:t>4.010</w:t>
            </w:r>
          </w:p>
        </w:tc>
      </w:tr>
      <w:tr w:rsidR="001E49D2" w:rsidRPr="002F5A61" w14:paraId="313D41BD" w14:textId="77777777" w:rsidTr="00040A8B">
        <w:trPr>
          <w:jc w:val="center"/>
        </w:trPr>
        <w:tc>
          <w:tcPr>
            <w:tcW w:w="1961" w:type="dxa"/>
          </w:tcPr>
          <w:p w14:paraId="029D3284" w14:textId="77777777" w:rsidR="001E49D2" w:rsidRPr="002F5A61" w:rsidRDefault="001E49D2" w:rsidP="001E49D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F5A61">
              <w:rPr>
                <w:rFonts w:asciiTheme="majorHAnsi" w:hAnsiTheme="majorHAnsi"/>
                <w:sz w:val="20"/>
                <w:szCs w:val="20"/>
              </w:rPr>
              <w:t>Maroc</w:t>
            </w:r>
          </w:p>
        </w:tc>
        <w:tc>
          <w:tcPr>
            <w:tcW w:w="2008" w:type="dxa"/>
          </w:tcPr>
          <w:p w14:paraId="63A7A3A1" w14:textId="77777777" w:rsidR="001E49D2" w:rsidRPr="002F5A61" w:rsidRDefault="001E49D2" w:rsidP="00040A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F5A61">
              <w:rPr>
                <w:rFonts w:asciiTheme="majorHAnsi" w:hAnsiTheme="majorHAnsi"/>
                <w:sz w:val="20"/>
                <w:szCs w:val="20"/>
              </w:rPr>
              <w:t>1.644</w:t>
            </w:r>
          </w:p>
        </w:tc>
      </w:tr>
    </w:tbl>
    <w:p w14:paraId="77A65A2D" w14:textId="68E72546" w:rsidR="001E49D2" w:rsidRPr="00040A8B" w:rsidRDefault="001E49D2" w:rsidP="00040A8B">
      <w:pPr>
        <w:ind w:left="2552" w:right="2294"/>
        <w:jc w:val="both"/>
        <w:rPr>
          <w:rFonts w:asciiTheme="majorHAnsi" w:hAnsiTheme="majorHAnsi"/>
          <w:sz w:val="16"/>
          <w:szCs w:val="16"/>
        </w:rPr>
      </w:pPr>
      <w:r w:rsidRPr="00040A8B">
        <w:rPr>
          <w:rFonts w:asciiTheme="majorHAnsi" w:hAnsiTheme="majorHAnsi"/>
          <w:sz w:val="16"/>
          <w:szCs w:val="16"/>
        </w:rPr>
        <w:t>*L'Union européenne est autorisée à transférer 32,58</w:t>
      </w:r>
      <w:r w:rsidR="001C02A0" w:rsidRPr="00040A8B">
        <w:rPr>
          <w:rFonts w:asciiTheme="majorHAnsi" w:hAnsiTheme="majorHAnsi"/>
          <w:sz w:val="16"/>
          <w:szCs w:val="16"/>
        </w:rPr>
        <w:t> </w:t>
      </w:r>
      <w:r w:rsidRPr="00040A8B">
        <w:rPr>
          <w:rFonts w:asciiTheme="majorHAnsi" w:hAnsiTheme="majorHAnsi"/>
          <w:sz w:val="16"/>
          <w:szCs w:val="16"/>
        </w:rPr>
        <w:t>t de sa limite de capture en 2022 au Royaume-Uni.</w:t>
      </w:r>
    </w:p>
    <w:p w14:paraId="1C0B1E99" w14:textId="77777777" w:rsidR="001E49D2" w:rsidRPr="002F5A61" w:rsidRDefault="001E49D2" w:rsidP="001C02A0">
      <w:pPr>
        <w:ind w:left="709" w:right="3712"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43DE6B15" w14:textId="4595BA03" w:rsidR="001E49D2" w:rsidRDefault="001E49D2" w:rsidP="00040A8B">
      <w:pPr>
        <w:ind w:left="1701" w:hanging="425"/>
        <w:jc w:val="both"/>
        <w:rPr>
          <w:rFonts w:asciiTheme="majorHAnsi" w:hAnsiTheme="majorHAnsi"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>a)</w:t>
      </w:r>
      <w:r w:rsidR="001C02A0">
        <w:rPr>
          <w:rFonts w:asciiTheme="majorHAnsi" w:hAnsiTheme="majorHAnsi"/>
          <w:sz w:val="20"/>
          <w:szCs w:val="20"/>
        </w:rPr>
        <w:tab/>
      </w:r>
      <w:r w:rsidRPr="002F5A61">
        <w:rPr>
          <w:rFonts w:asciiTheme="majorHAnsi" w:hAnsiTheme="majorHAnsi"/>
          <w:sz w:val="20"/>
          <w:szCs w:val="20"/>
        </w:rPr>
        <w:t xml:space="preserve">Toutes les autres CPC devront s'efforcer de maintenir leurs captures aux niveaux récents. </w:t>
      </w:r>
    </w:p>
    <w:p w14:paraId="30867AD1" w14:textId="77777777" w:rsidR="00D76CFC" w:rsidRPr="002F5A61" w:rsidRDefault="00D76CFC" w:rsidP="001C02A0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46BECC7C" w14:textId="406EB16D" w:rsidR="001E49D2" w:rsidRPr="002F5A61" w:rsidRDefault="001E49D2" w:rsidP="00040A8B">
      <w:pPr>
        <w:ind w:left="1701" w:hanging="425"/>
        <w:jc w:val="both"/>
        <w:rPr>
          <w:rFonts w:asciiTheme="majorHAnsi" w:hAnsiTheme="majorHAnsi"/>
          <w:sz w:val="20"/>
          <w:szCs w:val="20"/>
        </w:rPr>
      </w:pPr>
      <w:r w:rsidRPr="002F5A61">
        <w:rPr>
          <w:rFonts w:asciiTheme="majorHAnsi" w:hAnsiTheme="majorHAnsi"/>
          <w:sz w:val="20"/>
          <w:szCs w:val="20"/>
        </w:rPr>
        <w:t>b)</w:t>
      </w:r>
      <w:r w:rsidR="001C02A0">
        <w:rPr>
          <w:rFonts w:asciiTheme="majorHAnsi" w:hAnsiTheme="majorHAnsi"/>
          <w:sz w:val="20"/>
          <w:szCs w:val="20"/>
        </w:rPr>
        <w:tab/>
      </w:r>
      <w:r w:rsidRPr="002F5A61">
        <w:rPr>
          <w:rFonts w:asciiTheme="majorHAnsi" w:hAnsiTheme="majorHAnsi"/>
          <w:sz w:val="20"/>
          <w:szCs w:val="20"/>
        </w:rPr>
        <w:t xml:space="preserve">Si, au cours d'une année quelconque, le total des captures de requin peau bleue de l'Atlantique Nord dépasse le TAC, la Commission devra </w:t>
      </w:r>
      <w:r w:rsidR="00040A8B">
        <w:rPr>
          <w:rFonts w:asciiTheme="majorHAnsi" w:hAnsiTheme="majorHAnsi"/>
          <w:sz w:val="20"/>
          <w:szCs w:val="20"/>
        </w:rPr>
        <w:t>réviser</w:t>
      </w:r>
      <w:r w:rsidRPr="002F5A61">
        <w:rPr>
          <w:rFonts w:asciiTheme="majorHAnsi" w:hAnsiTheme="majorHAnsi"/>
          <w:sz w:val="20"/>
          <w:szCs w:val="20"/>
        </w:rPr>
        <w:t xml:space="preserve"> la mise en œuvre de ces mesures. Sur la base de cet</w:t>
      </w:r>
      <w:r w:rsidR="00040A8B">
        <w:rPr>
          <w:rFonts w:asciiTheme="majorHAnsi" w:hAnsiTheme="majorHAnsi"/>
          <w:sz w:val="20"/>
          <w:szCs w:val="20"/>
        </w:rPr>
        <w:t xml:space="preserve">te révision </w:t>
      </w:r>
      <w:r w:rsidRPr="002F5A61">
        <w:rPr>
          <w:rFonts w:asciiTheme="majorHAnsi" w:hAnsiTheme="majorHAnsi"/>
          <w:sz w:val="20"/>
          <w:szCs w:val="20"/>
        </w:rPr>
        <w:t>et des résultats de la prochaine évaluation du stock prévue pour 2021 ou plus tôt si suffisamment d’informations sont soumises au SCRS, la Commission devra envisager l’instauration de mesures additionnelles. »</w:t>
      </w:r>
    </w:p>
    <w:p w14:paraId="20B7924E" w14:textId="77777777" w:rsidR="001E49D2" w:rsidRPr="002F5A61" w:rsidRDefault="001E49D2" w:rsidP="001E49D2">
      <w:pPr>
        <w:jc w:val="both"/>
        <w:rPr>
          <w:rFonts w:asciiTheme="majorHAnsi" w:hAnsiTheme="majorHAnsi"/>
          <w:sz w:val="20"/>
          <w:szCs w:val="20"/>
        </w:rPr>
      </w:pPr>
    </w:p>
    <w:p w14:paraId="6169287C" w14:textId="77777777" w:rsidR="00764B45" w:rsidRPr="002F5A61" w:rsidRDefault="00764B45" w:rsidP="001E49D2">
      <w:pPr>
        <w:jc w:val="both"/>
        <w:rPr>
          <w:rFonts w:asciiTheme="majorHAnsi" w:eastAsia="Batang" w:hAnsiTheme="majorHAnsi"/>
          <w:sz w:val="20"/>
          <w:szCs w:val="20"/>
        </w:rPr>
      </w:pPr>
    </w:p>
    <w:sectPr w:rsidR="00764B45" w:rsidRPr="002F5A61">
      <w:footerReference w:type="even" r:id="rId7"/>
      <w:footerReference w:type="default" r:id="rId8"/>
      <w:pgSz w:w="11906" w:h="16838" w:code="9"/>
      <w:pgMar w:top="1418" w:right="1531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481B" w14:textId="77777777" w:rsidR="00696868" w:rsidRDefault="00696868">
      <w:r>
        <w:separator/>
      </w:r>
    </w:p>
  </w:endnote>
  <w:endnote w:type="continuationSeparator" w:id="0">
    <w:p w14:paraId="3FE18F30" w14:textId="77777777" w:rsidR="00696868" w:rsidRDefault="0069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940B" w14:textId="779894FC" w:rsidR="006C0637" w:rsidRDefault="006C06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A61">
      <w:rPr>
        <w:rStyle w:val="PageNumber"/>
        <w:noProof/>
      </w:rPr>
      <w:t>5</w:t>
    </w:r>
    <w:r>
      <w:rPr>
        <w:rStyle w:val="PageNumber"/>
      </w:rPr>
      <w:fldChar w:fldCharType="end"/>
    </w:r>
  </w:p>
  <w:p w14:paraId="2EA84257" w14:textId="77777777" w:rsidR="006C0637" w:rsidRDefault="006C0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7AB9" w14:textId="55E38A3B" w:rsidR="006C0637" w:rsidRPr="00283E76" w:rsidRDefault="006C0637" w:rsidP="00D76CFC">
    <w:pPr>
      <w:pStyle w:val="Footer"/>
      <w:framePr w:wrap="around" w:vAnchor="text" w:hAnchor="margin" w:xAlign="center" w:y="1"/>
      <w:jc w:val="center"/>
      <w:rPr>
        <w:rStyle w:val="PageNumber"/>
        <w:i/>
        <w:sz w:val="16"/>
        <w:szCs w:val="16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918F8">
      <w:rPr>
        <w:sz w:val="20"/>
      </w:rPr>
      <w:t>1</w:t>
    </w:r>
    <w:r>
      <w:rPr>
        <w:sz w:val="20"/>
      </w:rPr>
      <w:fldChar w:fldCharType="end"/>
    </w:r>
  </w:p>
  <w:p w14:paraId="5C2DF707" w14:textId="77777777" w:rsidR="006C0637" w:rsidRDefault="006C0637" w:rsidP="00D7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8758" w14:textId="77777777" w:rsidR="00696868" w:rsidRDefault="00696868">
      <w:r>
        <w:separator/>
      </w:r>
    </w:p>
  </w:footnote>
  <w:footnote w:type="continuationSeparator" w:id="0">
    <w:p w14:paraId="4BD6D027" w14:textId="77777777" w:rsidR="00696868" w:rsidRDefault="0069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821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" w15:restartNumberingAfterBreak="0">
    <w:nsid w:val="1D5625D6"/>
    <w:multiLevelType w:val="hybridMultilevel"/>
    <w:tmpl w:val="72689620"/>
    <w:lvl w:ilvl="0" w:tplc="B2422A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E0613"/>
    <w:multiLevelType w:val="hybridMultilevel"/>
    <w:tmpl w:val="FB628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0E3E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4" w15:restartNumberingAfterBreak="0">
    <w:nsid w:val="45051403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 w16cid:durableId="1203325975">
    <w:abstractNumId w:val="1"/>
  </w:num>
  <w:num w:numId="2" w16cid:durableId="1796636200">
    <w:abstractNumId w:val="0"/>
  </w:num>
  <w:num w:numId="3" w16cid:durableId="1621035527">
    <w:abstractNumId w:val="4"/>
  </w:num>
  <w:num w:numId="4" w16cid:durableId="1418868675">
    <w:abstractNumId w:val="3"/>
  </w:num>
  <w:num w:numId="5" w16cid:durableId="14951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6"/>
    <w:rsid w:val="0003616D"/>
    <w:rsid w:val="00040A8B"/>
    <w:rsid w:val="0005722C"/>
    <w:rsid w:val="0006247A"/>
    <w:rsid w:val="000659C4"/>
    <w:rsid w:val="000B3771"/>
    <w:rsid w:val="000B5F5A"/>
    <w:rsid w:val="000C4F26"/>
    <w:rsid w:val="000E0FC3"/>
    <w:rsid w:val="000E6DD0"/>
    <w:rsid w:val="000F6A8D"/>
    <w:rsid w:val="00113BC5"/>
    <w:rsid w:val="001678F5"/>
    <w:rsid w:val="00182FF0"/>
    <w:rsid w:val="001C02A0"/>
    <w:rsid w:val="001E3676"/>
    <w:rsid w:val="001E49D2"/>
    <w:rsid w:val="001E68D1"/>
    <w:rsid w:val="00254FF9"/>
    <w:rsid w:val="00283E76"/>
    <w:rsid w:val="002B1DFD"/>
    <w:rsid w:val="002E699A"/>
    <w:rsid w:val="002F5A61"/>
    <w:rsid w:val="00323E1A"/>
    <w:rsid w:val="00325306"/>
    <w:rsid w:val="00332D96"/>
    <w:rsid w:val="00346639"/>
    <w:rsid w:val="00373D99"/>
    <w:rsid w:val="00396F78"/>
    <w:rsid w:val="003E2062"/>
    <w:rsid w:val="00402F50"/>
    <w:rsid w:val="00426531"/>
    <w:rsid w:val="0045394E"/>
    <w:rsid w:val="004540CB"/>
    <w:rsid w:val="0046101B"/>
    <w:rsid w:val="004C673D"/>
    <w:rsid w:val="004E32FD"/>
    <w:rsid w:val="00537789"/>
    <w:rsid w:val="00576CED"/>
    <w:rsid w:val="005C71A6"/>
    <w:rsid w:val="005D49CA"/>
    <w:rsid w:val="00605313"/>
    <w:rsid w:val="00613AD8"/>
    <w:rsid w:val="00622379"/>
    <w:rsid w:val="0064198F"/>
    <w:rsid w:val="0066110C"/>
    <w:rsid w:val="006914F4"/>
    <w:rsid w:val="00696868"/>
    <w:rsid w:val="006A3B16"/>
    <w:rsid w:val="006C0637"/>
    <w:rsid w:val="006F5EEF"/>
    <w:rsid w:val="00760FF2"/>
    <w:rsid w:val="00764B45"/>
    <w:rsid w:val="007963F6"/>
    <w:rsid w:val="008D2D1A"/>
    <w:rsid w:val="0094690C"/>
    <w:rsid w:val="00977B9C"/>
    <w:rsid w:val="00982B16"/>
    <w:rsid w:val="009B03EC"/>
    <w:rsid w:val="009B6375"/>
    <w:rsid w:val="009F47B2"/>
    <w:rsid w:val="00A518C7"/>
    <w:rsid w:val="00AE5ED7"/>
    <w:rsid w:val="00B239D3"/>
    <w:rsid w:val="00B85DC9"/>
    <w:rsid w:val="00B976B0"/>
    <w:rsid w:val="00BB2A2B"/>
    <w:rsid w:val="00BD3864"/>
    <w:rsid w:val="00BE4070"/>
    <w:rsid w:val="00BE59E6"/>
    <w:rsid w:val="00C23F87"/>
    <w:rsid w:val="00C41928"/>
    <w:rsid w:val="00C72C47"/>
    <w:rsid w:val="00C74360"/>
    <w:rsid w:val="00C900C2"/>
    <w:rsid w:val="00C94FC1"/>
    <w:rsid w:val="00CE5B13"/>
    <w:rsid w:val="00D3444D"/>
    <w:rsid w:val="00D76CFC"/>
    <w:rsid w:val="00E012D8"/>
    <w:rsid w:val="00E309D3"/>
    <w:rsid w:val="00E918F8"/>
    <w:rsid w:val="00EB37B6"/>
    <w:rsid w:val="00EE73FE"/>
    <w:rsid w:val="00EF2D4E"/>
    <w:rsid w:val="00EF3EA4"/>
    <w:rsid w:val="00F067A8"/>
    <w:rsid w:val="00F77C95"/>
    <w:rsid w:val="00F86040"/>
    <w:rsid w:val="00F92882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D4D4C"/>
  <w15:docId w15:val="{9CD02B0F-C592-421A-9B91-FC51BD4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1Paragraph">
    <w:name w:val="1Paragraph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hAnsi="Courier 10cpi"/>
      <w:szCs w:val="24"/>
    </w:rPr>
  </w:style>
  <w:style w:type="paragraph" w:styleId="BodyTextIndent">
    <w:name w:val="Body Text Indent"/>
    <w:basedOn w:val="Normal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1E49D2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E49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E49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AGENDA, STANDING COMMITTEE ON RESEARCH &amp; STATISTICS (SCRS)</vt:lpstr>
    </vt:vector>
  </TitlesOfParts>
  <Company>ICCAT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AGENDA, STANDING COMMITTEE ON RESEARCH &amp; STATISTICS (SCRS)</dc:title>
  <dc:creator>Phil Seidita</dc:creator>
  <cp:lastModifiedBy>Dorothee Pinet</cp:lastModifiedBy>
  <cp:revision>18</cp:revision>
  <cp:lastPrinted>2004-08-10T13:18:00Z</cp:lastPrinted>
  <dcterms:created xsi:type="dcterms:W3CDTF">2021-10-18T07:04:00Z</dcterms:created>
  <dcterms:modified xsi:type="dcterms:W3CDTF">2024-01-09T09:57:00Z</dcterms:modified>
</cp:coreProperties>
</file>