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DC594" w14:textId="77777777" w:rsidR="006771DD" w:rsidRPr="00E50224" w:rsidRDefault="006771DD" w:rsidP="009D01F3">
      <w:pPr>
        <w:widowControl w:val="0"/>
        <w:pBdr>
          <w:top w:val="double" w:sz="4" w:space="1" w:color="auto"/>
          <w:left w:val="double" w:sz="4" w:space="4" w:color="auto"/>
          <w:bottom w:val="double" w:sz="4" w:space="1" w:color="auto"/>
          <w:right w:val="double" w:sz="4" w:space="4" w:color="auto"/>
        </w:pBdr>
        <w:autoSpaceDE w:val="0"/>
        <w:autoSpaceDN w:val="0"/>
        <w:adjustRightInd w:val="0"/>
        <w:rPr>
          <w:b/>
          <w:sz w:val="12"/>
          <w:szCs w:val="16"/>
        </w:rPr>
      </w:pPr>
    </w:p>
    <w:p w14:paraId="421AB62F" w14:textId="69CC8D0A" w:rsidR="009D01F3" w:rsidRPr="00E50224" w:rsidRDefault="009D01F3" w:rsidP="009D01F3">
      <w:pPr>
        <w:widowControl w:val="0"/>
        <w:pBdr>
          <w:top w:val="double" w:sz="4" w:space="1" w:color="auto"/>
          <w:left w:val="double" w:sz="4" w:space="4" w:color="auto"/>
          <w:bottom w:val="double" w:sz="4" w:space="1" w:color="auto"/>
          <w:right w:val="double" w:sz="4" w:space="4" w:color="auto"/>
        </w:pBdr>
        <w:autoSpaceDE w:val="0"/>
        <w:autoSpaceDN w:val="0"/>
        <w:adjustRightInd w:val="0"/>
        <w:rPr>
          <w:b/>
          <w:sz w:val="20"/>
        </w:rPr>
      </w:pPr>
      <w:r w:rsidRPr="00E50224">
        <w:rPr>
          <w:b/>
          <w:sz w:val="20"/>
        </w:rPr>
        <w:t>21-09</w:t>
      </w:r>
      <w:r w:rsidRPr="00E50224">
        <w:rPr>
          <w:b/>
          <w:sz w:val="20"/>
        </w:rPr>
        <w:tab/>
      </w:r>
      <w:r w:rsidRPr="00E50224">
        <w:rPr>
          <w:b/>
          <w:sz w:val="20"/>
        </w:rPr>
        <w:tab/>
      </w:r>
      <w:r w:rsidRPr="00E50224">
        <w:rPr>
          <w:b/>
          <w:sz w:val="20"/>
        </w:rPr>
        <w:tab/>
      </w:r>
      <w:r w:rsidRPr="00E50224">
        <w:rPr>
          <w:b/>
          <w:sz w:val="20"/>
        </w:rPr>
        <w:tab/>
      </w:r>
      <w:r w:rsidRPr="00E50224">
        <w:rPr>
          <w:b/>
          <w:sz w:val="20"/>
        </w:rPr>
        <w:tab/>
      </w:r>
      <w:r w:rsidRPr="00E50224">
        <w:rPr>
          <w:b/>
          <w:sz w:val="20"/>
        </w:rPr>
        <w:tab/>
      </w:r>
      <w:r w:rsidRPr="00E50224">
        <w:rPr>
          <w:b/>
          <w:sz w:val="20"/>
        </w:rPr>
        <w:tab/>
      </w:r>
      <w:r w:rsidRPr="00E50224">
        <w:rPr>
          <w:b/>
          <w:sz w:val="20"/>
        </w:rPr>
        <w:tab/>
      </w:r>
      <w:r w:rsidRPr="00E50224">
        <w:rPr>
          <w:b/>
          <w:sz w:val="20"/>
        </w:rPr>
        <w:tab/>
      </w:r>
      <w:r w:rsidRPr="00E50224">
        <w:rPr>
          <w:b/>
          <w:sz w:val="20"/>
        </w:rPr>
        <w:tab/>
      </w:r>
      <w:r w:rsidRPr="00E50224">
        <w:rPr>
          <w:b/>
          <w:sz w:val="20"/>
        </w:rPr>
        <w:tab/>
      </w:r>
      <w:r w:rsidRPr="00E50224">
        <w:rPr>
          <w:b/>
          <w:sz w:val="20"/>
        </w:rPr>
        <w:tab/>
      </w:r>
      <w:r w:rsidR="00DF6167">
        <w:rPr>
          <w:b/>
          <w:sz w:val="20"/>
        </w:rPr>
        <w:t>SHK</w:t>
      </w:r>
    </w:p>
    <w:p w14:paraId="050EA8EA" w14:textId="77777777" w:rsidR="009D01F3" w:rsidRPr="00E50224" w:rsidRDefault="00E61A17" w:rsidP="009D01F3">
      <w:pPr>
        <w:widowControl w:val="0"/>
        <w:pBdr>
          <w:top w:val="double" w:sz="4" w:space="1" w:color="auto"/>
          <w:left w:val="double" w:sz="4" w:space="4" w:color="auto"/>
          <w:bottom w:val="double" w:sz="4" w:space="1" w:color="auto"/>
          <w:right w:val="double" w:sz="4" w:space="4" w:color="auto"/>
        </w:pBdr>
        <w:autoSpaceDE w:val="0"/>
        <w:autoSpaceDN w:val="0"/>
        <w:adjustRightInd w:val="0"/>
        <w:jc w:val="center"/>
        <w:rPr>
          <w:b/>
          <w:sz w:val="20"/>
        </w:rPr>
      </w:pPr>
      <w:r w:rsidRPr="00E50224">
        <w:rPr>
          <w:b/>
          <w:sz w:val="20"/>
        </w:rPr>
        <w:t xml:space="preserve">RECOMENDACIÓN DE ICCAT SOBRE LA CONSERVACIÓN DEL STOCK DE MARRAJO </w:t>
      </w:r>
    </w:p>
    <w:p w14:paraId="37DEA2E8" w14:textId="77777777" w:rsidR="009D01F3" w:rsidRPr="00E50224" w:rsidRDefault="00E61A17" w:rsidP="009D01F3">
      <w:pPr>
        <w:widowControl w:val="0"/>
        <w:pBdr>
          <w:top w:val="double" w:sz="4" w:space="1" w:color="auto"/>
          <w:left w:val="double" w:sz="4" w:space="4" w:color="auto"/>
          <w:bottom w:val="double" w:sz="4" w:space="1" w:color="auto"/>
          <w:right w:val="double" w:sz="4" w:space="4" w:color="auto"/>
        </w:pBdr>
        <w:autoSpaceDE w:val="0"/>
        <w:autoSpaceDN w:val="0"/>
        <w:adjustRightInd w:val="0"/>
        <w:jc w:val="center"/>
        <w:rPr>
          <w:b/>
          <w:sz w:val="20"/>
        </w:rPr>
      </w:pPr>
      <w:r w:rsidRPr="00E50224">
        <w:rPr>
          <w:b/>
          <w:sz w:val="20"/>
        </w:rPr>
        <w:t xml:space="preserve">DIENTUSO DEL ATLÁNTICO NORTE CAPTURADO EN ASOCIACIÓN </w:t>
      </w:r>
    </w:p>
    <w:p w14:paraId="4745EA5C" w14:textId="45CB5681" w:rsidR="00E61A17" w:rsidRPr="00E50224" w:rsidRDefault="00E61A17" w:rsidP="009D01F3">
      <w:pPr>
        <w:widowControl w:val="0"/>
        <w:pBdr>
          <w:top w:val="double" w:sz="4" w:space="1" w:color="auto"/>
          <w:left w:val="double" w:sz="4" w:space="4" w:color="auto"/>
          <w:bottom w:val="double" w:sz="4" w:space="1" w:color="auto"/>
          <w:right w:val="double" w:sz="4" w:space="4" w:color="auto"/>
        </w:pBdr>
        <w:autoSpaceDE w:val="0"/>
        <w:autoSpaceDN w:val="0"/>
        <w:adjustRightInd w:val="0"/>
        <w:jc w:val="center"/>
        <w:rPr>
          <w:b/>
          <w:sz w:val="20"/>
        </w:rPr>
      </w:pPr>
      <w:r w:rsidRPr="00E50224">
        <w:rPr>
          <w:b/>
          <w:sz w:val="20"/>
        </w:rPr>
        <w:t>CON PESQUERÍAS DE ICCAT</w:t>
      </w:r>
    </w:p>
    <w:p w14:paraId="24C264E9" w14:textId="77777777" w:rsidR="006771DD" w:rsidRPr="00E50224" w:rsidRDefault="006771DD" w:rsidP="009D01F3">
      <w:pPr>
        <w:widowControl w:val="0"/>
        <w:pBdr>
          <w:top w:val="double" w:sz="4" w:space="1" w:color="auto"/>
          <w:left w:val="double" w:sz="4" w:space="4" w:color="auto"/>
          <w:bottom w:val="double" w:sz="4" w:space="1" w:color="auto"/>
          <w:right w:val="double" w:sz="4" w:space="4" w:color="auto"/>
        </w:pBdr>
        <w:autoSpaceDE w:val="0"/>
        <w:autoSpaceDN w:val="0"/>
        <w:adjustRightInd w:val="0"/>
        <w:jc w:val="center"/>
        <w:rPr>
          <w:rFonts w:eastAsia="MS Mincho" w:cs="Times New Roman"/>
          <w:b/>
          <w:bCs/>
          <w:sz w:val="14"/>
          <w:szCs w:val="14"/>
        </w:rPr>
      </w:pPr>
    </w:p>
    <w:p w14:paraId="7C99E7B8" w14:textId="77777777" w:rsidR="005F7A9F" w:rsidRPr="00E50224" w:rsidRDefault="005F7A9F" w:rsidP="00E13B2D">
      <w:pPr>
        <w:widowControl w:val="0"/>
        <w:autoSpaceDE w:val="0"/>
        <w:autoSpaceDN w:val="0"/>
        <w:adjustRightInd w:val="0"/>
        <w:jc w:val="center"/>
        <w:rPr>
          <w:rFonts w:ascii="Cambria" w:hAnsi="Cambria"/>
          <w:i/>
          <w:sz w:val="20"/>
        </w:rPr>
      </w:pPr>
    </w:p>
    <w:p w14:paraId="3FEB25B8" w14:textId="77777777" w:rsidR="00D33117" w:rsidRPr="00E50224" w:rsidRDefault="00D33117" w:rsidP="001106FB">
      <w:pPr>
        <w:widowControl w:val="0"/>
        <w:autoSpaceDE w:val="0"/>
        <w:autoSpaceDN w:val="0"/>
        <w:adjustRightInd w:val="0"/>
        <w:jc w:val="center"/>
        <w:rPr>
          <w:rFonts w:eastAsia="MS Mincho" w:cs="Times New Roman"/>
          <w:b/>
          <w:bCs/>
          <w:i/>
          <w:sz w:val="22"/>
          <w:szCs w:val="22"/>
          <w:lang w:eastAsia="ja-JP"/>
        </w:rPr>
      </w:pPr>
    </w:p>
    <w:p w14:paraId="01767957" w14:textId="7484E93E" w:rsidR="00D33117" w:rsidRPr="00E50224" w:rsidRDefault="00D33117" w:rsidP="00D33117">
      <w:pPr>
        <w:ind w:firstLine="567"/>
        <w:jc w:val="both"/>
        <w:rPr>
          <w:rFonts w:ascii="Cambria" w:eastAsia="Cambria" w:hAnsi="Cambria" w:cs="Cambria"/>
          <w:sz w:val="20"/>
          <w:szCs w:val="20"/>
        </w:rPr>
      </w:pPr>
      <w:r w:rsidRPr="00E50224">
        <w:rPr>
          <w:rFonts w:ascii="Cambria" w:hAnsi="Cambria"/>
          <w:i/>
          <w:iCs/>
          <w:sz w:val="20"/>
        </w:rPr>
        <w:t>RECONOCIENDO</w:t>
      </w:r>
      <w:r w:rsidRPr="00E50224">
        <w:rPr>
          <w:rFonts w:ascii="Cambria" w:hAnsi="Cambria"/>
          <w:sz w:val="20"/>
        </w:rPr>
        <w:t xml:space="preserve"> que el marrajo dientuso</w:t>
      </w:r>
      <w:r w:rsidR="00D201C2" w:rsidRPr="00E50224">
        <w:rPr>
          <w:rFonts w:ascii="Cambria" w:hAnsi="Cambria"/>
          <w:sz w:val="20"/>
        </w:rPr>
        <w:t xml:space="preserve"> del Atlántico norte</w:t>
      </w:r>
      <w:r w:rsidRPr="00E50224">
        <w:rPr>
          <w:rFonts w:ascii="Cambria" w:hAnsi="Cambria"/>
          <w:sz w:val="20"/>
        </w:rPr>
        <w:t xml:space="preserve"> se captura sobre todo en asociación con pesquerías de ICCAT y que la Comisión ha adoptado medidas de ordenación para las especies de tiburones consideradas vulnerables a la sobrepesca en pesquerías </w:t>
      </w:r>
      <w:r w:rsidR="006771DD" w:rsidRPr="00E50224">
        <w:rPr>
          <w:rFonts w:ascii="Cambria" w:hAnsi="Cambria"/>
          <w:sz w:val="20"/>
        </w:rPr>
        <w:t xml:space="preserve">de </w:t>
      </w:r>
      <w:r w:rsidRPr="00E50224">
        <w:rPr>
          <w:rFonts w:ascii="Cambria" w:hAnsi="Cambria"/>
          <w:sz w:val="20"/>
        </w:rPr>
        <w:t>ICCAT;</w:t>
      </w:r>
    </w:p>
    <w:p w14:paraId="3919AF3C" w14:textId="4FFC55F5" w:rsidR="00D33117" w:rsidRPr="00E50224" w:rsidRDefault="00D33117" w:rsidP="00D33117">
      <w:pPr>
        <w:jc w:val="both"/>
        <w:rPr>
          <w:rFonts w:ascii="Cambria" w:eastAsia="Cambria" w:hAnsi="Cambria" w:cs="Cambria"/>
          <w:i/>
          <w:sz w:val="20"/>
          <w:szCs w:val="20"/>
        </w:rPr>
      </w:pPr>
    </w:p>
    <w:p w14:paraId="5E315162" w14:textId="79D0C8F1" w:rsidR="00722AEF" w:rsidRPr="00E50224" w:rsidRDefault="00722AEF" w:rsidP="00722AEF">
      <w:pPr>
        <w:ind w:firstLine="567"/>
        <w:jc w:val="both"/>
        <w:rPr>
          <w:rFonts w:ascii="Cambria" w:eastAsia="Cambria" w:hAnsi="Cambria" w:cs="Cambria"/>
          <w:iCs/>
          <w:sz w:val="20"/>
          <w:szCs w:val="20"/>
        </w:rPr>
      </w:pPr>
      <w:r w:rsidRPr="00E50224">
        <w:rPr>
          <w:rFonts w:ascii="Cambria" w:hAnsi="Cambria"/>
          <w:i/>
          <w:iCs/>
          <w:sz w:val="20"/>
        </w:rPr>
        <w:t>CONSTATANDO</w:t>
      </w:r>
      <w:r w:rsidRPr="00E50224">
        <w:rPr>
          <w:rFonts w:ascii="Cambria" w:hAnsi="Cambria"/>
          <w:sz w:val="20"/>
        </w:rPr>
        <w:t xml:space="preserve"> que las evaluaciones del SCRS de 2017 y 2019 concluyeron que existe una probabilidad del 90 % de que el stock de marrajo dientuso del Atlántico </w:t>
      </w:r>
      <w:r w:rsidR="007B1172" w:rsidRPr="00E50224">
        <w:rPr>
          <w:rFonts w:ascii="Cambria" w:hAnsi="Cambria"/>
          <w:sz w:val="20"/>
        </w:rPr>
        <w:t xml:space="preserve">norte </w:t>
      </w:r>
      <w:r w:rsidRPr="00E50224">
        <w:rPr>
          <w:rFonts w:ascii="Cambria" w:hAnsi="Cambria"/>
          <w:sz w:val="20"/>
        </w:rPr>
        <w:t xml:space="preserve">esté sobrepescado y siendo </w:t>
      </w:r>
      <w:r w:rsidR="00403304" w:rsidRPr="00E50224">
        <w:rPr>
          <w:rFonts w:ascii="Cambria" w:hAnsi="Cambria"/>
          <w:sz w:val="20"/>
        </w:rPr>
        <w:t>objeto</w:t>
      </w:r>
      <w:r w:rsidRPr="00E50224">
        <w:rPr>
          <w:rFonts w:ascii="Cambria" w:hAnsi="Cambria"/>
          <w:sz w:val="20"/>
        </w:rPr>
        <w:t xml:space="preserve"> de sobrepesca; </w:t>
      </w:r>
    </w:p>
    <w:p w14:paraId="0BB233FC" w14:textId="77777777" w:rsidR="00D33117" w:rsidRPr="00E50224" w:rsidRDefault="00D33117" w:rsidP="00D33117">
      <w:pPr>
        <w:ind w:firstLine="567"/>
        <w:jc w:val="both"/>
        <w:rPr>
          <w:rFonts w:ascii="Cambria" w:eastAsia="Cambria" w:hAnsi="Cambria" w:cs="Cambria"/>
          <w:sz w:val="20"/>
          <w:szCs w:val="20"/>
        </w:rPr>
      </w:pPr>
    </w:p>
    <w:p w14:paraId="3891A4B4" w14:textId="530AED10" w:rsidR="00D33117" w:rsidRPr="00E50224" w:rsidRDefault="00D33117" w:rsidP="00722AEF">
      <w:pPr>
        <w:widowControl w:val="0"/>
        <w:tabs>
          <w:tab w:val="left" w:pos="426"/>
        </w:tabs>
        <w:autoSpaceDE w:val="0"/>
        <w:autoSpaceDN w:val="0"/>
        <w:adjustRightInd w:val="0"/>
        <w:ind w:firstLine="425"/>
        <w:jc w:val="both"/>
        <w:rPr>
          <w:rFonts w:eastAsia="MS Mincho" w:cs="Times New Roman"/>
          <w:bCs/>
          <w:sz w:val="20"/>
          <w:szCs w:val="20"/>
        </w:rPr>
      </w:pPr>
      <w:r w:rsidRPr="00E50224">
        <w:rPr>
          <w:i/>
          <w:iCs/>
          <w:sz w:val="20"/>
        </w:rPr>
        <w:t>RECORDANDO</w:t>
      </w:r>
      <w:r w:rsidRPr="00E50224">
        <w:rPr>
          <w:sz w:val="20"/>
        </w:rPr>
        <w:t xml:space="preserve"> que, de acuerdo con su Convenio, el objetivo establecido de ICCAT es mantener los stocks en niveles que permitan la captura máxima sostenible</w:t>
      </w:r>
      <w:r w:rsidR="00D201C2" w:rsidRPr="00E50224">
        <w:rPr>
          <w:sz w:val="20"/>
        </w:rPr>
        <w:t>;</w:t>
      </w:r>
    </w:p>
    <w:p w14:paraId="74C71925" w14:textId="77777777" w:rsidR="00722AEF" w:rsidRPr="00E50224" w:rsidRDefault="00722AEF" w:rsidP="00722AEF">
      <w:pPr>
        <w:widowControl w:val="0"/>
        <w:tabs>
          <w:tab w:val="left" w:pos="426"/>
        </w:tabs>
        <w:autoSpaceDE w:val="0"/>
        <w:autoSpaceDN w:val="0"/>
        <w:adjustRightInd w:val="0"/>
        <w:ind w:firstLine="425"/>
        <w:jc w:val="both"/>
        <w:rPr>
          <w:rFonts w:eastAsia="MS Mincho" w:cs="Times New Roman"/>
          <w:bCs/>
          <w:sz w:val="20"/>
          <w:szCs w:val="20"/>
          <w:lang w:eastAsia="ja-JP"/>
        </w:rPr>
      </w:pPr>
    </w:p>
    <w:p w14:paraId="4E810285" w14:textId="6BF6F077" w:rsidR="00D33117" w:rsidRPr="00E50224" w:rsidRDefault="00D33117" w:rsidP="00D33117">
      <w:pPr>
        <w:ind w:firstLine="567"/>
        <w:jc w:val="both"/>
        <w:rPr>
          <w:rFonts w:ascii="Cambria" w:eastAsia="Cambria" w:hAnsi="Cambria" w:cs="Cambria"/>
          <w:iCs/>
          <w:sz w:val="20"/>
          <w:szCs w:val="20"/>
        </w:rPr>
      </w:pPr>
      <w:r w:rsidRPr="00E50224">
        <w:rPr>
          <w:rFonts w:ascii="Cambria" w:hAnsi="Cambria"/>
          <w:i/>
          <w:iCs/>
          <w:sz w:val="20"/>
        </w:rPr>
        <w:t>RECORDANDO</w:t>
      </w:r>
      <w:r w:rsidRPr="00E50224">
        <w:rPr>
          <w:rFonts w:ascii="Cambria" w:hAnsi="Cambria"/>
          <w:sz w:val="20"/>
        </w:rPr>
        <w:t xml:space="preserve"> las medidas adoptadas por la Comisión para mejorar el estado de los marrajos dientusos</w:t>
      </w:r>
      <w:r w:rsidR="00AD2F9E" w:rsidRPr="00E50224">
        <w:rPr>
          <w:rFonts w:ascii="Cambria" w:hAnsi="Cambria"/>
          <w:sz w:val="20"/>
        </w:rPr>
        <w:t xml:space="preserve"> del Atlántico norte</w:t>
      </w:r>
      <w:r w:rsidRPr="00E50224">
        <w:rPr>
          <w:rFonts w:ascii="Cambria" w:hAnsi="Cambria"/>
          <w:sz w:val="20"/>
        </w:rPr>
        <w:t xml:space="preserve">, incluida la </w:t>
      </w:r>
      <w:r w:rsidRPr="00E50224">
        <w:rPr>
          <w:rFonts w:ascii="Cambria" w:hAnsi="Cambria"/>
          <w:i/>
          <w:iCs/>
          <w:sz w:val="20"/>
        </w:rPr>
        <w:t xml:space="preserve">Recomendación de ICCAT sobre la conservación del stock de marrajo dientuso del Atlántico norte capturado en asociación con pesquerías de ICCAT </w:t>
      </w:r>
      <w:r w:rsidRPr="00E50224">
        <w:rPr>
          <w:rFonts w:ascii="Cambria" w:hAnsi="Cambria"/>
          <w:sz w:val="20"/>
        </w:rPr>
        <w:t>(Recs. 17-08 y 19-06),</w:t>
      </w:r>
      <w:r w:rsidR="007B1172" w:rsidRPr="00E50224">
        <w:rPr>
          <w:rFonts w:ascii="Cambria" w:hAnsi="Cambria"/>
          <w:sz w:val="20"/>
        </w:rPr>
        <w:t xml:space="preserve"> </w:t>
      </w:r>
      <w:r w:rsidRPr="00E50224">
        <w:rPr>
          <w:rFonts w:ascii="Cambria" w:hAnsi="Cambria"/>
          <w:sz w:val="20"/>
        </w:rPr>
        <w:t>que implementaba medidas que tenían como objetivo poner fin a la sobrepesca del stock de marrajo dientuso del Atlántico norte con una elevada probabilidad, como primer paso para el desarrollo de un programa de recuperación;</w:t>
      </w:r>
    </w:p>
    <w:p w14:paraId="464A7618" w14:textId="77777777" w:rsidR="00D33117" w:rsidRPr="00E50224" w:rsidRDefault="00D33117" w:rsidP="00D33117">
      <w:pPr>
        <w:ind w:firstLine="720"/>
        <w:jc w:val="both"/>
        <w:rPr>
          <w:sz w:val="20"/>
          <w:szCs w:val="20"/>
        </w:rPr>
      </w:pPr>
    </w:p>
    <w:p w14:paraId="31A13F07" w14:textId="38AFEF65" w:rsidR="00D33117" w:rsidRPr="00E50224" w:rsidRDefault="00D33117" w:rsidP="00D33117">
      <w:pPr>
        <w:ind w:firstLine="567"/>
        <w:jc w:val="both"/>
        <w:rPr>
          <w:rFonts w:ascii="Cambria" w:hAnsi="Cambria"/>
          <w:sz w:val="20"/>
        </w:rPr>
      </w:pPr>
      <w:r w:rsidRPr="00E50224">
        <w:rPr>
          <w:rFonts w:ascii="Cambria" w:hAnsi="Cambria"/>
          <w:i/>
          <w:sz w:val="20"/>
        </w:rPr>
        <w:t xml:space="preserve">CONSIDERANDO </w:t>
      </w:r>
      <w:r w:rsidRPr="00E50224">
        <w:rPr>
          <w:rFonts w:ascii="Cambria" w:hAnsi="Cambria"/>
          <w:sz w:val="20"/>
        </w:rPr>
        <w:t xml:space="preserve">que la </w:t>
      </w:r>
      <w:r w:rsidRPr="00E50224">
        <w:rPr>
          <w:rFonts w:ascii="Cambria" w:hAnsi="Cambria"/>
          <w:i/>
          <w:iCs/>
          <w:sz w:val="20"/>
        </w:rPr>
        <w:t>Recomendación de ICCAT sobre los principios de toma de decisiones para las medidas de conservación y ordenación de ICCAT</w:t>
      </w:r>
      <w:r w:rsidRPr="00E50224">
        <w:rPr>
          <w:rFonts w:ascii="Cambria" w:hAnsi="Cambria"/>
          <w:sz w:val="20"/>
        </w:rPr>
        <w:t xml:space="preserve"> (Rec. 1</w:t>
      </w:r>
      <w:r w:rsidR="003E4192" w:rsidRPr="00E50224">
        <w:rPr>
          <w:rFonts w:ascii="Cambria" w:hAnsi="Cambria"/>
          <w:sz w:val="20"/>
        </w:rPr>
        <w:t>1</w:t>
      </w:r>
      <w:r w:rsidRPr="00E50224">
        <w:rPr>
          <w:rFonts w:ascii="Cambria" w:hAnsi="Cambria"/>
          <w:sz w:val="20"/>
        </w:rPr>
        <w:t>-13) pide a la Comisión que adopte inmediatamente medidas de ordenación concebidas de tal modo que tengan como resultado una probabilidad elevada de poner fin a la sobrepesca en el plazo más corto posible y adopte un plan para la recuperación del stock, teniendo en cuenta, entre otras cosas, la biología del stock y el asesoramiento del SCRS;</w:t>
      </w:r>
    </w:p>
    <w:p w14:paraId="6EDCCF66" w14:textId="77777777" w:rsidR="003C48A5" w:rsidRPr="00E50224" w:rsidRDefault="003C48A5" w:rsidP="00722AEF">
      <w:pPr>
        <w:ind w:firstLine="567"/>
        <w:jc w:val="both"/>
        <w:rPr>
          <w:rFonts w:ascii="Cambria" w:hAnsi="Cambria"/>
          <w:sz w:val="20"/>
        </w:rPr>
      </w:pPr>
    </w:p>
    <w:p w14:paraId="39C3654E" w14:textId="77777777" w:rsidR="005A227F" w:rsidRPr="00E50224" w:rsidRDefault="005A227F" w:rsidP="003C48A5">
      <w:pPr>
        <w:ind w:firstLine="567"/>
        <w:jc w:val="both"/>
        <w:rPr>
          <w:rFonts w:ascii="Cambria" w:hAnsi="Cambria"/>
          <w:sz w:val="20"/>
          <w:szCs w:val="20"/>
        </w:rPr>
      </w:pPr>
      <w:r w:rsidRPr="00E50224">
        <w:rPr>
          <w:rFonts w:ascii="Cambria" w:hAnsi="Cambria"/>
          <w:i/>
          <w:iCs/>
          <w:sz w:val="20"/>
          <w:szCs w:val="20"/>
        </w:rPr>
        <w:t>RECORDANDO</w:t>
      </w:r>
      <w:r w:rsidRPr="00E50224">
        <w:rPr>
          <w:rFonts w:ascii="Cambria" w:hAnsi="Cambria"/>
          <w:sz w:val="20"/>
          <w:szCs w:val="20"/>
        </w:rPr>
        <w:t xml:space="preserve"> las evaluaciones de riesgo ecológico realizadas por el SCRS en 2008 y 2012, que indican que el marrajo dientuso ocupa el tercer lugar en la tabla de vulnerabilidad;</w:t>
      </w:r>
    </w:p>
    <w:p w14:paraId="2E9E7E3C" w14:textId="4AB5D53E" w:rsidR="00722AEF" w:rsidRPr="00E50224" w:rsidRDefault="00722AEF" w:rsidP="00722AEF">
      <w:pPr>
        <w:jc w:val="both"/>
        <w:rPr>
          <w:rFonts w:ascii="Cambria" w:eastAsia="Cambria" w:hAnsi="Cambria" w:cs="Cambria"/>
          <w:i/>
          <w:sz w:val="20"/>
          <w:szCs w:val="20"/>
        </w:rPr>
      </w:pPr>
    </w:p>
    <w:p w14:paraId="40EFF059" w14:textId="0CBE5F34" w:rsidR="00DC6287" w:rsidRPr="00E50224" w:rsidRDefault="00DC6287" w:rsidP="00DC6287">
      <w:pPr>
        <w:ind w:firstLine="567"/>
        <w:jc w:val="both"/>
        <w:rPr>
          <w:rFonts w:ascii="Cambria" w:eastAsia="Cambria" w:hAnsi="Cambria" w:cs="Cambria"/>
          <w:bCs/>
          <w:sz w:val="20"/>
          <w:szCs w:val="20"/>
        </w:rPr>
      </w:pPr>
      <w:r w:rsidRPr="00E50224">
        <w:rPr>
          <w:rFonts w:ascii="Cambria" w:hAnsi="Cambria"/>
          <w:i/>
          <w:iCs/>
          <w:sz w:val="20"/>
          <w:szCs w:val="20"/>
        </w:rPr>
        <w:t>OBSERVANDO ADEMÁS</w:t>
      </w:r>
      <w:r w:rsidRPr="00E50224">
        <w:rPr>
          <w:rFonts w:ascii="Cambria" w:hAnsi="Cambria"/>
          <w:sz w:val="20"/>
          <w:szCs w:val="20"/>
        </w:rPr>
        <w:t xml:space="preserve"> que las proyecciones actualizadas realizadas por el SCRS en 2019 describen varios escenarios, incluido el escenario en el que un cierto grado de </w:t>
      </w:r>
      <w:r w:rsidR="00E13B2D" w:rsidRPr="00E50224">
        <w:rPr>
          <w:rFonts w:ascii="Cambria" w:hAnsi="Cambria"/>
          <w:sz w:val="20"/>
          <w:szCs w:val="20"/>
        </w:rPr>
        <w:t>mortalidad</w:t>
      </w:r>
      <w:r w:rsidRPr="00E50224">
        <w:rPr>
          <w:rFonts w:ascii="Cambria" w:hAnsi="Cambria"/>
          <w:sz w:val="20"/>
          <w:szCs w:val="20"/>
        </w:rPr>
        <w:t xml:space="preserve"> permitiría </w:t>
      </w:r>
      <w:r w:rsidR="00680EEB" w:rsidRPr="00E50224">
        <w:rPr>
          <w:rFonts w:ascii="Cambria" w:hAnsi="Cambria"/>
          <w:sz w:val="20"/>
          <w:szCs w:val="20"/>
        </w:rPr>
        <w:t xml:space="preserve">todavía </w:t>
      </w:r>
      <w:r w:rsidRPr="00E50224">
        <w:rPr>
          <w:rFonts w:ascii="Cambria" w:hAnsi="Cambria"/>
          <w:sz w:val="20"/>
          <w:szCs w:val="20"/>
        </w:rPr>
        <w:t xml:space="preserve">la recuperación del stock </w:t>
      </w:r>
      <w:r w:rsidR="003C458B" w:rsidRPr="00E50224">
        <w:rPr>
          <w:rFonts w:ascii="Cambria" w:hAnsi="Cambria"/>
          <w:sz w:val="20"/>
          <w:szCs w:val="20"/>
        </w:rPr>
        <w:t>desde ahora hasta</w:t>
      </w:r>
      <w:r w:rsidRPr="00E50224">
        <w:rPr>
          <w:rFonts w:ascii="Cambria" w:hAnsi="Cambria"/>
          <w:sz w:val="20"/>
          <w:szCs w:val="20"/>
        </w:rPr>
        <w:t xml:space="preserve"> 2070 con una probabilidad </w:t>
      </w:r>
      <w:r w:rsidR="00D201C2" w:rsidRPr="00E50224">
        <w:rPr>
          <w:rFonts w:ascii="Cambria" w:hAnsi="Cambria"/>
          <w:sz w:val="20"/>
          <w:szCs w:val="20"/>
        </w:rPr>
        <w:t xml:space="preserve">de que se </w:t>
      </w:r>
      <w:r w:rsidR="007657A2" w:rsidRPr="00E50224">
        <w:rPr>
          <w:rFonts w:ascii="Cambria" w:hAnsi="Cambria"/>
          <w:sz w:val="20"/>
          <w:szCs w:val="20"/>
        </w:rPr>
        <w:t>encuentre dentro de</w:t>
      </w:r>
      <w:r w:rsidR="00D201C2" w:rsidRPr="00E50224">
        <w:rPr>
          <w:rFonts w:ascii="Cambria" w:hAnsi="Cambria"/>
          <w:sz w:val="20"/>
          <w:szCs w:val="20"/>
        </w:rPr>
        <w:t xml:space="preserve"> un rango apropiado para los elasmobranquios.</w:t>
      </w:r>
    </w:p>
    <w:p w14:paraId="4FE46185" w14:textId="77777777" w:rsidR="00DC6287" w:rsidRPr="00E50224" w:rsidRDefault="00DC6287" w:rsidP="00DC6287">
      <w:pPr>
        <w:ind w:firstLine="567"/>
        <w:jc w:val="both"/>
        <w:rPr>
          <w:rFonts w:ascii="Cambria" w:eastAsia="Cambria" w:hAnsi="Cambria" w:cs="Cambria"/>
          <w:bCs/>
          <w:sz w:val="20"/>
          <w:szCs w:val="20"/>
        </w:rPr>
      </w:pPr>
    </w:p>
    <w:p w14:paraId="077E0755" w14:textId="67907CA9" w:rsidR="00DC6287" w:rsidRPr="00E50224" w:rsidRDefault="00DC6287" w:rsidP="00DC6287">
      <w:pPr>
        <w:ind w:firstLine="567"/>
        <w:jc w:val="both"/>
        <w:rPr>
          <w:rFonts w:ascii="Cambria" w:eastAsia="Cambria" w:hAnsi="Cambria" w:cs="Cambria"/>
          <w:bCs/>
          <w:sz w:val="20"/>
          <w:szCs w:val="20"/>
        </w:rPr>
      </w:pPr>
      <w:r w:rsidRPr="00E50224">
        <w:rPr>
          <w:rFonts w:ascii="Cambria" w:hAnsi="Cambria"/>
          <w:i/>
          <w:iCs/>
          <w:sz w:val="20"/>
          <w:szCs w:val="20"/>
        </w:rPr>
        <w:t>RECORDANDO TAMBIÉN</w:t>
      </w:r>
      <w:r w:rsidRPr="00E50224">
        <w:rPr>
          <w:rFonts w:ascii="Cambria" w:hAnsi="Cambria"/>
          <w:sz w:val="20"/>
          <w:szCs w:val="20"/>
        </w:rPr>
        <w:t xml:space="preserve"> </w:t>
      </w:r>
      <w:r w:rsidR="00E13B2D" w:rsidRPr="00E50224">
        <w:rPr>
          <w:rFonts w:ascii="Cambria" w:hAnsi="Cambria"/>
          <w:sz w:val="20"/>
          <w:szCs w:val="20"/>
        </w:rPr>
        <w:t xml:space="preserve">el asesoramiento del SCRS en cuanto a </w:t>
      </w:r>
      <w:r w:rsidRPr="00E50224">
        <w:rPr>
          <w:rFonts w:ascii="Cambria" w:hAnsi="Cambria"/>
          <w:sz w:val="20"/>
          <w:szCs w:val="20"/>
        </w:rPr>
        <w:t>que, independientemente del TAC</w:t>
      </w:r>
      <w:r w:rsidR="00E13B2D" w:rsidRPr="00E50224">
        <w:rPr>
          <w:rFonts w:ascii="Cambria" w:hAnsi="Cambria"/>
          <w:sz w:val="20"/>
          <w:szCs w:val="20"/>
        </w:rPr>
        <w:t xml:space="preserve"> (lo que incluye un TAC de 0 t)</w:t>
      </w:r>
      <w:r w:rsidRPr="00E50224">
        <w:rPr>
          <w:rFonts w:ascii="Cambria" w:hAnsi="Cambria"/>
          <w:sz w:val="20"/>
          <w:szCs w:val="20"/>
        </w:rPr>
        <w:t>, la biomasa del stock reproductor continuará descendiendo hasta 2035 antes de que pueda producirse un aumento, debido al tiempo necesario para que los juveniles alcancen la madurez y que incluso un TAC de cero solo permitirá que el stock se recupere y sin sobrepesca (en el cuadrante verde del diagrama de Kobe) desde ahora hasta 2045 y que, por consiguiente, debido a la biología del stock el periodo de recuperación será, en cualquier caso, largo;</w:t>
      </w:r>
    </w:p>
    <w:p w14:paraId="08EBFD75" w14:textId="62ADB3BC" w:rsidR="00DC6287" w:rsidRPr="00E50224" w:rsidRDefault="00DC6287" w:rsidP="00DC6287">
      <w:pPr>
        <w:ind w:firstLine="567"/>
        <w:jc w:val="both"/>
        <w:rPr>
          <w:rFonts w:ascii="Cambria" w:hAnsi="Cambria"/>
          <w:sz w:val="20"/>
          <w:szCs w:val="20"/>
        </w:rPr>
      </w:pPr>
    </w:p>
    <w:p w14:paraId="07312CB8" w14:textId="36920D66" w:rsidR="005A227F" w:rsidRPr="00E50224" w:rsidRDefault="005A227F" w:rsidP="005A227F">
      <w:pPr>
        <w:ind w:firstLine="567"/>
        <w:jc w:val="both"/>
        <w:rPr>
          <w:rFonts w:ascii="Cambria" w:hAnsi="Cambria"/>
          <w:sz w:val="20"/>
          <w:szCs w:val="20"/>
        </w:rPr>
      </w:pPr>
      <w:r w:rsidRPr="00E50224">
        <w:rPr>
          <w:rFonts w:ascii="Cambria" w:hAnsi="Cambria"/>
          <w:i/>
          <w:iCs/>
          <w:sz w:val="20"/>
          <w:szCs w:val="20"/>
        </w:rPr>
        <w:t>CONSCIENTE</w:t>
      </w:r>
      <w:r w:rsidRPr="00E50224">
        <w:rPr>
          <w:rFonts w:ascii="Cambria" w:hAnsi="Cambria"/>
          <w:sz w:val="20"/>
          <w:szCs w:val="20"/>
        </w:rPr>
        <w:t xml:space="preserve"> de que el SCRS ha hecho hincapié en que la comunicación de todas las fuentes de mortalidad es un elemento esencial para disminuir la incertidumbre en los resultados de la evaluación de stock y</w:t>
      </w:r>
      <w:r w:rsidR="003C48A5" w:rsidRPr="00E50224">
        <w:rPr>
          <w:rFonts w:ascii="Cambria" w:hAnsi="Cambria"/>
          <w:sz w:val="20"/>
          <w:szCs w:val="20"/>
        </w:rPr>
        <w:t>,</w:t>
      </w:r>
      <w:r w:rsidRPr="00E50224">
        <w:rPr>
          <w:rFonts w:ascii="Cambria" w:hAnsi="Cambria"/>
          <w:sz w:val="20"/>
          <w:szCs w:val="20"/>
        </w:rPr>
        <w:t xml:space="preserve"> en particular</w:t>
      </w:r>
      <w:r w:rsidR="003C48A5" w:rsidRPr="00E50224">
        <w:rPr>
          <w:rFonts w:ascii="Cambria" w:hAnsi="Cambria"/>
          <w:sz w:val="20"/>
          <w:szCs w:val="20"/>
        </w:rPr>
        <w:t>,</w:t>
      </w:r>
      <w:r w:rsidRPr="00E50224">
        <w:rPr>
          <w:rFonts w:ascii="Cambria" w:hAnsi="Cambria"/>
          <w:sz w:val="20"/>
          <w:szCs w:val="20"/>
        </w:rPr>
        <w:t xml:space="preserve"> la comunicación de la estimación de los descartes de ejemplares muertos para todas las pesquerías;</w:t>
      </w:r>
    </w:p>
    <w:p w14:paraId="445739DA" w14:textId="77777777" w:rsidR="007657A2" w:rsidRPr="00E50224" w:rsidRDefault="007657A2" w:rsidP="00DC6287">
      <w:pPr>
        <w:ind w:firstLine="567"/>
        <w:jc w:val="both"/>
        <w:rPr>
          <w:rFonts w:ascii="Cambria" w:eastAsia="Cambria" w:hAnsi="Cambria" w:cs="Cambria"/>
          <w:bCs/>
          <w:sz w:val="20"/>
          <w:szCs w:val="20"/>
        </w:rPr>
      </w:pPr>
    </w:p>
    <w:p w14:paraId="115D92D9" w14:textId="1BA461EB" w:rsidR="00722AEF" w:rsidRPr="00E50224" w:rsidRDefault="00722AEF" w:rsidP="00722AEF">
      <w:pPr>
        <w:ind w:firstLine="567"/>
        <w:jc w:val="both"/>
        <w:rPr>
          <w:rFonts w:ascii="Cambria" w:eastAsia="Cambria" w:hAnsi="Cambria" w:cs="Cambria"/>
          <w:sz w:val="20"/>
          <w:szCs w:val="20"/>
        </w:rPr>
      </w:pPr>
      <w:r w:rsidRPr="00E50224">
        <w:rPr>
          <w:rFonts w:ascii="Cambria" w:hAnsi="Cambria"/>
          <w:i/>
          <w:iCs/>
          <w:sz w:val="20"/>
        </w:rPr>
        <w:t>RECONOCIENDO TAMBIÉN</w:t>
      </w:r>
      <w:r w:rsidRPr="00E50224">
        <w:rPr>
          <w:rFonts w:ascii="Cambria" w:hAnsi="Cambria"/>
          <w:sz w:val="20"/>
        </w:rPr>
        <w:t xml:space="preserve"> el asesoramiento del SCRS sobre la necesidad de que las Partes contratantes y Partes, entidades o entidades pesqueras no contratantes colaboradoras (en lo sucesivo denominadas CPC) refuercen sus esfuerzos en cuanto a seguimiento y recopilación de datos para respaldar futuras evaluaciones de stock, lo que incluye, sin limitarse a ello, la estimación</w:t>
      </w:r>
      <w:r w:rsidR="00E13B2D" w:rsidRPr="00E50224">
        <w:rPr>
          <w:rFonts w:ascii="Cambria" w:hAnsi="Cambria"/>
          <w:sz w:val="20"/>
        </w:rPr>
        <w:t xml:space="preserve"> total</w:t>
      </w:r>
      <w:r w:rsidRPr="00E50224">
        <w:rPr>
          <w:rFonts w:ascii="Cambria" w:hAnsi="Cambria"/>
          <w:sz w:val="20"/>
        </w:rPr>
        <w:t xml:space="preserve"> de los descartes</w:t>
      </w:r>
      <w:r w:rsidR="003C458B" w:rsidRPr="00E50224">
        <w:rPr>
          <w:rFonts w:ascii="Cambria" w:hAnsi="Cambria"/>
          <w:sz w:val="20"/>
        </w:rPr>
        <w:t xml:space="preserve"> de ejemplares</w:t>
      </w:r>
      <w:r w:rsidRPr="00E50224">
        <w:rPr>
          <w:rFonts w:ascii="Cambria" w:hAnsi="Cambria"/>
          <w:sz w:val="20"/>
        </w:rPr>
        <w:t xml:space="preserve"> muertos </w:t>
      </w:r>
      <w:r w:rsidR="00E13B2D" w:rsidRPr="00E50224">
        <w:rPr>
          <w:rFonts w:ascii="Cambria" w:hAnsi="Cambria"/>
          <w:sz w:val="20"/>
          <w:szCs w:val="20"/>
        </w:rPr>
        <w:t>y de las liberaciones de ejemplares vivos</w:t>
      </w:r>
      <w:r w:rsidRPr="00E50224">
        <w:rPr>
          <w:rFonts w:ascii="Cambria" w:hAnsi="Cambria"/>
          <w:sz w:val="20"/>
        </w:rPr>
        <w:t xml:space="preserve"> y la estimación de la CPUE a partir de los datos de observadores; </w:t>
      </w:r>
    </w:p>
    <w:p w14:paraId="7108B376" w14:textId="04FD48A3" w:rsidR="00680EEB" w:rsidRPr="00E50224" w:rsidRDefault="00680EEB" w:rsidP="00680EEB">
      <w:pPr>
        <w:ind w:firstLine="567"/>
        <w:jc w:val="both"/>
        <w:rPr>
          <w:rFonts w:ascii="Cambria" w:hAnsi="Cambria"/>
          <w:i/>
          <w:iCs/>
          <w:sz w:val="20"/>
          <w:szCs w:val="20"/>
        </w:rPr>
      </w:pPr>
    </w:p>
    <w:p w14:paraId="0B9570A4" w14:textId="77777777" w:rsidR="00722AEF" w:rsidRPr="00E50224" w:rsidRDefault="00722AEF" w:rsidP="00722AEF">
      <w:pPr>
        <w:ind w:firstLine="567"/>
        <w:jc w:val="both"/>
        <w:rPr>
          <w:rFonts w:ascii="Cambria" w:eastAsia="Cambria" w:hAnsi="Cambria" w:cs="Cambria"/>
          <w:i/>
          <w:sz w:val="20"/>
          <w:szCs w:val="20"/>
        </w:rPr>
      </w:pPr>
      <w:r w:rsidRPr="00E50224">
        <w:rPr>
          <w:rFonts w:ascii="Cambria" w:hAnsi="Cambria"/>
          <w:i/>
          <w:iCs/>
          <w:sz w:val="20"/>
        </w:rPr>
        <w:lastRenderedPageBreak/>
        <w:t>RESPONDIENDO ADEMÁS</w:t>
      </w:r>
      <w:r w:rsidRPr="00E50224">
        <w:rPr>
          <w:rFonts w:ascii="Cambria" w:hAnsi="Cambria"/>
          <w:sz w:val="20"/>
        </w:rPr>
        <w:t xml:space="preserve"> a la necesidad de investigación adicional sobre métodos para reducir las interacciones del marrajo dientuso con las pesquerías de ICCAT, lo que incluye la identificación de zonas con un elevado nivel de interacciones;</w:t>
      </w:r>
    </w:p>
    <w:p w14:paraId="442CAF9F" w14:textId="19AA8056" w:rsidR="008323DA" w:rsidRPr="00E50224" w:rsidRDefault="008323DA">
      <w:pPr>
        <w:rPr>
          <w:rFonts w:eastAsia="MS Mincho" w:cs="Times New Roman"/>
          <w:sz w:val="20"/>
          <w:szCs w:val="20"/>
        </w:rPr>
      </w:pPr>
    </w:p>
    <w:p w14:paraId="5C50ABE5" w14:textId="3DA6D456" w:rsidR="001106FB" w:rsidRPr="00E50224" w:rsidRDefault="001106FB" w:rsidP="001106FB">
      <w:pPr>
        <w:widowControl w:val="0"/>
        <w:autoSpaceDE w:val="0"/>
        <w:autoSpaceDN w:val="0"/>
        <w:adjustRightInd w:val="0"/>
        <w:jc w:val="center"/>
        <w:rPr>
          <w:rFonts w:eastAsia="MS Mincho" w:cs="Times New Roman"/>
          <w:sz w:val="20"/>
          <w:szCs w:val="20"/>
        </w:rPr>
      </w:pPr>
      <w:r w:rsidRPr="00E50224">
        <w:rPr>
          <w:sz w:val="20"/>
        </w:rPr>
        <w:t>LA COMISIÓN INTERNACIONAL PARA LA CONSERVACIÓN</w:t>
      </w:r>
    </w:p>
    <w:p w14:paraId="1DDF5B31" w14:textId="66054FBB" w:rsidR="001106FB" w:rsidRPr="00E50224" w:rsidRDefault="001106FB" w:rsidP="001106FB">
      <w:pPr>
        <w:widowControl w:val="0"/>
        <w:autoSpaceDE w:val="0"/>
        <w:autoSpaceDN w:val="0"/>
        <w:adjustRightInd w:val="0"/>
        <w:jc w:val="center"/>
        <w:rPr>
          <w:rFonts w:eastAsia="MS Mincho" w:cs="Times New Roman"/>
          <w:sz w:val="20"/>
          <w:szCs w:val="20"/>
        </w:rPr>
      </w:pPr>
      <w:r w:rsidRPr="00E50224">
        <w:rPr>
          <w:sz w:val="20"/>
        </w:rPr>
        <w:t xml:space="preserve"> DEL ATÚN </w:t>
      </w:r>
      <w:r w:rsidR="00403304" w:rsidRPr="00E50224">
        <w:rPr>
          <w:sz w:val="20"/>
        </w:rPr>
        <w:t>ATLÁNTICO</w:t>
      </w:r>
      <w:r w:rsidRPr="00E50224">
        <w:rPr>
          <w:sz w:val="20"/>
        </w:rPr>
        <w:t xml:space="preserve"> (ICCAT) RECOMIENDA LO SIGUIENTE:</w:t>
      </w:r>
    </w:p>
    <w:p w14:paraId="1CBA28F7" w14:textId="77777777" w:rsidR="001106FB" w:rsidRPr="00E50224" w:rsidRDefault="001106FB" w:rsidP="001106FB">
      <w:pPr>
        <w:widowControl w:val="0"/>
        <w:autoSpaceDE w:val="0"/>
        <w:autoSpaceDN w:val="0"/>
        <w:adjustRightInd w:val="0"/>
        <w:rPr>
          <w:rFonts w:eastAsia="MS Mincho" w:cs="Times New Roman"/>
          <w:sz w:val="20"/>
          <w:szCs w:val="20"/>
          <w:lang w:eastAsia="ja-JP"/>
        </w:rPr>
      </w:pPr>
    </w:p>
    <w:p w14:paraId="2CC24E1E" w14:textId="545B0841" w:rsidR="00000D49" w:rsidRPr="00E50224" w:rsidRDefault="000B0CD7" w:rsidP="001106FB">
      <w:pPr>
        <w:widowControl w:val="0"/>
        <w:autoSpaceDE w:val="0"/>
        <w:autoSpaceDN w:val="0"/>
        <w:adjustRightInd w:val="0"/>
        <w:rPr>
          <w:rFonts w:eastAsia="MS Mincho" w:cs="Times New Roman"/>
          <w:b/>
          <w:sz w:val="20"/>
          <w:szCs w:val="20"/>
        </w:rPr>
      </w:pPr>
      <w:r w:rsidRPr="00E50224">
        <w:rPr>
          <w:b/>
          <w:sz w:val="20"/>
        </w:rPr>
        <w:t>Objetivos del programa de recuperación</w:t>
      </w:r>
    </w:p>
    <w:p w14:paraId="353BAC31" w14:textId="77777777" w:rsidR="00000D49" w:rsidRPr="00E50224" w:rsidRDefault="00000D49" w:rsidP="001106FB">
      <w:pPr>
        <w:widowControl w:val="0"/>
        <w:autoSpaceDE w:val="0"/>
        <w:autoSpaceDN w:val="0"/>
        <w:adjustRightInd w:val="0"/>
        <w:rPr>
          <w:rFonts w:eastAsia="MS Mincho" w:cs="Times New Roman"/>
          <w:sz w:val="20"/>
          <w:szCs w:val="20"/>
          <w:lang w:eastAsia="ja-JP"/>
        </w:rPr>
      </w:pPr>
    </w:p>
    <w:p w14:paraId="1C5B37FD" w14:textId="673D338D" w:rsidR="006F68E1" w:rsidRPr="00E50224" w:rsidRDefault="009F2E6D" w:rsidP="00DC6287">
      <w:pPr>
        <w:tabs>
          <w:tab w:val="left" w:pos="426"/>
        </w:tabs>
        <w:ind w:left="426" w:hanging="426"/>
        <w:jc w:val="both"/>
        <w:rPr>
          <w:sz w:val="20"/>
          <w:szCs w:val="20"/>
        </w:rPr>
      </w:pPr>
      <w:r w:rsidRPr="00E50224">
        <w:rPr>
          <w:sz w:val="20"/>
        </w:rPr>
        <w:t>1.</w:t>
      </w:r>
      <w:r w:rsidRPr="00E50224">
        <w:rPr>
          <w:sz w:val="20"/>
        </w:rPr>
        <w:tab/>
      </w:r>
      <w:r w:rsidR="00AF6568" w:rsidRPr="00E50224">
        <w:rPr>
          <w:sz w:val="20"/>
        </w:rPr>
        <w:t xml:space="preserve">Las Partes contratantes y Partes, </w:t>
      </w:r>
      <w:r w:rsidR="0012486A" w:rsidRPr="00E50224">
        <w:rPr>
          <w:sz w:val="20"/>
        </w:rPr>
        <w:t>e</w:t>
      </w:r>
      <w:r w:rsidR="00AF6568" w:rsidRPr="00E50224">
        <w:rPr>
          <w:sz w:val="20"/>
        </w:rPr>
        <w:t xml:space="preserve">ntidades o </w:t>
      </w:r>
      <w:r w:rsidR="0012486A" w:rsidRPr="00E50224">
        <w:rPr>
          <w:sz w:val="20"/>
        </w:rPr>
        <w:t>e</w:t>
      </w:r>
      <w:r w:rsidR="00AF6568" w:rsidRPr="00E50224">
        <w:rPr>
          <w:sz w:val="20"/>
        </w:rPr>
        <w:t>ntidades pesqueras no contratantes colaboradoras (en lo sucesivo denominadas CPC)</w:t>
      </w:r>
      <w:r w:rsidR="00F74D98" w:rsidRPr="00E50224">
        <w:rPr>
          <w:sz w:val="20"/>
        </w:rPr>
        <w:t xml:space="preserve"> </w:t>
      </w:r>
      <w:r w:rsidR="00AF6568" w:rsidRPr="00E50224">
        <w:rPr>
          <w:sz w:val="20"/>
        </w:rPr>
        <w:t xml:space="preserve">implementarán un </w:t>
      </w:r>
      <w:r w:rsidR="000B0CD7" w:rsidRPr="00E50224">
        <w:rPr>
          <w:sz w:val="20"/>
        </w:rPr>
        <w:t xml:space="preserve">programa </w:t>
      </w:r>
      <w:r w:rsidR="00AF6568" w:rsidRPr="00E50224">
        <w:rPr>
          <w:sz w:val="20"/>
        </w:rPr>
        <w:t>de recuperación</w:t>
      </w:r>
      <w:r w:rsidR="000B0CD7" w:rsidRPr="00E50224">
        <w:rPr>
          <w:sz w:val="20"/>
        </w:rPr>
        <w:t xml:space="preserve"> para el marrajo dientuso del Atlántico norte</w:t>
      </w:r>
      <w:r w:rsidR="00AF6568" w:rsidRPr="00E50224">
        <w:rPr>
          <w:sz w:val="20"/>
        </w:rPr>
        <w:t xml:space="preserve"> que comenzará</w:t>
      </w:r>
      <w:r w:rsidR="000B0CD7" w:rsidRPr="00E50224">
        <w:rPr>
          <w:sz w:val="20"/>
        </w:rPr>
        <w:t xml:space="preserve"> en 2022 con el objetivo de poner fin a la sobrepesca</w:t>
      </w:r>
      <w:r w:rsidR="00AF6568" w:rsidRPr="00E50224">
        <w:rPr>
          <w:sz w:val="20"/>
        </w:rPr>
        <w:t xml:space="preserve"> inmediatamente y </w:t>
      </w:r>
      <w:r w:rsidR="000B0CD7" w:rsidRPr="00E50224">
        <w:rPr>
          <w:sz w:val="20"/>
        </w:rPr>
        <w:t xml:space="preserve">lograr </w:t>
      </w:r>
      <w:r w:rsidR="00AF6568" w:rsidRPr="00E50224">
        <w:rPr>
          <w:sz w:val="20"/>
        </w:rPr>
        <w:t>gradualmente niveles</w:t>
      </w:r>
      <w:r w:rsidR="000B0CD7" w:rsidRPr="00E50224">
        <w:rPr>
          <w:sz w:val="20"/>
        </w:rPr>
        <w:t xml:space="preserve"> de biomasa</w:t>
      </w:r>
      <w:r w:rsidR="00AF6568" w:rsidRPr="00E50224">
        <w:rPr>
          <w:sz w:val="20"/>
        </w:rPr>
        <w:t xml:space="preserve"> </w:t>
      </w:r>
      <w:r w:rsidR="00403304" w:rsidRPr="00E50224">
        <w:rPr>
          <w:sz w:val="20"/>
        </w:rPr>
        <w:t>suficientes</w:t>
      </w:r>
      <w:r w:rsidR="00AF6568" w:rsidRPr="00E50224">
        <w:rPr>
          <w:sz w:val="20"/>
        </w:rPr>
        <w:t xml:space="preserve"> que permitan el rendimiento máximo sostenible (RMS) desde ahora hasta 2070</w:t>
      </w:r>
      <w:r w:rsidR="000B0CD7" w:rsidRPr="00E50224">
        <w:rPr>
          <w:sz w:val="20"/>
        </w:rPr>
        <w:t xml:space="preserve">, con una probabilidad </w:t>
      </w:r>
      <w:r w:rsidR="00DE66C1" w:rsidRPr="00E50224">
        <w:rPr>
          <w:sz w:val="20"/>
        </w:rPr>
        <w:t>que se sitúe al menos e</w:t>
      </w:r>
      <w:r w:rsidR="00B50CD0" w:rsidRPr="00E50224">
        <w:rPr>
          <w:sz w:val="20"/>
        </w:rPr>
        <w:t>n</w:t>
      </w:r>
      <w:r w:rsidR="00831B91" w:rsidRPr="00E50224">
        <w:rPr>
          <w:sz w:val="20"/>
        </w:rPr>
        <w:t xml:space="preserve"> una </w:t>
      </w:r>
      <w:r w:rsidR="0072497C" w:rsidRPr="00E50224">
        <w:rPr>
          <w:sz w:val="20"/>
        </w:rPr>
        <w:t>gama entre</w:t>
      </w:r>
      <w:r w:rsidR="00E54FC4" w:rsidRPr="00E50224">
        <w:rPr>
          <w:sz w:val="20"/>
        </w:rPr>
        <w:t xml:space="preserve"> el</w:t>
      </w:r>
      <w:r w:rsidR="0072497C" w:rsidRPr="00E50224">
        <w:rPr>
          <w:sz w:val="20"/>
        </w:rPr>
        <w:t xml:space="preserve"> 60</w:t>
      </w:r>
      <w:r w:rsidR="00E54FC4" w:rsidRPr="00E50224">
        <w:rPr>
          <w:sz w:val="20"/>
        </w:rPr>
        <w:t xml:space="preserve"> %</w:t>
      </w:r>
      <w:r w:rsidR="0072497C" w:rsidRPr="00E50224">
        <w:rPr>
          <w:sz w:val="20"/>
        </w:rPr>
        <w:t xml:space="preserve"> y </w:t>
      </w:r>
      <w:r w:rsidR="00620BF3" w:rsidRPr="00E50224">
        <w:rPr>
          <w:sz w:val="20"/>
        </w:rPr>
        <w:t xml:space="preserve">el </w:t>
      </w:r>
      <w:r w:rsidR="0072497C" w:rsidRPr="00E50224">
        <w:rPr>
          <w:sz w:val="20"/>
        </w:rPr>
        <w:t>70</w:t>
      </w:r>
      <w:r w:rsidR="00620BF3" w:rsidRPr="00E50224">
        <w:rPr>
          <w:sz w:val="20"/>
        </w:rPr>
        <w:t xml:space="preserve"> </w:t>
      </w:r>
      <w:r w:rsidR="0072497C" w:rsidRPr="00E50224">
        <w:rPr>
          <w:sz w:val="20"/>
        </w:rPr>
        <w:t>%</w:t>
      </w:r>
      <w:r w:rsidR="00B50CD0" w:rsidRPr="00E50224">
        <w:rPr>
          <w:sz w:val="20"/>
        </w:rPr>
        <w:t>.</w:t>
      </w:r>
    </w:p>
    <w:p w14:paraId="2276375C" w14:textId="77777777" w:rsidR="00680EEB" w:rsidRPr="00E50224" w:rsidRDefault="00680EEB" w:rsidP="00680EEB">
      <w:pPr>
        <w:tabs>
          <w:tab w:val="left" w:pos="426"/>
        </w:tabs>
        <w:ind w:left="426" w:hanging="284"/>
        <w:jc w:val="both"/>
        <w:rPr>
          <w:sz w:val="20"/>
        </w:rPr>
      </w:pPr>
    </w:p>
    <w:p w14:paraId="684F4F3D" w14:textId="4E9977BF" w:rsidR="00DC6287" w:rsidRPr="005500DF" w:rsidRDefault="006152F0" w:rsidP="009D01F3">
      <w:pPr>
        <w:tabs>
          <w:tab w:val="left" w:pos="426"/>
        </w:tabs>
        <w:ind w:left="426" w:hanging="426"/>
        <w:jc w:val="both"/>
        <w:rPr>
          <w:rFonts w:ascii="Cambria" w:hAnsi="Cambria"/>
          <w:sz w:val="20"/>
          <w:szCs w:val="20"/>
        </w:rPr>
      </w:pPr>
      <w:r w:rsidRPr="00E50224">
        <w:rPr>
          <w:sz w:val="20"/>
        </w:rPr>
        <w:t>2.</w:t>
      </w:r>
      <w:r w:rsidRPr="00E50224">
        <w:rPr>
          <w:sz w:val="20"/>
        </w:rPr>
        <w:tab/>
      </w:r>
      <w:r w:rsidR="00DC6287" w:rsidRPr="00E50224">
        <w:rPr>
          <w:rFonts w:ascii="Cambria" w:hAnsi="Cambria"/>
          <w:sz w:val="20"/>
          <w:szCs w:val="20"/>
        </w:rPr>
        <w:t xml:space="preserve">Con este fin, las CPC aplicarán las normas establecidas en esta </w:t>
      </w:r>
      <w:r w:rsidR="003C458B" w:rsidRPr="00E50224">
        <w:rPr>
          <w:rFonts w:ascii="Cambria" w:hAnsi="Cambria"/>
          <w:sz w:val="20"/>
          <w:szCs w:val="20"/>
        </w:rPr>
        <w:t xml:space="preserve">Recomendación </w:t>
      </w:r>
      <w:r w:rsidR="00DC6287" w:rsidRPr="00E50224">
        <w:rPr>
          <w:rFonts w:ascii="Cambria" w:hAnsi="Cambria"/>
          <w:sz w:val="20"/>
          <w:szCs w:val="20"/>
        </w:rPr>
        <w:t xml:space="preserve">con el objetivo de </w:t>
      </w:r>
      <w:r w:rsidR="00DC6287" w:rsidRPr="00E50224">
        <w:rPr>
          <w:sz w:val="20"/>
        </w:rPr>
        <w:t>reducir</w:t>
      </w:r>
      <w:r w:rsidR="00E13B2D" w:rsidRPr="00E50224">
        <w:rPr>
          <w:sz w:val="20"/>
        </w:rPr>
        <w:t xml:space="preserve"> </w:t>
      </w:r>
      <w:r w:rsidR="00E13B2D" w:rsidRPr="00E50224">
        <w:rPr>
          <w:rFonts w:ascii="Cambria" w:hAnsi="Cambria"/>
          <w:sz w:val="20"/>
          <w:szCs w:val="20"/>
        </w:rPr>
        <w:t>la mortalidad por pesca total</w:t>
      </w:r>
      <w:r w:rsidR="007657A2" w:rsidRPr="00E50224">
        <w:rPr>
          <w:rFonts w:ascii="Cambria" w:hAnsi="Cambria"/>
          <w:sz w:val="20"/>
          <w:szCs w:val="20"/>
        </w:rPr>
        <w:t xml:space="preserve"> (la suma de cualquier retención, descarte de ejemplares muertos y mortalidad tras la liberación de los descartes de ejemplare vivos)</w:t>
      </w:r>
      <w:r w:rsidR="00E13B2D" w:rsidRPr="00E50224">
        <w:rPr>
          <w:rFonts w:ascii="Cambria" w:hAnsi="Cambria"/>
          <w:sz w:val="20"/>
          <w:szCs w:val="20"/>
        </w:rPr>
        <w:t xml:space="preserve"> para </w:t>
      </w:r>
      <w:r w:rsidR="00DC6287" w:rsidRPr="00E50224">
        <w:rPr>
          <w:rFonts w:ascii="Cambria" w:hAnsi="Cambria"/>
          <w:sz w:val="20"/>
          <w:szCs w:val="20"/>
        </w:rPr>
        <w:t>mantener la mortalidad en niveles sostenibles</w:t>
      </w:r>
      <w:r w:rsidR="002C293F" w:rsidRPr="00E50224">
        <w:rPr>
          <w:rFonts w:ascii="Cambria" w:hAnsi="Cambria"/>
          <w:sz w:val="20"/>
          <w:szCs w:val="20"/>
        </w:rPr>
        <w:t xml:space="preserve"> para la recuperación del stock</w:t>
      </w:r>
      <w:r w:rsidR="00DC6287" w:rsidRPr="00E50224">
        <w:rPr>
          <w:rFonts w:ascii="Cambria" w:hAnsi="Cambria"/>
          <w:sz w:val="20"/>
          <w:szCs w:val="20"/>
        </w:rPr>
        <w:t xml:space="preserve"> y establecer</w:t>
      </w:r>
      <w:r w:rsidR="002C293F" w:rsidRPr="00E50224">
        <w:rPr>
          <w:rFonts w:ascii="Cambria" w:hAnsi="Cambria"/>
          <w:sz w:val="20"/>
          <w:szCs w:val="20"/>
        </w:rPr>
        <w:t xml:space="preserve"> un proceso para determinar</w:t>
      </w:r>
      <w:r w:rsidR="00DC6287" w:rsidRPr="00E50224">
        <w:rPr>
          <w:rFonts w:ascii="Cambria" w:hAnsi="Cambria"/>
          <w:sz w:val="20"/>
          <w:szCs w:val="20"/>
        </w:rPr>
        <w:t xml:space="preserve"> si en algún año </w:t>
      </w:r>
      <w:r w:rsidR="00DC6287" w:rsidRPr="005500DF">
        <w:rPr>
          <w:rFonts w:ascii="Cambria" w:hAnsi="Cambria"/>
          <w:sz w:val="20"/>
          <w:szCs w:val="20"/>
        </w:rPr>
        <w:t xml:space="preserve">determinado existe una posibilidad de retención. </w:t>
      </w:r>
    </w:p>
    <w:p w14:paraId="494D8325" w14:textId="77777777" w:rsidR="005F7A9F" w:rsidRPr="005500DF" w:rsidRDefault="005F7A9F" w:rsidP="00DC6287">
      <w:pPr>
        <w:tabs>
          <w:tab w:val="left" w:pos="426"/>
        </w:tabs>
        <w:ind w:left="426" w:hanging="284"/>
        <w:jc w:val="both"/>
        <w:rPr>
          <w:rFonts w:ascii="Cambria" w:hAnsi="Cambria"/>
          <w:sz w:val="20"/>
          <w:szCs w:val="20"/>
        </w:rPr>
      </w:pPr>
    </w:p>
    <w:p w14:paraId="750DE161" w14:textId="1E852B95" w:rsidR="00E36B02" w:rsidRPr="005500DF" w:rsidRDefault="007657A2" w:rsidP="007657A2">
      <w:pPr>
        <w:widowControl w:val="0"/>
        <w:spacing w:line="220" w:lineRule="exact"/>
        <w:contextualSpacing/>
        <w:jc w:val="both"/>
        <w:rPr>
          <w:rFonts w:ascii="Cambria" w:eastAsia="Times New Roman" w:hAnsi="Cambria"/>
          <w:b/>
          <w:bCs/>
          <w:sz w:val="20"/>
          <w:szCs w:val="20"/>
        </w:rPr>
      </w:pPr>
      <w:r w:rsidRPr="005500DF">
        <w:rPr>
          <w:rFonts w:ascii="Cambria" w:eastAsia="Times New Roman" w:hAnsi="Cambria"/>
          <w:b/>
          <w:bCs/>
          <w:sz w:val="20"/>
          <w:szCs w:val="20"/>
        </w:rPr>
        <w:t xml:space="preserve">Primer paso en la recuperación del stock y proceso para determinar la retención </w:t>
      </w:r>
      <w:r w:rsidR="00CF52B5" w:rsidRPr="005500DF">
        <w:rPr>
          <w:rFonts w:ascii="Cambria" w:eastAsia="Times New Roman" w:hAnsi="Cambria"/>
          <w:b/>
          <w:bCs/>
          <w:sz w:val="20"/>
          <w:szCs w:val="20"/>
        </w:rPr>
        <w:t>permitida</w:t>
      </w:r>
      <w:r w:rsidRPr="005500DF">
        <w:rPr>
          <w:rFonts w:ascii="Cambria" w:eastAsia="Times New Roman" w:hAnsi="Cambria"/>
          <w:b/>
          <w:bCs/>
          <w:sz w:val="20"/>
          <w:szCs w:val="20"/>
        </w:rPr>
        <w:t xml:space="preserve"> futura</w:t>
      </w:r>
    </w:p>
    <w:p w14:paraId="70DEA35A" w14:textId="75CF3604" w:rsidR="0012486A" w:rsidRPr="005500DF" w:rsidRDefault="0012486A" w:rsidP="0012486A">
      <w:pPr>
        <w:tabs>
          <w:tab w:val="left" w:pos="426"/>
        </w:tabs>
        <w:ind w:left="426" w:hanging="426"/>
        <w:jc w:val="both"/>
        <w:rPr>
          <w:rFonts w:ascii="Cambria" w:hAnsi="Cambria"/>
          <w:sz w:val="20"/>
        </w:rPr>
      </w:pPr>
    </w:p>
    <w:p w14:paraId="70EA7181" w14:textId="6C4C02E7" w:rsidR="00B542A8" w:rsidRPr="005500DF" w:rsidRDefault="0012486A" w:rsidP="00E1155E">
      <w:pPr>
        <w:tabs>
          <w:tab w:val="left" w:pos="426"/>
        </w:tabs>
        <w:ind w:left="425" w:hanging="425"/>
        <w:jc w:val="both"/>
        <w:rPr>
          <w:rFonts w:ascii="Cambria" w:hAnsi="Cambria"/>
          <w:sz w:val="20"/>
        </w:rPr>
      </w:pPr>
      <w:r w:rsidRPr="005500DF">
        <w:rPr>
          <w:rFonts w:ascii="Cambria" w:hAnsi="Cambria"/>
          <w:sz w:val="20"/>
        </w:rPr>
        <w:t>3.</w:t>
      </w:r>
      <w:r w:rsidRPr="005500DF">
        <w:rPr>
          <w:rFonts w:ascii="Cambria" w:hAnsi="Cambria"/>
          <w:sz w:val="20"/>
        </w:rPr>
        <w:tab/>
      </w:r>
      <w:r w:rsidR="00B542A8" w:rsidRPr="005500DF">
        <w:rPr>
          <w:rFonts w:ascii="Cambria" w:hAnsi="Cambria"/>
          <w:sz w:val="20"/>
        </w:rPr>
        <w:t xml:space="preserve">Las CPC implementarán una prohibición </w:t>
      </w:r>
      <w:r w:rsidR="00A5534E" w:rsidRPr="005500DF">
        <w:rPr>
          <w:rFonts w:ascii="Cambria" w:hAnsi="Cambria"/>
          <w:sz w:val="20"/>
        </w:rPr>
        <w:t>de</w:t>
      </w:r>
      <w:r w:rsidR="00B542A8" w:rsidRPr="005500DF">
        <w:rPr>
          <w:rFonts w:ascii="Cambria" w:hAnsi="Cambria"/>
          <w:sz w:val="20"/>
        </w:rPr>
        <w:t xml:space="preserve"> retener a bordo</w:t>
      </w:r>
      <w:r w:rsidR="00A5534E" w:rsidRPr="005500DF">
        <w:rPr>
          <w:rFonts w:ascii="Cambria" w:hAnsi="Cambria"/>
          <w:sz w:val="20"/>
        </w:rPr>
        <w:t>, transbordar</w:t>
      </w:r>
      <w:r w:rsidR="00B542A8" w:rsidRPr="005500DF">
        <w:rPr>
          <w:rFonts w:ascii="Cambria" w:hAnsi="Cambria"/>
          <w:sz w:val="20"/>
        </w:rPr>
        <w:t xml:space="preserve"> y desembarcar, total o parcialmente, marrajo dientuso del Atlántico norte capturado en asociación con las pesquerías de ICCAT en 2022 y 2023 como primer paso para la recuperación de stock</w:t>
      </w:r>
      <w:r w:rsidR="00A5534E" w:rsidRPr="005500DF">
        <w:rPr>
          <w:rFonts w:ascii="Cambria" w:hAnsi="Cambria"/>
          <w:sz w:val="20"/>
        </w:rPr>
        <w:t>.</w:t>
      </w:r>
    </w:p>
    <w:p w14:paraId="453586BF" w14:textId="77777777" w:rsidR="00C844B8" w:rsidRPr="005500DF" w:rsidRDefault="00C844B8" w:rsidP="00E1155E">
      <w:pPr>
        <w:ind w:left="357"/>
        <w:jc w:val="both"/>
        <w:textAlignment w:val="baseline"/>
        <w:rPr>
          <w:sz w:val="20"/>
          <w:szCs w:val="20"/>
        </w:rPr>
      </w:pPr>
    </w:p>
    <w:p w14:paraId="76291AC2" w14:textId="1AD610C7" w:rsidR="001E61E9" w:rsidRPr="005500DF" w:rsidRDefault="0012486A" w:rsidP="00D43ED8">
      <w:pPr>
        <w:ind w:left="426" w:hanging="426"/>
        <w:jc w:val="both"/>
        <w:rPr>
          <w:rFonts w:ascii="Cambria" w:hAnsi="Cambria"/>
          <w:sz w:val="20"/>
          <w:szCs w:val="20"/>
        </w:rPr>
      </w:pPr>
      <w:r w:rsidRPr="005500DF">
        <w:rPr>
          <w:rFonts w:ascii="Cambria" w:hAnsi="Cambria"/>
          <w:sz w:val="20"/>
          <w:szCs w:val="20"/>
        </w:rPr>
        <w:t>4.</w:t>
      </w:r>
      <w:r w:rsidRPr="005500DF">
        <w:rPr>
          <w:rFonts w:ascii="Cambria" w:hAnsi="Cambria"/>
          <w:sz w:val="20"/>
          <w:szCs w:val="20"/>
        </w:rPr>
        <w:tab/>
      </w:r>
      <w:r w:rsidR="001E61E9" w:rsidRPr="005500DF">
        <w:rPr>
          <w:rFonts w:ascii="Cambria" w:hAnsi="Cambria"/>
          <w:sz w:val="20"/>
          <w:szCs w:val="20"/>
        </w:rPr>
        <w:t xml:space="preserve">El tonelaje de mortalidad </w:t>
      </w:r>
      <w:r w:rsidR="00D00874" w:rsidRPr="005500DF">
        <w:rPr>
          <w:rFonts w:ascii="Cambria" w:hAnsi="Cambria"/>
          <w:sz w:val="20"/>
          <w:szCs w:val="20"/>
        </w:rPr>
        <w:t>por</w:t>
      </w:r>
      <w:r w:rsidR="001E61E9" w:rsidRPr="005500DF">
        <w:rPr>
          <w:rFonts w:ascii="Cambria" w:hAnsi="Cambria"/>
          <w:sz w:val="20"/>
          <w:szCs w:val="20"/>
        </w:rPr>
        <w:t xml:space="preserve"> pesca total </w:t>
      </w:r>
      <w:r w:rsidR="00D00874" w:rsidRPr="005500DF">
        <w:rPr>
          <w:rFonts w:ascii="Cambria" w:hAnsi="Cambria"/>
          <w:sz w:val="20"/>
          <w:szCs w:val="20"/>
        </w:rPr>
        <w:t>asociado con el</w:t>
      </w:r>
      <w:r w:rsidR="0051182B" w:rsidRPr="005500DF">
        <w:rPr>
          <w:rFonts w:ascii="Cambria" w:hAnsi="Cambria"/>
          <w:sz w:val="20"/>
          <w:szCs w:val="20"/>
        </w:rPr>
        <w:t xml:space="preserve"> </w:t>
      </w:r>
      <w:r w:rsidR="001E61E9" w:rsidRPr="005500DF">
        <w:rPr>
          <w:rFonts w:ascii="Cambria" w:hAnsi="Cambria"/>
          <w:sz w:val="20"/>
          <w:szCs w:val="20"/>
        </w:rPr>
        <w:t xml:space="preserve">nivel de probabilidad establecido en el párrafo 1 se basará en la matriz de estrategia de Kobe </w:t>
      </w:r>
      <w:r w:rsidR="006E697C" w:rsidRPr="005500DF">
        <w:rPr>
          <w:rFonts w:ascii="Cambria" w:hAnsi="Cambria"/>
          <w:sz w:val="20"/>
          <w:szCs w:val="20"/>
        </w:rPr>
        <w:t>II</w:t>
      </w:r>
      <w:r w:rsidR="001E61E9" w:rsidRPr="005500DF">
        <w:rPr>
          <w:rFonts w:ascii="Cambria" w:hAnsi="Cambria"/>
          <w:sz w:val="20"/>
          <w:szCs w:val="20"/>
        </w:rPr>
        <w:t xml:space="preserve"> más reciente proporcionada por el SCRS para el marrajo dientuso del Atlántico norte (la probabilidad de F &lt; F</w:t>
      </w:r>
      <w:r w:rsidR="001E61E9" w:rsidRPr="005500DF">
        <w:rPr>
          <w:rFonts w:ascii="Cambria" w:hAnsi="Cambria"/>
          <w:sz w:val="20"/>
          <w:szCs w:val="20"/>
          <w:vertAlign w:val="subscript"/>
        </w:rPr>
        <w:t>RMS</w:t>
      </w:r>
      <w:r w:rsidR="001E61E9" w:rsidRPr="005500DF">
        <w:rPr>
          <w:rFonts w:ascii="Cambria" w:hAnsi="Cambria"/>
          <w:sz w:val="20"/>
          <w:szCs w:val="20"/>
        </w:rPr>
        <w:t> y SSF</w:t>
      </w:r>
      <w:r w:rsidR="00E1155E" w:rsidRPr="005500DF">
        <w:rPr>
          <w:rStyle w:val="FootnoteReference"/>
          <w:rFonts w:ascii="Cambria" w:hAnsi="Cambria"/>
          <w:sz w:val="20"/>
          <w:szCs w:val="20"/>
        </w:rPr>
        <w:footnoteReference w:id="1"/>
      </w:r>
      <w:r w:rsidR="001E61E9" w:rsidRPr="005500DF">
        <w:rPr>
          <w:rFonts w:ascii="Cambria" w:hAnsi="Cambria"/>
          <w:sz w:val="20"/>
          <w:szCs w:val="20"/>
        </w:rPr>
        <w:t>&gt; SSF</w:t>
      </w:r>
      <w:r w:rsidR="001E61E9" w:rsidRPr="005500DF">
        <w:rPr>
          <w:rFonts w:ascii="Cambria" w:hAnsi="Cambria"/>
          <w:sz w:val="20"/>
          <w:szCs w:val="20"/>
          <w:vertAlign w:val="subscript"/>
        </w:rPr>
        <w:t>RMS</w:t>
      </w:r>
      <w:r w:rsidR="001E61E9" w:rsidRPr="005500DF">
        <w:rPr>
          <w:rFonts w:ascii="Cambria" w:hAnsi="Cambria"/>
          <w:sz w:val="20"/>
          <w:szCs w:val="20"/>
        </w:rPr>
        <w:t xml:space="preserve">). Tras cada evaluación de stock, el SCRS actualizará la matriz de estrategia de Kobe </w:t>
      </w:r>
      <w:r w:rsidR="006E697C" w:rsidRPr="005500DF">
        <w:rPr>
          <w:rFonts w:ascii="Cambria" w:hAnsi="Cambria"/>
          <w:sz w:val="20"/>
          <w:szCs w:val="20"/>
        </w:rPr>
        <w:t>II</w:t>
      </w:r>
      <w:r w:rsidR="001E61E9" w:rsidRPr="005500DF">
        <w:rPr>
          <w:rFonts w:ascii="Cambria" w:hAnsi="Cambria"/>
          <w:sz w:val="20"/>
          <w:szCs w:val="20"/>
        </w:rPr>
        <w:t xml:space="preserve"> de un modo coherente con los objetivos establecidos en el párrafo 1 para su aprobación por la Comisión.</w:t>
      </w:r>
    </w:p>
    <w:p w14:paraId="7CADCC46" w14:textId="3282881A" w:rsidR="001E61E9" w:rsidRPr="005500DF" w:rsidRDefault="001E61E9" w:rsidP="001E61E9">
      <w:pPr>
        <w:rPr>
          <w:rFonts w:ascii="Cambria" w:hAnsi="Cambria"/>
          <w:sz w:val="20"/>
          <w:szCs w:val="20"/>
        </w:rPr>
      </w:pPr>
    </w:p>
    <w:p w14:paraId="3B8A64DB" w14:textId="39C15A20" w:rsidR="001E61E9" w:rsidRPr="005500DF" w:rsidRDefault="001E61E9" w:rsidP="0051182B">
      <w:pPr>
        <w:pStyle w:val="ListParagraph"/>
        <w:numPr>
          <w:ilvl w:val="0"/>
          <w:numId w:val="37"/>
        </w:numPr>
        <w:jc w:val="both"/>
        <w:rPr>
          <w:rFonts w:ascii="Cambria" w:hAnsi="Cambria"/>
          <w:sz w:val="20"/>
          <w:szCs w:val="20"/>
        </w:rPr>
      </w:pPr>
      <w:r w:rsidRPr="005500DF">
        <w:rPr>
          <w:rFonts w:ascii="Cambria" w:hAnsi="Cambria"/>
          <w:sz w:val="20"/>
          <w:szCs w:val="20"/>
        </w:rPr>
        <w:t>De un modo coherente con los objetivos establecidos en el párrafo 1 y</w:t>
      </w:r>
      <w:r w:rsidR="0051182B" w:rsidRPr="005500DF">
        <w:rPr>
          <w:rFonts w:ascii="Cambria" w:hAnsi="Cambria"/>
          <w:sz w:val="20"/>
          <w:szCs w:val="20"/>
        </w:rPr>
        <w:t xml:space="preserve"> con </w:t>
      </w:r>
      <w:r w:rsidRPr="005500DF">
        <w:rPr>
          <w:rFonts w:ascii="Cambria" w:hAnsi="Cambria"/>
          <w:sz w:val="20"/>
          <w:szCs w:val="20"/>
        </w:rPr>
        <w:t xml:space="preserve">la matriz de estrategia de Kobe </w:t>
      </w:r>
      <w:r w:rsidR="006E697C" w:rsidRPr="005500DF">
        <w:rPr>
          <w:rFonts w:ascii="Cambria" w:hAnsi="Cambria"/>
          <w:sz w:val="20"/>
          <w:szCs w:val="20"/>
        </w:rPr>
        <w:t>II</w:t>
      </w:r>
      <w:r w:rsidRPr="005500DF">
        <w:rPr>
          <w:rFonts w:ascii="Cambria" w:hAnsi="Cambria"/>
          <w:sz w:val="20"/>
          <w:szCs w:val="20"/>
        </w:rPr>
        <w:t xml:space="preserve"> del SCRS de 2019, la mortalidad por pesca </w:t>
      </w:r>
      <w:r w:rsidR="0051182B" w:rsidRPr="005500DF">
        <w:rPr>
          <w:rFonts w:ascii="Cambria" w:hAnsi="Cambria"/>
          <w:sz w:val="20"/>
          <w:szCs w:val="20"/>
        </w:rPr>
        <w:t xml:space="preserve">total </w:t>
      </w:r>
      <w:r w:rsidRPr="005500DF">
        <w:rPr>
          <w:rFonts w:ascii="Cambria" w:hAnsi="Cambria"/>
          <w:sz w:val="20"/>
          <w:szCs w:val="20"/>
        </w:rPr>
        <w:t xml:space="preserve">del marrajo dientuso del Atlántico norte no será superior a </w:t>
      </w:r>
      <w:r w:rsidR="0072497C" w:rsidRPr="005500DF">
        <w:rPr>
          <w:rFonts w:ascii="Cambria" w:hAnsi="Cambria"/>
          <w:sz w:val="20"/>
          <w:szCs w:val="20"/>
        </w:rPr>
        <w:t>250</w:t>
      </w:r>
      <w:r w:rsidR="00D00874" w:rsidRPr="005500DF">
        <w:rPr>
          <w:rFonts w:ascii="Cambria" w:hAnsi="Cambria"/>
          <w:sz w:val="20"/>
          <w:szCs w:val="20"/>
        </w:rPr>
        <w:t xml:space="preserve"> </w:t>
      </w:r>
      <w:r w:rsidR="00E54FC4" w:rsidRPr="005500DF">
        <w:rPr>
          <w:rFonts w:ascii="Cambria" w:hAnsi="Cambria"/>
          <w:sz w:val="20"/>
          <w:szCs w:val="20"/>
        </w:rPr>
        <w:t>t</w:t>
      </w:r>
      <w:r w:rsidRPr="005500DF">
        <w:rPr>
          <w:rFonts w:ascii="Cambria" w:hAnsi="Cambria"/>
          <w:sz w:val="20"/>
          <w:szCs w:val="20"/>
        </w:rPr>
        <w:t xml:space="preserve"> hasta que se facilite un nuevo asesoramiento del SCRS a la Comisión.</w:t>
      </w:r>
    </w:p>
    <w:p w14:paraId="3F208C0F" w14:textId="77777777" w:rsidR="001E61E9" w:rsidRPr="005500DF" w:rsidRDefault="001E61E9" w:rsidP="001E61E9">
      <w:pPr>
        <w:rPr>
          <w:rFonts w:ascii="Cambria" w:hAnsi="Cambria"/>
          <w:sz w:val="20"/>
          <w:szCs w:val="20"/>
        </w:rPr>
      </w:pPr>
    </w:p>
    <w:p w14:paraId="474C016C" w14:textId="57C8CEC6" w:rsidR="001E61E9" w:rsidRPr="00E50224" w:rsidRDefault="0012486A" w:rsidP="0012486A">
      <w:pPr>
        <w:ind w:left="426" w:hanging="426"/>
        <w:jc w:val="both"/>
        <w:rPr>
          <w:rFonts w:ascii="Cambria" w:hAnsi="Cambria"/>
          <w:sz w:val="20"/>
          <w:szCs w:val="20"/>
        </w:rPr>
      </w:pPr>
      <w:r w:rsidRPr="005500DF">
        <w:rPr>
          <w:rFonts w:ascii="Cambria" w:hAnsi="Cambria"/>
          <w:sz w:val="20"/>
          <w:szCs w:val="20"/>
        </w:rPr>
        <w:t>5.</w:t>
      </w:r>
      <w:r w:rsidRPr="005500DF">
        <w:rPr>
          <w:rFonts w:ascii="Cambria" w:hAnsi="Cambria"/>
          <w:sz w:val="20"/>
          <w:szCs w:val="20"/>
        </w:rPr>
        <w:tab/>
      </w:r>
      <w:r w:rsidR="001E61E9" w:rsidRPr="005500DF">
        <w:rPr>
          <w:rFonts w:ascii="Cambria" w:hAnsi="Cambria"/>
          <w:sz w:val="20"/>
          <w:szCs w:val="20"/>
        </w:rPr>
        <w:t xml:space="preserve">La futura retención </w:t>
      </w:r>
      <w:r w:rsidR="00D00874" w:rsidRPr="005500DF">
        <w:rPr>
          <w:rFonts w:ascii="Cambria" w:hAnsi="Cambria"/>
          <w:sz w:val="20"/>
          <w:szCs w:val="20"/>
        </w:rPr>
        <w:t>permitida</w:t>
      </w:r>
      <w:r w:rsidR="001E61E9" w:rsidRPr="005500DF">
        <w:rPr>
          <w:rFonts w:ascii="Cambria" w:hAnsi="Cambria"/>
          <w:sz w:val="20"/>
          <w:szCs w:val="20"/>
        </w:rPr>
        <w:t xml:space="preserve"> será conforme al siguiente proceso:</w:t>
      </w:r>
    </w:p>
    <w:p w14:paraId="5761CEEF" w14:textId="29A42CA0" w:rsidR="00A5534E" w:rsidRPr="00E50224" w:rsidRDefault="00A5534E" w:rsidP="00A5534E">
      <w:pPr>
        <w:pStyle w:val="ListParagraph"/>
        <w:spacing w:before="100"/>
        <w:jc w:val="both"/>
        <w:textAlignment w:val="baseline"/>
        <w:rPr>
          <w:sz w:val="20"/>
          <w:szCs w:val="20"/>
        </w:rPr>
      </w:pPr>
    </w:p>
    <w:p w14:paraId="5B2C9F52" w14:textId="004CC15B" w:rsidR="003B65D2" w:rsidRPr="00E50224" w:rsidRDefault="003B65D2" w:rsidP="003B65D2">
      <w:pPr>
        <w:pStyle w:val="ListParagraph"/>
        <w:numPr>
          <w:ilvl w:val="0"/>
          <w:numId w:val="34"/>
        </w:numPr>
        <w:spacing w:after="160" w:line="259" w:lineRule="auto"/>
        <w:jc w:val="both"/>
        <w:rPr>
          <w:rFonts w:ascii="Cambria" w:hAnsi="Cambria"/>
          <w:sz w:val="20"/>
          <w:szCs w:val="20"/>
        </w:rPr>
      </w:pPr>
      <w:r w:rsidRPr="00E50224">
        <w:rPr>
          <w:rFonts w:ascii="Cambria" w:hAnsi="Cambria"/>
          <w:sz w:val="20"/>
          <w:szCs w:val="20"/>
        </w:rPr>
        <w:t xml:space="preserve">Durante 2022 y 2023, el SCRS y la Subcomisión 4 trabajarán conjuntamente para probar y confirmar la idoneidad del enfoque del </w:t>
      </w:r>
      <w:r w:rsidRPr="00E50224">
        <w:rPr>
          <w:rFonts w:ascii="Cambria" w:hAnsi="Cambria"/>
          <w:b/>
          <w:bCs/>
          <w:sz w:val="20"/>
          <w:szCs w:val="20"/>
        </w:rPr>
        <w:t>Anexo 1</w:t>
      </w:r>
      <w:r w:rsidRPr="00E50224">
        <w:rPr>
          <w:rFonts w:ascii="Cambria" w:hAnsi="Cambria"/>
          <w:sz w:val="20"/>
          <w:szCs w:val="20"/>
        </w:rPr>
        <w:t xml:space="preserve">, o de enfoques alternativos, para determinar la cantidad de retención </w:t>
      </w:r>
      <w:r w:rsidR="00D00874" w:rsidRPr="00E50224">
        <w:rPr>
          <w:rFonts w:ascii="Cambria" w:hAnsi="Cambria"/>
          <w:sz w:val="20"/>
          <w:szCs w:val="20"/>
        </w:rPr>
        <w:t>permitida</w:t>
      </w:r>
      <w:r w:rsidRPr="00E50224">
        <w:rPr>
          <w:rFonts w:ascii="Cambria" w:hAnsi="Cambria"/>
          <w:sz w:val="20"/>
          <w:szCs w:val="20"/>
        </w:rPr>
        <w:t xml:space="preserve"> de marrajo dientuso del Atlántico norte en el futuro.</w:t>
      </w:r>
      <w:r w:rsidRPr="00E50224">
        <w:t xml:space="preserve"> </w:t>
      </w:r>
      <w:r w:rsidRPr="00E50224">
        <w:rPr>
          <w:rFonts w:ascii="Cambria" w:hAnsi="Cambria"/>
          <w:sz w:val="20"/>
          <w:szCs w:val="20"/>
        </w:rPr>
        <w:t>Cualquier enfoque alternativo tendrá en cuenta, entre otros factores, las contribuciones relativas realizadas por las CPC para conservar, ordenar y recuperar el stock (</w:t>
      </w:r>
      <w:r w:rsidR="00D00874" w:rsidRPr="00E50224">
        <w:rPr>
          <w:rFonts w:ascii="Cambria" w:hAnsi="Cambria"/>
          <w:sz w:val="20"/>
          <w:szCs w:val="20"/>
        </w:rPr>
        <w:t>lo que incluye</w:t>
      </w:r>
      <w:r w:rsidRPr="00E50224">
        <w:rPr>
          <w:rFonts w:ascii="Cambria" w:hAnsi="Cambria"/>
          <w:sz w:val="20"/>
          <w:szCs w:val="20"/>
        </w:rPr>
        <w:t xml:space="preserve"> el desempeño de una CPC en la reducción de su mortalidad en línea con los objetivos de las </w:t>
      </w:r>
      <w:r w:rsidRPr="00E50224">
        <w:rPr>
          <w:rFonts w:ascii="Cambria" w:eastAsia="Cambria" w:hAnsi="Cambria" w:cs="Cambria"/>
          <w:sz w:val="20"/>
          <w:szCs w:val="20"/>
          <w:bdr w:val="nil"/>
          <w:lang w:eastAsia="en-GB"/>
        </w:rPr>
        <w:t>anteriores R</w:t>
      </w:r>
      <w:r w:rsidRPr="00E50224">
        <w:rPr>
          <w:rFonts w:ascii="Cambria" w:hAnsi="Cambria"/>
          <w:sz w:val="20"/>
          <w:szCs w:val="20"/>
        </w:rPr>
        <w:t xml:space="preserve">ecomendaciones </w:t>
      </w:r>
      <w:r w:rsidR="00B04D02" w:rsidRPr="00E50224">
        <w:rPr>
          <w:rFonts w:ascii="Cambria" w:hAnsi="Cambria"/>
          <w:sz w:val="20"/>
          <w:szCs w:val="20"/>
        </w:rPr>
        <w:br/>
      </w:r>
      <w:r w:rsidRPr="00E50224">
        <w:rPr>
          <w:rFonts w:ascii="Cambria" w:hAnsi="Cambria"/>
          <w:sz w:val="20"/>
          <w:szCs w:val="20"/>
        </w:rPr>
        <w:t>17-08 y 19-06 de ICCAT) y otros criterios establecidos en la Resolución 15-13, así como la necesidad de continuar incentivando la responsabilidad individual de las CPC para lograr reducciones de la mortalidad por pesca en línea con los objetivos de este programa de recuperación. Para ayudar en este trabajo, el SCRS, según proceda, proporcionará a la Comisión estimaciones de mortalidad posterior a la liberación y, cuando sea necesario, estimaciones de descartes de ejemplares muertos, teniendo en cuenta los datos presentados por las CPC y otra información y análisis pertinentes.</w:t>
      </w:r>
    </w:p>
    <w:p w14:paraId="59E8FBFB" w14:textId="77777777" w:rsidR="003B65D2" w:rsidRPr="00E50224" w:rsidRDefault="003B65D2" w:rsidP="003B65D2">
      <w:pPr>
        <w:pStyle w:val="ListParagraph"/>
        <w:jc w:val="both"/>
        <w:rPr>
          <w:rFonts w:ascii="Cambria" w:hAnsi="Cambria"/>
          <w:sz w:val="20"/>
          <w:szCs w:val="20"/>
        </w:rPr>
      </w:pPr>
    </w:p>
    <w:p w14:paraId="5A17BB4D" w14:textId="7BA0F363" w:rsidR="003B65D2" w:rsidRPr="00E50224" w:rsidRDefault="00FC4722" w:rsidP="003B65D2">
      <w:pPr>
        <w:pStyle w:val="ListParagraph"/>
        <w:numPr>
          <w:ilvl w:val="0"/>
          <w:numId w:val="34"/>
        </w:numPr>
        <w:spacing w:after="160" w:line="259" w:lineRule="auto"/>
        <w:jc w:val="both"/>
        <w:rPr>
          <w:rFonts w:ascii="Cambria" w:eastAsia="Cambria" w:hAnsi="Cambria" w:cs="Cambria"/>
          <w:sz w:val="20"/>
          <w:szCs w:val="20"/>
          <w:bdr w:val="nil"/>
          <w:lang w:eastAsia="en-GB"/>
        </w:rPr>
      </w:pPr>
      <w:r w:rsidRPr="00E50224">
        <w:rPr>
          <w:rFonts w:ascii="Cambria" w:eastAsia="Cambria" w:hAnsi="Cambria" w:cs="Cambria"/>
          <w:sz w:val="20"/>
          <w:szCs w:val="20"/>
          <w:bdr w:val="nil"/>
          <w:lang w:eastAsia="en-GB"/>
        </w:rPr>
        <w:lastRenderedPageBreak/>
        <w:t xml:space="preserve">No obstante el párrafo </w:t>
      </w:r>
      <w:r w:rsidR="0012486A" w:rsidRPr="00E50224">
        <w:rPr>
          <w:rFonts w:ascii="Cambria" w:eastAsia="Cambria" w:hAnsi="Cambria" w:cs="Cambria"/>
          <w:sz w:val="20"/>
          <w:szCs w:val="20"/>
          <w:bdr w:val="nil"/>
          <w:lang w:eastAsia="en-GB"/>
        </w:rPr>
        <w:t>3</w:t>
      </w:r>
      <w:r w:rsidRPr="00E50224">
        <w:rPr>
          <w:rFonts w:ascii="Cambria" w:eastAsia="Cambria" w:hAnsi="Cambria" w:cs="Cambria"/>
          <w:sz w:val="20"/>
          <w:szCs w:val="20"/>
          <w:bdr w:val="nil"/>
          <w:lang w:eastAsia="en-GB"/>
        </w:rPr>
        <w:t>,</w:t>
      </w:r>
      <w:r w:rsidR="003B65D2" w:rsidRPr="00E50224">
        <w:rPr>
          <w:rFonts w:ascii="Cambria" w:eastAsia="Cambria" w:hAnsi="Cambria" w:cs="Cambria"/>
          <w:sz w:val="20"/>
          <w:szCs w:val="20"/>
          <w:bdr w:val="nil"/>
          <w:lang w:eastAsia="en-GB"/>
        </w:rPr>
        <w:t xml:space="preserve"> </w:t>
      </w:r>
      <w:r w:rsidRPr="00E50224">
        <w:rPr>
          <w:rFonts w:ascii="Cambria" w:eastAsia="Cambria" w:hAnsi="Cambria" w:cs="Cambria"/>
          <w:sz w:val="20"/>
          <w:szCs w:val="20"/>
          <w:bdr w:val="nil"/>
          <w:lang w:eastAsia="en-GB"/>
        </w:rPr>
        <w:t>e</w:t>
      </w:r>
      <w:r w:rsidR="003B65D2" w:rsidRPr="00E50224">
        <w:rPr>
          <w:rFonts w:ascii="Cambria" w:eastAsia="Cambria" w:hAnsi="Cambria" w:cs="Cambria"/>
          <w:sz w:val="20"/>
          <w:szCs w:val="20"/>
          <w:bdr w:val="nil"/>
          <w:lang w:eastAsia="en-GB"/>
        </w:rPr>
        <w:t xml:space="preserve">n 2022, el SCRS utilizará el </w:t>
      </w:r>
      <w:r w:rsidR="003B65D2" w:rsidRPr="00E50224">
        <w:rPr>
          <w:rFonts w:ascii="Cambria" w:eastAsia="Cambria" w:hAnsi="Cambria" w:cs="Cambria"/>
          <w:b/>
          <w:bCs/>
          <w:sz w:val="20"/>
          <w:szCs w:val="20"/>
          <w:bdr w:val="nil"/>
          <w:lang w:eastAsia="en-GB"/>
        </w:rPr>
        <w:t>Anexo 1</w:t>
      </w:r>
      <w:r w:rsidR="003B65D2" w:rsidRPr="00E50224">
        <w:rPr>
          <w:rFonts w:ascii="Cambria" w:eastAsia="Cambria" w:hAnsi="Cambria" w:cs="Cambria"/>
          <w:sz w:val="20"/>
          <w:szCs w:val="20"/>
          <w:bdr w:val="nil"/>
          <w:lang w:eastAsia="en-GB"/>
        </w:rPr>
        <w:t xml:space="preserve"> para calcular la posible retención permitida en 2023 y proporcionará los resultados a la Comisión, que validará entonces </w:t>
      </w:r>
      <w:r w:rsidR="00F837DC" w:rsidRPr="00E50224">
        <w:rPr>
          <w:rFonts w:ascii="Cambria" w:eastAsia="Cambria" w:hAnsi="Cambria" w:cs="Cambria"/>
          <w:sz w:val="20"/>
          <w:szCs w:val="20"/>
          <w:bdr w:val="nil"/>
          <w:lang w:eastAsia="en-GB"/>
        </w:rPr>
        <w:t xml:space="preserve">la cantidad </w:t>
      </w:r>
      <w:r w:rsidR="003B65D2" w:rsidRPr="00E50224">
        <w:rPr>
          <w:rFonts w:ascii="Cambria" w:eastAsia="Cambria" w:hAnsi="Cambria" w:cs="Cambria"/>
          <w:sz w:val="20"/>
          <w:szCs w:val="20"/>
          <w:bdr w:val="nil"/>
          <w:lang w:eastAsia="en-GB"/>
        </w:rPr>
        <w:t xml:space="preserve">de cualquier retención permitida en 2023.  </w:t>
      </w:r>
    </w:p>
    <w:p w14:paraId="5B79611F" w14:textId="77777777" w:rsidR="003B65D2" w:rsidRPr="00E50224" w:rsidRDefault="003B65D2" w:rsidP="003B65D2">
      <w:pPr>
        <w:pStyle w:val="ListParagraph"/>
        <w:rPr>
          <w:rFonts w:ascii="Cambria" w:hAnsi="Cambria"/>
          <w:sz w:val="20"/>
          <w:szCs w:val="20"/>
        </w:rPr>
      </w:pPr>
    </w:p>
    <w:p w14:paraId="5A8FCE88" w14:textId="6A9CF596" w:rsidR="003B65D2" w:rsidRPr="00E50224" w:rsidRDefault="003B65D2" w:rsidP="003B65D2">
      <w:pPr>
        <w:pStyle w:val="ListParagraph"/>
        <w:numPr>
          <w:ilvl w:val="0"/>
          <w:numId w:val="34"/>
        </w:numPr>
        <w:spacing w:after="160" w:line="259" w:lineRule="auto"/>
        <w:jc w:val="both"/>
        <w:rPr>
          <w:rFonts w:ascii="Cambria" w:eastAsia="Cambria" w:hAnsi="Cambria" w:cs="Cambria"/>
          <w:sz w:val="20"/>
          <w:szCs w:val="20"/>
          <w:bdr w:val="nil"/>
          <w:lang w:eastAsia="en-GB"/>
        </w:rPr>
      </w:pPr>
      <w:r w:rsidRPr="00E50224">
        <w:rPr>
          <w:rFonts w:ascii="Cambria" w:eastAsia="Cambria" w:hAnsi="Cambria" w:cs="Cambria"/>
          <w:sz w:val="20"/>
          <w:szCs w:val="20"/>
          <w:bdr w:val="nil"/>
          <w:lang w:eastAsia="en-GB"/>
        </w:rPr>
        <w:t xml:space="preserve">A partir de 2023 y posteriormente cada año, el SCRS utilizará el </w:t>
      </w:r>
      <w:r w:rsidRPr="00E50224">
        <w:rPr>
          <w:rFonts w:ascii="Cambria" w:eastAsia="Cambria" w:hAnsi="Cambria" w:cs="Cambria"/>
          <w:b/>
          <w:bCs/>
          <w:sz w:val="20"/>
          <w:szCs w:val="20"/>
          <w:bdr w:val="nil"/>
          <w:lang w:eastAsia="en-GB"/>
        </w:rPr>
        <w:t>Anexo 1</w:t>
      </w:r>
      <w:r w:rsidRPr="00E50224">
        <w:rPr>
          <w:rFonts w:ascii="Cambria" w:eastAsia="Cambria" w:hAnsi="Cambria" w:cs="Cambria"/>
          <w:sz w:val="20"/>
          <w:szCs w:val="20"/>
          <w:bdr w:val="nil"/>
          <w:lang w:eastAsia="en-GB"/>
        </w:rPr>
        <w:t xml:space="preserve">, a menos que se acuerde un enfoque alternativo para calcular la futura retención permitida (según el </w:t>
      </w:r>
      <w:r w:rsidR="00B04D02" w:rsidRPr="00E50224">
        <w:rPr>
          <w:rFonts w:ascii="Cambria" w:eastAsia="Cambria" w:hAnsi="Cambria" w:cs="Cambria"/>
          <w:sz w:val="20"/>
          <w:szCs w:val="20"/>
          <w:bdr w:val="nil"/>
          <w:lang w:eastAsia="en-GB"/>
        </w:rPr>
        <w:t>punto</w:t>
      </w:r>
      <w:r w:rsidRPr="00E50224">
        <w:rPr>
          <w:rFonts w:ascii="Cambria" w:eastAsia="Cambria" w:hAnsi="Cambria" w:cs="Cambria"/>
          <w:sz w:val="20"/>
          <w:szCs w:val="20"/>
          <w:bdr w:val="nil"/>
          <w:lang w:eastAsia="en-GB"/>
        </w:rPr>
        <w:t xml:space="preserve"> </w:t>
      </w:r>
      <w:r w:rsidR="0012486A" w:rsidRPr="00E50224">
        <w:rPr>
          <w:rFonts w:ascii="Cambria" w:eastAsia="Cambria" w:hAnsi="Cambria" w:cs="Cambria"/>
          <w:sz w:val="20"/>
          <w:szCs w:val="20"/>
          <w:bdr w:val="nil"/>
          <w:lang w:eastAsia="en-GB"/>
        </w:rPr>
        <w:t>5</w:t>
      </w:r>
      <w:r w:rsidRPr="00E50224">
        <w:rPr>
          <w:rFonts w:ascii="Cambria" w:eastAsia="Cambria" w:hAnsi="Cambria" w:cs="Cambria"/>
          <w:sz w:val="20"/>
          <w:szCs w:val="20"/>
          <w:bdr w:val="nil"/>
          <w:lang w:eastAsia="en-GB"/>
        </w:rPr>
        <w:t xml:space="preserve">(a)), para calcular un posible nivel de retención, lo que incluye las </w:t>
      </w:r>
      <w:r w:rsidR="00F837DC" w:rsidRPr="00E50224">
        <w:rPr>
          <w:rFonts w:ascii="Cambria" w:eastAsia="Cambria" w:hAnsi="Cambria" w:cs="Cambria"/>
          <w:sz w:val="20"/>
          <w:szCs w:val="20"/>
          <w:bdr w:val="nil"/>
          <w:lang w:eastAsia="en-GB"/>
        </w:rPr>
        <w:t>tolerancias</w:t>
      </w:r>
      <w:r w:rsidRPr="00E50224">
        <w:rPr>
          <w:rFonts w:ascii="Cambria" w:eastAsia="Cambria" w:hAnsi="Cambria" w:cs="Cambria"/>
          <w:sz w:val="20"/>
          <w:szCs w:val="20"/>
          <w:bdr w:val="nil"/>
          <w:lang w:eastAsia="en-GB"/>
        </w:rPr>
        <w:t xml:space="preserve"> de retención individuales de las CPC </w:t>
      </w:r>
      <w:r w:rsidR="00F837DC" w:rsidRPr="00E50224">
        <w:rPr>
          <w:rFonts w:ascii="Cambria" w:eastAsia="Cambria" w:hAnsi="Cambria" w:cs="Cambria"/>
          <w:sz w:val="20"/>
          <w:szCs w:val="20"/>
          <w:bdr w:val="nil"/>
          <w:lang w:eastAsia="en-GB"/>
        </w:rPr>
        <w:t>elegibles</w:t>
      </w:r>
      <w:r w:rsidR="00D43ED8" w:rsidRPr="00E50224">
        <w:rPr>
          <w:rFonts w:ascii="Cambria" w:eastAsia="Cambria" w:hAnsi="Cambria" w:cs="Cambria"/>
          <w:sz w:val="20"/>
          <w:szCs w:val="20"/>
          <w:bdr w:val="nil"/>
          <w:lang w:eastAsia="en-GB"/>
        </w:rPr>
        <w:t xml:space="preserve">, </w:t>
      </w:r>
      <w:r w:rsidRPr="00E50224">
        <w:rPr>
          <w:rFonts w:ascii="Cambria" w:eastAsia="Cambria" w:hAnsi="Cambria" w:cs="Cambria"/>
          <w:sz w:val="20"/>
          <w:szCs w:val="20"/>
          <w:bdr w:val="nil"/>
          <w:lang w:eastAsia="en-GB"/>
        </w:rPr>
        <w:t>permitido en el año siguiente, y proporcionar</w:t>
      </w:r>
      <w:r w:rsidR="00F837DC" w:rsidRPr="00E50224">
        <w:rPr>
          <w:rFonts w:ascii="Cambria" w:eastAsia="Cambria" w:hAnsi="Cambria" w:cs="Cambria"/>
          <w:sz w:val="20"/>
          <w:szCs w:val="20"/>
          <w:bdr w:val="nil"/>
          <w:lang w:eastAsia="en-GB"/>
        </w:rPr>
        <w:t>á</w:t>
      </w:r>
      <w:r w:rsidRPr="00E50224">
        <w:rPr>
          <w:rFonts w:ascii="Cambria" w:eastAsia="Cambria" w:hAnsi="Cambria" w:cs="Cambria"/>
          <w:sz w:val="20"/>
          <w:szCs w:val="20"/>
          <w:bdr w:val="nil"/>
          <w:lang w:eastAsia="en-GB"/>
        </w:rPr>
        <w:t xml:space="preserve"> los resultados a la Comisión.</w:t>
      </w:r>
    </w:p>
    <w:p w14:paraId="59F3234D" w14:textId="77777777" w:rsidR="003B65D2" w:rsidRPr="00E50224" w:rsidRDefault="003B65D2" w:rsidP="003B65D2">
      <w:pPr>
        <w:pStyle w:val="ListParagraph"/>
        <w:rPr>
          <w:rFonts w:ascii="Cambria" w:hAnsi="Cambria"/>
          <w:sz w:val="20"/>
          <w:szCs w:val="20"/>
        </w:rPr>
      </w:pPr>
    </w:p>
    <w:p w14:paraId="5F9E3064" w14:textId="62B3DD7F" w:rsidR="003B65D2" w:rsidRPr="00E50224" w:rsidRDefault="00F837DC" w:rsidP="003B65D2">
      <w:pPr>
        <w:pStyle w:val="ListParagraph"/>
        <w:numPr>
          <w:ilvl w:val="0"/>
          <w:numId w:val="34"/>
        </w:numPr>
        <w:spacing w:after="160" w:line="259" w:lineRule="auto"/>
        <w:jc w:val="both"/>
        <w:rPr>
          <w:rFonts w:ascii="Cambria" w:eastAsia="Cambria" w:hAnsi="Cambria" w:cs="Cambria"/>
          <w:sz w:val="20"/>
          <w:szCs w:val="20"/>
          <w:bdr w:val="nil"/>
          <w:lang w:eastAsia="en-GB"/>
        </w:rPr>
      </w:pPr>
      <w:r w:rsidRPr="00E50224">
        <w:rPr>
          <w:rFonts w:ascii="Cambria" w:eastAsia="Cambria" w:hAnsi="Cambria" w:cs="Cambria"/>
          <w:sz w:val="20"/>
          <w:szCs w:val="20"/>
          <w:bdr w:val="nil"/>
          <w:lang w:eastAsia="en-GB"/>
        </w:rPr>
        <w:t>A partir de</w:t>
      </w:r>
      <w:r w:rsidR="003B65D2" w:rsidRPr="00E50224">
        <w:rPr>
          <w:rFonts w:ascii="Cambria" w:eastAsia="Cambria" w:hAnsi="Cambria" w:cs="Cambria"/>
          <w:sz w:val="20"/>
          <w:szCs w:val="20"/>
          <w:bdr w:val="nil"/>
          <w:lang w:eastAsia="en-GB"/>
        </w:rPr>
        <w:t xml:space="preserve"> 2023 y posteriormente cada año, la Comisión validará </w:t>
      </w:r>
      <w:r w:rsidRPr="00E50224">
        <w:rPr>
          <w:rFonts w:ascii="Cambria" w:eastAsia="Cambria" w:hAnsi="Cambria" w:cs="Cambria"/>
          <w:sz w:val="20"/>
          <w:szCs w:val="20"/>
          <w:bdr w:val="nil"/>
          <w:lang w:eastAsia="en-GB"/>
        </w:rPr>
        <w:t xml:space="preserve">la cantidad de </w:t>
      </w:r>
      <w:r w:rsidR="003B65D2" w:rsidRPr="00E50224">
        <w:rPr>
          <w:rFonts w:ascii="Cambria" w:eastAsia="Cambria" w:hAnsi="Cambria" w:cs="Cambria"/>
          <w:sz w:val="20"/>
          <w:szCs w:val="20"/>
          <w:bdr w:val="nil"/>
          <w:lang w:eastAsia="en-GB"/>
        </w:rPr>
        <w:t xml:space="preserve">retención permitida en el año siguiente, basándose en el asesoramiento del SCRS de acuerdo con el </w:t>
      </w:r>
      <w:r w:rsidR="00B04D02" w:rsidRPr="00E50224">
        <w:rPr>
          <w:rFonts w:ascii="Cambria" w:eastAsia="Cambria" w:hAnsi="Cambria" w:cs="Cambria"/>
          <w:sz w:val="20"/>
          <w:szCs w:val="20"/>
          <w:bdr w:val="nil"/>
          <w:lang w:eastAsia="en-GB"/>
        </w:rPr>
        <w:t>punto</w:t>
      </w:r>
      <w:r w:rsidR="003B65D2" w:rsidRPr="00E50224">
        <w:rPr>
          <w:rFonts w:ascii="Cambria" w:eastAsia="Cambria" w:hAnsi="Cambria" w:cs="Cambria"/>
          <w:sz w:val="20"/>
          <w:szCs w:val="20"/>
          <w:bdr w:val="nil"/>
          <w:lang w:eastAsia="en-GB"/>
        </w:rPr>
        <w:t xml:space="preserve"> </w:t>
      </w:r>
      <w:r w:rsidR="0012486A" w:rsidRPr="00E50224">
        <w:rPr>
          <w:rFonts w:ascii="Cambria" w:eastAsia="Cambria" w:hAnsi="Cambria" w:cs="Cambria"/>
          <w:sz w:val="20"/>
          <w:szCs w:val="20"/>
          <w:bdr w:val="nil"/>
          <w:lang w:eastAsia="en-GB"/>
        </w:rPr>
        <w:t>5</w:t>
      </w:r>
      <w:r w:rsidR="003B65D2" w:rsidRPr="00E50224">
        <w:rPr>
          <w:rFonts w:ascii="Cambria" w:eastAsia="Cambria" w:hAnsi="Cambria" w:cs="Cambria"/>
          <w:sz w:val="20"/>
          <w:szCs w:val="20"/>
          <w:bdr w:val="nil"/>
          <w:lang w:eastAsia="en-GB"/>
        </w:rPr>
        <w:t xml:space="preserve"> (c).</w:t>
      </w:r>
    </w:p>
    <w:p w14:paraId="1A50D0CB" w14:textId="2966BDFC" w:rsidR="00A5534E" w:rsidRPr="00E50224" w:rsidRDefault="00A5534E" w:rsidP="00A5534E">
      <w:pPr>
        <w:pStyle w:val="ListParagraph"/>
        <w:spacing w:before="100"/>
        <w:jc w:val="both"/>
        <w:textAlignment w:val="baseline"/>
        <w:rPr>
          <w:sz w:val="20"/>
          <w:szCs w:val="20"/>
        </w:rPr>
      </w:pPr>
    </w:p>
    <w:p w14:paraId="588297A9" w14:textId="25B1943B" w:rsidR="00253EEA" w:rsidRPr="005500DF" w:rsidRDefault="0012486A" w:rsidP="0012486A">
      <w:pPr>
        <w:ind w:left="426" w:hanging="426"/>
        <w:jc w:val="both"/>
        <w:rPr>
          <w:rFonts w:ascii="Cambria" w:hAnsi="Cambria"/>
          <w:sz w:val="20"/>
        </w:rPr>
      </w:pPr>
      <w:r w:rsidRPr="00E50224">
        <w:rPr>
          <w:sz w:val="20"/>
          <w:szCs w:val="20"/>
        </w:rPr>
        <w:t>6.</w:t>
      </w:r>
      <w:r w:rsidRPr="00E50224">
        <w:rPr>
          <w:sz w:val="20"/>
          <w:szCs w:val="20"/>
        </w:rPr>
        <w:tab/>
      </w:r>
      <w:r w:rsidR="00253EEA" w:rsidRPr="00E50224">
        <w:rPr>
          <w:sz w:val="20"/>
          <w:szCs w:val="20"/>
        </w:rPr>
        <w:t>L</w:t>
      </w:r>
      <w:r w:rsidR="00253EEA" w:rsidRPr="00E50224">
        <w:rPr>
          <w:rFonts w:ascii="Cambria" w:hAnsi="Cambria"/>
          <w:sz w:val="20"/>
        </w:rPr>
        <w:t xml:space="preserve">as CPC cuyos buques pesqueros retienen </w:t>
      </w:r>
      <w:r w:rsidR="00253EEA" w:rsidRPr="005500DF">
        <w:rPr>
          <w:rFonts w:ascii="Cambria" w:hAnsi="Cambria"/>
          <w:sz w:val="20"/>
        </w:rPr>
        <w:t>marrajo dientuso del Atlántico norte prohibirán transbordar, total o parcialmente, marrajo dientuso del Atlántico norte capturado en asociación con las pesquerías de ICCAT.</w:t>
      </w:r>
    </w:p>
    <w:p w14:paraId="5CF0411C" w14:textId="77777777" w:rsidR="00B14A57" w:rsidRPr="005500DF" w:rsidRDefault="00B14A57" w:rsidP="00B14A57">
      <w:pPr>
        <w:jc w:val="both"/>
        <w:rPr>
          <w:rFonts w:ascii="Cambria" w:hAnsi="Cambria"/>
          <w:b/>
          <w:bCs/>
          <w:sz w:val="20"/>
          <w:szCs w:val="20"/>
        </w:rPr>
      </w:pPr>
    </w:p>
    <w:p w14:paraId="187FE636" w14:textId="236B9457" w:rsidR="0095149D" w:rsidRPr="00E50224" w:rsidRDefault="0012486A" w:rsidP="008D1099">
      <w:pPr>
        <w:widowControl w:val="0"/>
        <w:pBdr>
          <w:top w:val="nil"/>
          <w:left w:val="nil"/>
          <w:bottom w:val="nil"/>
          <w:right w:val="nil"/>
          <w:between w:val="nil"/>
        </w:pBdr>
        <w:spacing w:line="220" w:lineRule="exact"/>
        <w:ind w:left="281" w:hanging="281"/>
        <w:jc w:val="both"/>
        <w:rPr>
          <w:rFonts w:ascii="Cambria" w:eastAsia="Yu Mincho" w:hAnsi="Cambria" w:cs="Times New Roman"/>
          <w:kern w:val="2"/>
          <w:sz w:val="20"/>
          <w:szCs w:val="22"/>
          <w:lang w:eastAsia="ja-JP"/>
        </w:rPr>
      </w:pPr>
      <w:r w:rsidRPr="005500DF">
        <w:rPr>
          <w:rFonts w:ascii="Cambria" w:eastAsia="Yu Mincho" w:hAnsi="Cambria" w:cs="Times New Roman"/>
          <w:kern w:val="2"/>
          <w:sz w:val="20"/>
          <w:szCs w:val="22"/>
          <w:lang w:eastAsia="ja-JP"/>
        </w:rPr>
        <w:t>7</w:t>
      </w:r>
      <w:r w:rsidR="008D1099" w:rsidRPr="005500DF">
        <w:rPr>
          <w:rFonts w:ascii="Cambria" w:eastAsia="Yu Mincho" w:hAnsi="Cambria" w:cs="Times New Roman"/>
          <w:kern w:val="2"/>
          <w:sz w:val="20"/>
          <w:szCs w:val="22"/>
          <w:lang w:eastAsia="ja-JP"/>
        </w:rPr>
        <w:t>.</w:t>
      </w:r>
      <w:r w:rsidR="008D1099" w:rsidRPr="005500DF">
        <w:rPr>
          <w:rFonts w:ascii="Cambria" w:eastAsia="Yu Mincho" w:hAnsi="Cambria" w:cs="Times New Roman"/>
          <w:kern w:val="2"/>
          <w:sz w:val="20"/>
          <w:szCs w:val="22"/>
          <w:lang w:eastAsia="ja-JP"/>
        </w:rPr>
        <w:tab/>
      </w:r>
      <w:r w:rsidR="00A12078" w:rsidRPr="005500DF">
        <w:rPr>
          <w:rFonts w:ascii="Cambria" w:hAnsi="Cambria"/>
          <w:sz w:val="20"/>
          <w:szCs w:val="20"/>
        </w:rPr>
        <w:t>Cualquier</w:t>
      </w:r>
      <w:r w:rsidR="008D1099" w:rsidRPr="005500DF">
        <w:rPr>
          <w:rFonts w:ascii="Cambria" w:eastAsia="Yu Mincho" w:hAnsi="Cambria" w:cs="Times New Roman"/>
          <w:kern w:val="2"/>
          <w:sz w:val="20"/>
          <w:szCs w:val="22"/>
          <w:lang w:eastAsia="ja-JP"/>
        </w:rPr>
        <w:t xml:space="preserve"> retención</w:t>
      </w:r>
      <w:r w:rsidR="00A12078" w:rsidRPr="005500DF">
        <w:rPr>
          <w:rFonts w:ascii="Cambria" w:eastAsia="Yu Mincho" w:hAnsi="Cambria" w:cs="Times New Roman"/>
          <w:kern w:val="2"/>
          <w:sz w:val="20"/>
          <w:szCs w:val="22"/>
          <w:lang w:eastAsia="ja-JP"/>
        </w:rPr>
        <w:t xml:space="preserve"> </w:t>
      </w:r>
      <w:r w:rsidR="00A12078" w:rsidRPr="005500DF">
        <w:rPr>
          <w:rFonts w:ascii="Cambria" w:hAnsi="Cambria"/>
          <w:sz w:val="20"/>
          <w:szCs w:val="20"/>
        </w:rPr>
        <w:t>permitida</w:t>
      </w:r>
      <w:r w:rsidR="00E36B02" w:rsidRPr="005500DF">
        <w:rPr>
          <w:rFonts w:ascii="Cambria" w:eastAsia="Yu Mincho" w:hAnsi="Cambria" w:cs="Times New Roman"/>
          <w:kern w:val="2"/>
          <w:sz w:val="20"/>
          <w:szCs w:val="22"/>
          <w:lang w:eastAsia="ja-JP"/>
        </w:rPr>
        <w:t>, de conformidad con el párrafo</w:t>
      </w:r>
      <w:r w:rsidRPr="005500DF">
        <w:rPr>
          <w:rFonts w:ascii="Cambria" w:eastAsia="Yu Mincho" w:hAnsi="Cambria" w:cs="Times New Roman"/>
          <w:kern w:val="2"/>
          <w:sz w:val="20"/>
          <w:szCs w:val="22"/>
          <w:lang w:eastAsia="ja-JP"/>
        </w:rPr>
        <w:t xml:space="preserve"> 5</w:t>
      </w:r>
      <w:r w:rsidR="00E36B02" w:rsidRPr="005500DF">
        <w:rPr>
          <w:rFonts w:ascii="Cambria" w:eastAsia="Yu Mincho" w:hAnsi="Cambria" w:cs="Times New Roman"/>
          <w:kern w:val="2"/>
          <w:sz w:val="20"/>
          <w:szCs w:val="22"/>
          <w:lang w:eastAsia="ja-JP"/>
        </w:rPr>
        <w:t xml:space="preserve">, </w:t>
      </w:r>
      <w:r w:rsidR="008D1099" w:rsidRPr="005500DF">
        <w:rPr>
          <w:rFonts w:ascii="Cambria" w:eastAsia="Yu Mincho" w:hAnsi="Cambria" w:cs="Times New Roman"/>
          <w:kern w:val="2"/>
          <w:sz w:val="20"/>
          <w:szCs w:val="22"/>
          <w:lang w:eastAsia="ja-JP"/>
        </w:rPr>
        <w:t>sólo se autorizará cuando</w:t>
      </w:r>
      <w:r w:rsidR="00A12078" w:rsidRPr="005500DF">
        <w:rPr>
          <w:rFonts w:ascii="Cambria" w:eastAsia="Yu Mincho" w:hAnsi="Cambria" w:cs="Times New Roman"/>
          <w:kern w:val="2"/>
          <w:sz w:val="20"/>
          <w:szCs w:val="22"/>
          <w:lang w:eastAsia="ja-JP"/>
        </w:rPr>
        <w:t xml:space="preserve"> </w:t>
      </w:r>
      <w:r w:rsidR="008D1099" w:rsidRPr="005500DF">
        <w:rPr>
          <w:rFonts w:ascii="Cambria" w:eastAsia="Yu Mincho" w:hAnsi="Cambria" w:cs="Times New Roman"/>
          <w:kern w:val="2"/>
          <w:sz w:val="20"/>
          <w:szCs w:val="22"/>
          <w:lang w:eastAsia="ja-JP"/>
        </w:rPr>
        <w:t>el pez esté muerto en el momento de la virada, y el buque</w:t>
      </w:r>
      <w:r w:rsidR="00AD36D1" w:rsidRPr="005500DF">
        <w:rPr>
          <w:rFonts w:ascii="Cambria" w:eastAsia="Yu Mincho" w:hAnsi="Cambria" w:cs="Times New Roman"/>
          <w:kern w:val="2"/>
          <w:sz w:val="20"/>
          <w:szCs w:val="22"/>
          <w:lang w:eastAsia="ja-JP"/>
        </w:rPr>
        <w:t xml:space="preserve"> </w:t>
      </w:r>
      <w:r w:rsidR="00E36B02" w:rsidRPr="005500DF">
        <w:rPr>
          <w:rFonts w:ascii="Cambria" w:eastAsia="Yu Mincho" w:hAnsi="Cambria" w:cs="Times New Roman"/>
          <w:kern w:val="2"/>
          <w:sz w:val="20"/>
          <w:szCs w:val="22"/>
          <w:lang w:eastAsia="ja-JP"/>
        </w:rPr>
        <w:t xml:space="preserve">lleve </w:t>
      </w:r>
      <w:r w:rsidR="00AD36D1" w:rsidRPr="005500DF">
        <w:rPr>
          <w:rFonts w:ascii="Cambria" w:eastAsia="Yu Mincho" w:hAnsi="Cambria" w:cs="Times New Roman"/>
          <w:kern w:val="2"/>
          <w:sz w:val="20"/>
          <w:szCs w:val="22"/>
          <w:lang w:eastAsia="ja-JP"/>
        </w:rPr>
        <w:t>a bordo</w:t>
      </w:r>
      <w:r w:rsidR="008D1099" w:rsidRPr="005500DF">
        <w:rPr>
          <w:rFonts w:ascii="Cambria" w:eastAsia="Yu Mincho" w:hAnsi="Cambria" w:cs="Times New Roman"/>
          <w:kern w:val="2"/>
          <w:sz w:val="20"/>
          <w:szCs w:val="22"/>
          <w:lang w:eastAsia="ja-JP"/>
        </w:rPr>
        <w:t xml:space="preserve"> un observador</w:t>
      </w:r>
      <w:r w:rsidR="00E36B02" w:rsidRPr="005500DF">
        <w:rPr>
          <w:rFonts w:ascii="Cambria" w:eastAsia="Yu Mincho" w:hAnsi="Cambria" w:cs="Times New Roman"/>
          <w:kern w:val="2"/>
          <w:sz w:val="20"/>
          <w:szCs w:val="22"/>
          <w:lang w:eastAsia="ja-JP"/>
        </w:rPr>
        <w:t xml:space="preserve"> </w:t>
      </w:r>
      <w:r w:rsidR="008D1099" w:rsidRPr="005500DF">
        <w:rPr>
          <w:rFonts w:ascii="Cambria" w:eastAsia="Yu Mincho" w:hAnsi="Cambria" w:cs="Times New Roman"/>
          <w:kern w:val="2"/>
          <w:sz w:val="20"/>
          <w:szCs w:val="22"/>
          <w:lang w:eastAsia="ja-JP"/>
        </w:rPr>
        <w:t>o un sistema de seguimiento electrónico</w:t>
      </w:r>
      <w:r w:rsidR="00E50224" w:rsidRPr="005500DF">
        <w:rPr>
          <w:rFonts w:ascii="Cambria" w:eastAsia="Yu Mincho" w:hAnsi="Cambria" w:cs="Times New Roman"/>
          <w:kern w:val="2"/>
          <w:sz w:val="20"/>
          <w:szCs w:val="22"/>
          <w:lang w:eastAsia="ja-JP"/>
        </w:rPr>
        <w:t xml:space="preserve"> (EMS)</w:t>
      </w:r>
      <w:r w:rsidR="008D1099" w:rsidRPr="005500DF">
        <w:rPr>
          <w:rFonts w:ascii="Cambria" w:eastAsia="Yu Mincho" w:hAnsi="Cambria" w:cs="Times New Roman"/>
          <w:kern w:val="2"/>
          <w:sz w:val="20"/>
          <w:szCs w:val="22"/>
          <w:lang w:eastAsia="ja-JP"/>
        </w:rPr>
        <w:t xml:space="preserve"> </w:t>
      </w:r>
      <w:r w:rsidR="00243810" w:rsidRPr="005500DF">
        <w:rPr>
          <w:rFonts w:ascii="Cambria" w:eastAsia="Yu Mincho" w:hAnsi="Cambria" w:cs="Times New Roman"/>
          <w:kern w:val="2"/>
          <w:sz w:val="20"/>
          <w:szCs w:val="22"/>
          <w:lang w:eastAsia="ja-JP"/>
        </w:rPr>
        <w:t>en funcionamiento</w:t>
      </w:r>
      <w:r w:rsidR="008D1099" w:rsidRPr="005500DF">
        <w:rPr>
          <w:rFonts w:ascii="Cambria" w:eastAsia="Yu Mincho" w:hAnsi="Cambria" w:cs="Times New Roman"/>
          <w:kern w:val="2"/>
          <w:sz w:val="20"/>
          <w:szCs w:val="22"/>
          <w:lang w:eastAsia="ja-JP"/>
        </w:rPr>
        <w:t xml:space="preserve"> para verificar el estado de</w:t>
      </w:r>
      <w:r w:rsidR="00E36B02" w:rsidRPr="005500DF">
        <w:rPr>
          <w:rFonts w:ascii="Cambria" w:eastAsia="Yu Mincho" w:hAnsi="Cambria" w:cs="Times New Roman"/>
          <w:kern w:val="2"/>
          <w:sz w:val="20"/>
          <w:szCs w:val="22"/>
          <w:lang w:eastAsia="ja-JP"/>
        </w:rPr>
        <w:t xml:space="preserve"> los tiburone</w:t>
      </w:r>
      <w:r w:rsidR="0095149D" w:rsidRPr="005500DF">
        <w:rPr>
          <w:rFonts w:ascii="Cambria" w:eastAsia="Yu Mincho" w:hAnsi="Cambria" w:cs="Times New Roman"/>
          <w:kern w:val="2"/>
          <w:sz w:val="20"/>
          <w:szCs w:val="22"/>
          <w:lang w:eastAsia="ja-JP"/>
        </w:rPr>
        <w:t>s.</w:t>
      </w:r>
    </w:p>
    <w:p w14:paraId="4E8BD644" w14:textId="77777777" w:rsidR="0095149D" w:rsidRPr="00E50224" w:rsidRDefault="0095149D" w:rsidP="008D1099">
      <w:pPr>
        <w:widowControl w:val="0"/>
        <w:pBdr>
          <w:top w:val="nil"/>
          <w:left w:val="nil"/>
          <w:bottom w:val="nil"/>
          <w:right w:val="nil"/>
          <w:between w:val="nil"/>
        </w:pBdr>
        <w:spacing w:line="220" w:lineRule="exact"/>
        <w:ind w:left="281" w:hanging="281"/>
        <w:jc w:val="both"/>
        <w:rPr>
          <w:rFonts w:ascii="Cambria" w:eastAsia="Yu Mincho" w:hAnsi="Cambria" w:cs="Times New Roman"/>
          <w:kern w:val="2"/>
          <w:sz w:val="20"/>
          <w:szCs w:val="22"/>
          <w:lang w:eastAsia="ja-JP"/>
        </w:rPr>
      </w:pPr>
    </w:p>
    <w:p w14:paraId="57193796" w14:textId="7D76515A" w:rsidR="0095149D" w:rsidRPr="00E50224" w:rsidRDefault="0095149D" w:rsidP="0095149D">
      <w:pPr>
        <w:pStyle w:val="ListParagraph"/>
        <w:widowControl w:val="0"/>
        <w:numPr>
          <w:ilvl w:val="0"/>
          <w:numId w:val="32"/>
        </w:numPr>
        <w:pBdr>
          <w:top w:val="nil"/>
          <w:left w:val="nil"/>
          <w:bottom w:val="nil"/>
          <w:right w:val="nil"/>
          <w:between w:val="nil"/>
        </w:pBdr>
        <w:spacing w:line="220" w:lineRule="exact"/>
        <w:jc w:val="both"/>
        <w:rPr>
          <w:rFonts w:ascii="Cambria" w:eastAsia="Yu Mincho" w:hAnsi="Cambria" w:cs="Times New Roman"/>
          <w:kern w:val="2"/>
          <w:sz w:val="20"/>
          <w:szCs w:val="20"/>
          <w:lang w:eastAsia="ja-JP"/>
        </w:rPr>
      </w:pPr>
      <w:r w:rsidRPr="00E50224">
        <w:rPr>
          <w:rFonts w:ascii="Cambria" w:hAnsi="Cambria"/>
          <w:sz w:val="20"/>
        </w:rPr>
        <w:t xml:space="preserve">Los </w:t>
      </w:r>
      <w:r w:rsidR="00EE6052" w:rsidRPr="00E50224">
        <w:rPr>
          <w:rFonts w:ascii="Cambria" w:hAnsi="Cambria"/>
          <w:sz w:val="20"/>
        </w:rPr>
        <w:t xml:space="preserve">buques de </w:t>
      </w:r>
      <w:r w:rsidR="00FD28AF" w:rsidRPr="00E50224">
        <w:rPr>
          <w:rFonts w:ascii="Cambria" w:hAnsi="Cambria"/>
          <w:sz w:val="20"/>
        </w:rPr>
        <w:t>12</w:t>
      </w:r>
      <w:r w:rsidR="00EE6052" w:rsidRPr="00E50224">
        <w:rPr>
          <w:rFonts w:ascii="Cambria" w:hAnsi="Cambria"/>
          <w:sz w:val="20"/>
        </w:rPr>
        <w:t xml:space="preserve"> metros o menos</w:t>
      </w:r>
      <w:r w:rsidR="00DB37C1" w:rsidRPr="00E50224">
        <w:rPr>
          <w:rFonts w:ascii="Cambria" w:hAnsi="Cambria"/>
          <w:sz w:val="20"/>
        </w:rPr>
        <w:t xml:space="preserve"> no podrán </w:t>
      </w:r>
      <w:r w:rsidR="00EE6052" w:rsidRPr="00E50224">
        <w:rPr>
          <w:rFonts w:ascii="Cambria" w:hAnsi="Cambria"/>
          <w:sz w:val="20"/>
        </w:rPr>
        <w:t>retener más de un ejemplar de marrajo dientuso del Atlántico norte en cualquier mare</w:t>
      </w:r>
      <w:r w:rsidR="00EE6052" w:rsidRPr="00E50224">
        <w:rPr>
          <w:rFonts w:ascii="Cambria" w:eastAsia="Yu Mincho" w:hAnsi="Cambria" w:cs="Times New Roman"/>
          <w:kern w:val="2"/>
          <w:sz w:val="20"/>
          <w:szCs w:val="22"/>
          <w:lang w:eastAsia="ja-JP"/>
        </w:rPr>
        <w:t>a</w:t>
      </w:r>
      <w:r w:rsidR="00EE6052" w:rsidRPr="00E50224">
        <w:rPr>
          <w:rFonts w:ascii="Cambria" w:hAnsi="Cambria"/>
          <w:sz w:val="20"/>
        </w:rPr>
        <w:t xml:space="preserve">. </w:t>
      </w:r>
    </w:p>
    <w:p w14:paraId="3F1BDE0F" w14:textId="77777777" w:rsidR="0095149D" w:rsidRPr="00E50224" w:rsidRDefault="0095149D" w:rsidP="0095149D">
      <w:pPr>
        <w:pStyle w:val="ListParagraph"/>
        <w:widowControl w:val="0"/>
        <w:pBdr>
          <w:top w:val="nil"/>
          <w:left w:val="nil"/>
          <w:bottom w:val="nil"/>
          <w:right w:val="nil"/>
          <w:between w:val="nil"/>
        </w:pBdr>
        <w:spacing w:line="220" w:lineRule="exact"/>
        <w:jc w:val="both"/>
        <w:rPr>
          <w:rFonts w:ascii="Cambria" w:eastAsia="Yu Mincho" w:hAnsi="Cambria" w:cs="Times New Roman"/>
          <w:kern w:val="2"/>
          <w:sz w:val="20"/>
          <w:szCs w:val="20"/>
          <w:lang w:eastAsia="ja-JP"/>
        </w:rPr>
      </w:pPr>
    </w:p>
    <w:p w14:paraId="3AB25CF5" w14:textId="553D4143" w:rsidR="008D1099" w:rsidRPr="00E50224" w:rsidRDefault="00EE6052" w:rsidP="0095149D">
      <w:pPr>
        <w:pStyle w:val="ListParagraph"/>
        <w:widowControl w:val="0"/>
        <w:numPr>
          <w:ilvl w:val="0"/>
          <w:numId w:val="32"/>
        </w:numPr>
        <w:pBdr>
          <w:top w:val="nil"/>
          <w:left w:val="nil"/>
          <w:bottom w:val="nil"/>
          <w:right w:val="nil"/>
          <w:between w:val="nil"/>
        </w:pBdr>
        <w:spacing w:line="220" w:lineRule="exact"/>
        <w:jc w:val="both"/>
        <w:rPr>
          <w:rFonts w:ascii="Cambria" w:eastAsia="Yu Mincho" w:hAnsi="Cambria" w:cs="Times New Roman"/>
          <w:kern w:val="2"/>
          <w:sz w:val="20"/>
          <w:szCs w:val="20"/>
          <w:lang w:eastAsia="ja-JP"/>
        </w:rPr>
      </w:pPr>
      <w:r w:rsidRPr="00E50224">
        <w:rPr>
          <w:rFonts w:ascii="Cambria" w:hAnsi="Cambria"/>
          <w:sz w:val="20"/>
        </w:rPr>
        <w:t>Para los fines de este párrafo, una marea</w:t>
      </w:r>
      <w:r w:rsidR="00D43ED8" w:rsidRPr="00E50224">
        <w:rPr>
          <w:rFonts w:ascii="Cambria" w:hAnsi="Cambria"/>
          <w:sz w:val="20"/>
        </w:rPr>
        <w:t xml:space="preserve"> de pesca</w:t>
      </w:r>
      <w:r w:rsidRPr="00E50224">
        <w:rPr>
          <w:rFonts w:ascii="Cambria" w:hAnsi="Cambria"/>
          <w:sz w:val="20"/>
        </w:rPr>
        <w:t xml:space="preserve"> se define como el periodo que comienza cuando un buque pesquero sale de un muelle, atracadero, playa, dique, rampa o puerto para realizar operaciones de pesca y que termina con la vuelta al muelle, atracadero, playa, dique, rampa o puerto.</w:t>
      </w:r>
    </w:p>
    <w:p w14:paraId="413793E2" w14:textId="77777777" w:rsidR="00B078B7" w:rsidRPr="00E50224" w:rsidRDefault="00B078B7" w:rsidP="00B078B7">
      <w:pPr>
        <w:pStyle w:val="ListParagraph"/>
        <w:tabs>
          <w:tab w:val="left" w:pos="426"/>
        </w:tabs>
        <w:ind w:left="426"/>
        <w:jc w:val="both"/>
        <w:rPr>
          <w:rFonts w:eastAsia="Times New Roman"/>
          <w:sz w:val="20"/>
          <w:szCs w:val="20"/>
        </w:rPr>
      </w:pPr>
    </w:p>
    <w:p w14:paraId="0E970C30" w14:textId="6799FC63" w:rsidR="00AF6568" w:rsidRPr="00E50224" w:rsidRDefault="0012486A" w:rsidP="00243810">
      <w:pPr>
        <w:widowControl w:val="0"/>
        <w:pBdr>
          <w:top w:val="nil"/>
          <w:left w:val="nil"/>
          <w:bottom w:val="nil"/>
          <w:right w:val="nil"/>
          <w:between w:val="nil"/>
        </w:pBdr>
        <w:spacing w:line="220" w:lineRule="exact"/>
        <w:ind w:left="281" w:hanging="281"/>
        <w:jc w:val="both"/>
        <w:rPr>
          <w:rFonts w:eastAsia="Times New Roman"/>
          <w:sz w:val="20"/>
          <w:szCs w:val="20"/>
        </w:rPr>
      </w:pPr>
      <w:r w:rsidRPr="00E50224">
        <w:rPr>
          <w:sz w:val="20"/>
        </w:rPr>
        <w:t>8</w:t>
      </w:r>
      <w:r w:rsidR="00E770BE" w:rsidRPr="00E50224">
        <w:rPr>
          <w:sz w:val="20"/>
        </w:rPr>
        <w:t>.</w:t>
      </w:r>
      <w:r w:rsidR="00E770BE" w:rsidRPr="00E50224">
        <w:rPr>
          <w:rFonts w:ascii="Cambria" w:hAnsi="Cambria"/>
          <w:sz w:val="20"/>
        </w:rPr>
        <w:t xml:space="preserve"> </w:t>
      </w:r>
      <w:r w:rsidR="00E770BE" w:rsidRPr="00E50224">
        <w:rPr>
          <w:rFonts w:ascii="Cambria" w:hAnsi="Cambria"/>
          <w:sz w:val="20"/>
        </w:rPr>
        <w:tab/>
      </w:r>
      <w:r w:rsidR="00293220" w:rsidRPr="00E50224">
        <w:rPr>
          <w:rFonts w:ascii="Cambria" w:hAnsi="Cambria"/>
          <w:sz w:val="20"/>
          <w:szCs w:val="20"/>
        </w:rPr>
        <w:t xml:space="preserve">Los párrafos </w:t>
      </w:r>
      <w:r w:rsidRPr="00E50224">
        <w:rPr>
          <w:rFonts w:ascii="Cambria" w:hAnsi="Cambria"/>
          <w:sz w:val="20"/>
          <w:szCs w:val="20"/>
        </w:rPr>
        <w:t xml:space="preserve">3 a 7 </w:t>
      </w:r>
      <w:r w:rsidR="00FC53A4" w:rsidRPr="00E50224">
        <w:rPr>
          <w:rFonts w:ascii="Cambria" w:hAnsi="Cambria"/>
          <w:sz w:val="20"/>
        </w:rPr>
        <w:t>no se aplica</w:t>
      </w:r>
      <w:r w:rsidR="00E36B02" w:rsidRPr="00E50224">
        <w:rPr>
          <w:rFonts w:ascii="Cambria" w:hAnsi="Cambria"/>
          <w:sz w:val="20"/>
        </w:rPr>
        <w:t>rá</w:t>
      </w:r>
      <w:r w:rsidR="0095149D" w:rsidRPr="00E50224">
        <w:rPr>
          <w:rFonts w:ascii="Cambria" w:hAnsi="Cambria"/>
          <w:sz w:val="20"/>
        </w:rPr>
        <w:t>n</w:t>
      </w:r>
      <w:r w:rsidR="00FC53A4" w:rsidRPr="00E50224">
        <w:rPr>
          <w:rFonts w:ascii="Cambria" w:hAnsi="Cambria"/>
          <w:sz w:val="20"/>
        </w:rPr>
        <w:t xml:space="preserve"> a </w:t>
      </w:r>
      <w:r w:rsidR="00AD2244" w:rsidRPr="00E50224">
        <w:rPr>
          <w:rFonts w:ascii="Cambria" w:hAnsi="Cambria"/>
          <w:sz w:val="20"/>
        </w:rPr>
        <w:t xml:space="preserve">Islandia </w:t>
      </w:r>
      <w:r w:rsidR="007E7993" w:rsidRPr="00E50224">
        <w:rPr>
          <w:rFonts w:ascii="Cambria" w:hAnsi="Cambria"/>
          <w:sz w:val="20"/>
        </w:rPr>
        <w:t>ni a</w:t>
      </w:r>
      <w:r w:rsidR="00AD2244" w:rsidRPr="00E50224">
        <w:rPr>
          <w:rFonts w:ascii="Cambria" w:hAnsi="Cambria"/>
          <w:sz w:val="20"/>
        </w:rPr>
        <w:t xml:space="preserve"> </w:t>
      </w:r>
      <w:r w:rsidR="00AD36D1" w:rsidRPr="00E50224">
        <w:rPr>
          <w:rFonts w:ascii="Cambria" w:hAnsi="Cambria"/>
          <w:sz w:val="20"/>
          <w:szCs w:val="20"/>
        </w:rPr>
        <w:t>N</w:t>
      </w:r>
      <w:r w:rsidR="00AD36D1" w:rsidRPr="00E50224">
        <w:rPr>
          <w:rFonts w:ascii="Cambria" w:hAnsi="Cambria"/>
          <w:sz w:val="20"/>
        </w:rPr>
        <w:t>orueg</w:t>
      </w:r>
      <w:r w:rsidR="00AD36D1" w:rsidRPr="00E50224">
        <w:rPr>
          <w:rFonts w:ascii="Cambria" w:hAnsi="Cambria"/>
          <w:sz w:val="20"/>
          <w:szCs w:val="20"/>
        </w:rPr>
        <w:t>a</w:t>
      </w:r>
      <w:r w:rsidR="00FC53A4" w:rsidRPr="00E50224">
        <w:rPr>
          <w:rFonts w:ascii="Cambria" w:hAnsi="Cambria"/>
          <w:sz w:val="20"/>
        </w:rPr>
        <w:t xml:space="preserve"> cuyas leyes internas </w:t>
      </w:r>
      <w:r w:rsidR="007E7993" w:rsidRPr="00E50224">
        <w:rPr>
          <w:rFonts w:ascii="Cambria" w:hAnsi="Cambria"/>
          <w:sz w:val="20"/>
        </w:rPr>
        <w:t>requieren</w:t>
      </w:r>
      <w:r w:rsidR="00FC53A4" w:rsidRPr="00E50224">
        <w:rPr>
          <w:rFonts w:ascii="Cambria" w:hAnsi="Cambria"/>
          <w:sz w:val="20"/>
        </w:rPr>
        <w:t xml:space="preserve"> que se desembarquen todos los ejemplares muertos, siempre y cuando:</w:t>
      </w:r>
    </w:p>
    <w:p w14:paraId="261F6774" w14:textId="77777777" w:rsidR="00373FC8" w:rsidRPr="00E50224" w:rsidRDefault="00373FC8" w:rsidP="004263E5">
      <w:pPr>
        <w:jc w:val="both"/>
        <w:rPr>
          <w:color w:val="000000"/>
          <w:sz w:val="20"/>
          <w:szCs w:val="20"/>
        </w:rPr>
      </w:pPr>
    </w:p>
    <w:p w14:paraId="7954A05E" w14:textId="7BB22D96" w:rsidR="00AF6568" w:rsidRPr="00E50224" w:rsidRDefault="000A251F" w:rsidP="00382CCE">
      <w:pPr>
        <w:pStyle w:val="ListParagraph"/>
        <w:numPr>
          <w:ilvl w:val="0"/>
          <w:numId w:val="10"/>
        </w:numPr>
        <w:ind w:left="851" w:hanging="425"/>
        <w:jc w:val="both"/>
        <w:rPr>
          <w:color w:val="000000"/>
          <w:sz w:val="20"/>
          <w:szCs w:val="20"/>
        </w:rPr>
      </w:pPr>
      <w:r w:rsidRPr="00E50224">
        <w:rPr>
          <w:rFonts w:ascii="Cambria" w:hAnsi="Cambria"/>
          <w:sz w:val="20"/>
        </w:rPr>
        <w:t xml:space="preserve">el </w:t>
      </w:r>
      <w:r w:rsidR="00AF6568" w:rsidRPr="00E50224">
        <w:rPr>
          <w:rFonts w:ascii="Cambria" w:hAnsi="Cambria"/>
          <w:sz w:val="20"/>
        </w:rPr>
        <w:t>pez esté muerto al izarlo a bordo</w:t>
      </w:r>
      <w:r w:rsidR="001C774E" w:rsidRPr="00E50224">
        <w:rPr>
          <w:rFonts w:ascii="Cambria" w:hAnsi="Cambria"/>
          <w:sz w:val="20"/>
        </w:rPr>
        <w:t>;</w:t>
      </w:r>
    </w:p>
    <w:p w14:paraId="754086D7" w14:textId="77777777" w:rsidR="00AF6568" w:rsidRPr="00E50224" w:rsidRDefault="00AF6568" w:rsidP="00AF6568">
      <w:pPr>
        <w:pStyle w:val="ListParagraph"/>
        <w:ind w:left="851"/>
        <w:jc w:val="both"/>
        <w:rPr>
          <w:color w:val="000000"/>
          <w:sz w:val="20"/>
          <w:szCs w:val="20"/>
        </w:rPr>
      </w:pPr>
    </w:p>
    <w:p w14:paraId="5976842C" w14:textId="5F64625D" w:rsidR="00AF6568" w:rsidRPr="00E50224" w:rsidRDefault="000A251F" w:rsidP="00382CCE">
      <w:pPr>
        <w:pStyle w:val="ListParagraph"/>
        <w:numPr>
          <w:ilvl w:val="0"/>
          <w:numId w:val="10"/>
        </w:numPr>
        <w:ind w:left="851" w:hanging="425"/>
        <w:jc w:val="both"/>
        <w:rPr>
          <w:color w:val="000000"/>
          <w:sz w:val="20"/>
          <w:szCs w:val="20"/>
        </w:rPr>
      </w:pPr>
      <w:r w:rsidRPr="00E50224">
        <w:rPr>
          <w:rFonts w:ascii="Cambria" w:hAnsi="Cambria"/>
          <w:sz w:val="20"/>
        </w:rPr>
        <w:t xml:space="preserve">la </w:t>
      </w:r>
      <w:r w:rsidR="00AF6568" w:rsidRPr="00E50224">
        <w:rPr>
          <w:rFonts w:ascii="Cambria" w:hAnsi="Cambria"/>
          <w:sz w:val="20"/>
        </w:rPr>
        <w:t>pesca dirigida al marrajo dientuso esté prohibida</w:t>
      </w:r>
      <w:r w:rsidRPr="00E50224">
        <w:rPr>
          <w:rFonts w:ascii="Cambria" w:hAnsi="Cambria"/>
          <w:sz w:val="20"/>
        </w:rPr>
        <w:t>;</w:t>
      </w:r>
    </w:p>
    <w:p w14:paraId="32B9703D" w14:textId="77777777" w:rsidR="00AF6568" w:rsidRPr="00E50224" w:rsidRDefault="00AF6568" w:rsidP="00AF6568">
      <w:pPr>
        <w:pStyle w:val="ListParagraph"/>
        <w:rPr>
          <w:rFonts w:ascii="Cambria" w:hAnsi="Cambria"/>
          <w:sz w:val="20"/>
          <w:szCs w:val="20"/>
        </w:rPr>
      </w:pPr>
    </w:p>
    <w:p w14:paraId="7E9CA7EA" w14:textId="04EC59E1" w:rsidR="00AF6568" w:rsidRPr="00E50224" w:rsidRDefault="000A251F" w:rsidP="00382CCE">
      <w:pPr>
        <w:pStyle w:val="ListParagraph"/>
        <w:numPr>
          <w:ilvl w:val="0"/>
          <w:numId w:val="10"/>
        </w:numPr>
        <w:ind w:left="851" w:hanging="425"/>
        <w:jc w:val="both"/>
        <w:rPr>
          <w:color w:val="000000"/>
          <w:sz w:val="20"/>
          <w:szCs w:val="20"/>
        </w:rPr>
      </w:pPr>
      <w:r w:rsidRPr="00E50224">
        <w:rPr>
          <w:rFonts w:ascii="Cambria" w:hAnsi="Cambria"/>
          <w:sz w:val="20"/>
        </w:rPr>
        <w:t xml:space="preserve">la </w:t>
      </w:r>
      <w:r w:rsidR="00AF6568" w:rsidRPr="00E50224">
        <w:rPr>
          <w:rFonts w:ascii="Cambria" w:hAnsi="Cambria"/>
          <w:sz w:val="20"/>
        </w:rPr>
        <w:t>cantidad de marrajo dientuso</w:t>
      </w:r>
      <w:r w:rsidR="00AD36D1" w:rsidRPr="00E50224">
        <w:rPr>
          <w:rFonts w:ascii="Cambria" w:hAnsi="Cambria"/>
          <w:sz w:val="20"/>
        </w:rPr>
        <w:t xml:space="preserve"> del Atlántico norte</w:t>
      </w:r>
      <w:r w:rsidR="00AF6568" w:rsidRPr="00E50224">
        <w:rPr>
          <w:rFonts w:ascii="Cambria" w:hAnsi="Cambria"/>
          <w:sz w:val="20"/>
        </w:rPr>
        <w:t xml:space="preserve"> desembarcada se comunique en la hoja de comprobación de implementación de tiburones de la CPC, tal y como requiere la Recomendación 18-06 y cualquier sucesora futura o revisión de esta</w:t>
      </w:r>
      <w:r w:rsidRPr="00E50224">
        <w:rPr>
          <w:rFonts w:ascii="Cambria" w:hAnsi="Cambria"/>
          <w:sz w:val="20"/>
        </w:rPr>
        <w:t>;</w:t>
      </w:r>
    </w:p>
    <w:p w14:paraId="1398C666" w14:textId="38EDF52F" w:rsidR="00AD36D1" w:rsidRPr="00E50224" w:rsidRDefault="00AD36D1" w:rsidP="00AD36D1">
      <w:pPr>
        <w:pStyle w:val="ListParagraph"/>
        <w:ind w:left="851"/>
        <w:jc w:val="both"/>
        <w:rPr>
          <w:color w:val="000000"/>
          <w:sz w:val="20"/>
          <w:szCs w:val="20"/>
        </w:rPr>
      </w:pPr>
    </w:p>
    <w:p w14:paraId="66FFE4C3" w14:textId="334A7A38" w:rsidR="00AD36D1" w:rsidRPr="00E50224" w:rsidRDefault="00AD36D1" w:rsidP="00AD36D1">
      <w:pPr>
        <w:pStyle w:val="ListParagraph"/>
        <w:numPr>
          <w:ilvl w:val="0"/>
          <w:numId w:val="10"/>
        </w:numPr>
        <w:ind w:left="851" w:hanging="425"/>
        <w:jc w:val="both"/>
        <w:rPr>
          <w:color w:val="000000"/>
          <w:sz w:val="20"/>
          <w:szCs w:val="20"/>
        </w:rPr>
      </w:pPr>
      <w:r w:rsidRPr="00E50224">
        <w:rPr>
          <w:rFonts w:ascii="Cambria" w:hAnsi="Cambria"/>
          <w:sz w:val="20"/>
        </w:rPr>
        <w:t>el marrajo dientuso del Atlántico norte se desembarque con las aletas pegadas naturalmente al cuerpo; y</w:t>
      </w:r>
    </w:p>
    <w:p w14:paraId="012C17C6" w14:textId="77777777" w:rsidR="00AD36D1" w:rsidRPr="00E50224" w:rsidRDefault="00AD36D1" w:rsidP="00AD36D1">
      <w:pPr>
        <w:pStyle w:val="ListParagraph"/>
        <w:ind w:left="851"/>
        <w:jc w:val="both"/>
        <w:rPr>
          <w:color w:val="000000"/>
          <w:sz w:val="20"/>
          <w:szCs w:val="20"/>
        </w:rPr>
      </w:pPr>
    </w:p>
    <w:p w14:paraId="3C73486A" w14:textId="08B8928A" w:rsidR="007E4C9C" w:rsidRPr="00E50224" w:rsidRDefault="00AF6568" w:rsidP="00382CCE">
      <w:pPr>
        <w:pStyle w:val="ListParagraph"/>
        <w:numPr>
          <w:ilvl w:val="0"/>
          <w:numId w:val="10"/>
        </w:numPr>
        <w:ind w:left="851" w:hanging="425"/>
        <w:jc w:val="both"/>
        <w:rPr>
          <w:color w:val="000000"/>
          <w:sz w:val="20"/>
          <w:szCs w:val="20"/>
        </w:rPr>
      </w:pPr>
      <w:r w:rsidRPr="00E50224">
        <w:rPr>
          <w:rFonts w:ascii="Cambria" w:hAnsi="Cambria"/>
          <w:sz w:val="20"/>
        </w:rPr>
        <w:t xml:space="preserve">se prohíba a los pescadores obtener </w:t>
      </w:r>
      <w:r w:rsidR="00B078B7" w:rsidRPr="00E50224">
        <w:rPr>
          <w:rFonts w:ascii="Cambria" w:hAnsi="Cambria"/>
          <w:sz w:val="20"/>
        </w:rPr>
        <w:t>valor comercial</w:t>
      </w:r>
      <w:r w:rsidR="00AB25A5" w:rsidRPr="00E50224">
        <w:rPr>
          <w:rFonts w:ascii="Cambria" w:hAnsi="Cambria"/>
          <w:sz w:val="20"/>
        </w:rPr>
        <w:t xml:space="preserve"> </w:t>
      </w:r>
      <w:r w:rsidRPr="00E50224">
        <w:rPr>
          <w:rFonts w:ascii="Cambria" w:hAnsi="Cambria"/>
          <w:sz w:val="20"/>
        </w:rPr>
        <w:t>alguno de dichos peces.</w:t>
      </w:r>
    </w:p>
    <w:p w14:paraId="6086283A" w14:textId="77777777" w:rsidR="00580E26" w:rsidRPr="00E50224" w:rsidRDefault="00580E26" w:rsidP="00AF6568">
      <w:pPr>
        <w:jc w:val="both"/>
        <w:rPr>
          <w:b/>
          <w:color w:val="000000"/>
          <w:sz w:val="20"/>
        </w:rPr>
      </w:pPr>
    </w:p>
    <w:p w14:paraId="0D4394D3" w14:textId="34B63ED1" w:rsidR="00AF6568" w:rsidRPr="00E50224" w:rsidRDefault="00AF6568" w:rsidP="00AF6568">
      <w:pPr>
        <w:jc w:val="both"/>
        <w:rPr>
          <w:rFonts w:cs="Times New Roman"/>
          <w:b/>
          <w:color w:val="000000"/>
          <w:sz w:val="20"/>
          <w:szCs w:val="20"/>
        </w:rPr>
      </w:pPr>
      <w:r w:rsidRPr="00E50224">
        <w:rPr>
          <w:b/>
          <w:color w:val="000000"/>
          <w:sz w:val="20"/>
        </w:rPr>
        <w:t>Manipulación y liberación segura</w:t>
      </w:r>
      <w:r w:rsidR="0067494D" w:rsidRPr="00E50224">
        <w:rPr>
          <w:b/>
          <w:color w:val="000000"/>
          <w:sz w:val="20"/>
        </w:rPr>
        <w:t>s</w:t>
      </w:r>
    </w:p>
    <w:p w14:paraId="5BDD973A" w14:textId="0D0A889C" w:rsidR="005C5C0E" w:rsidRPr="00E50224" w:rsidRDefault="005C5C0E" w:rsidP="006E490B">
      <w:pPr>
        <w:jc w:val="both"/>
        <w:rPr>
          <w:bCs/>
          <w:sz w:val="20"/>
          <w:szCs w:val="20"/>
        </w:rPr>
      </w:pPr>
    </w:p>
    <w:p w14:paraId="118C4032" w14:textId="109C1D10" w:rsidR="00A01D0C" w:rsidRPr="00E50224" w:rsidRDefault="0012486A" w:rsidP="00CD2DEB">
      <w:pPr>
        <w:widowControl w:val="0"/>
        <w:pBdr>
          <w:top w:val="nil"/>
          <w:left w:val="nil"/>
          <w:bottom w:val="nil"/>
          <w:right w:val="nil"/>
          <w:between w:val="nil"/>
        </w:pBdr>
        <w:ind w:left="567" w:hanging="567"/>
        <w:jc w:val="both"/>
        <w:rPr>
          <w:rFonts w:ascii="Cambria" w:hAnsi="Cambria"/>
          <w:sz w:val="20"/>
          <w:szCs w:val="20"/>
        </w:rPr>
      </w:pPr>
      <w:r w:rsidRPr="00E50224">
        <w:rPr>
          <w:sz w:val="20"/>
        </w:rPr>
        <w:t>9</w:t>
      </w:r>
      <w:r w:rsidR="00E770BE" w:rsidRPr="00E50224">
        <w:rPr>
          <w:sz w:val="20"/>
        </w:rPr>
        <w:t>.</w:t>
      </w:r>
      <w:r w:rsidR="00E770BE" w:rsidRPr="00E50224">
        <w:rPr>
          <w:rFonts w:ascii="Cambria" w:hAnsi="Cambria"/>
          <w:sz w:val="20"/>
        </w:rPr>
        <w:t xml:space="preserve"> </w:t>
      </w:r>
      <w:r w:rsidR="00E770BE" w:rsidRPr="00E50224">
        <w:rPr>
          <w:rFonts w:ascii="Cambria" w:hAnsi="Cambria"/>
          <w:sz w:val="20"/>
        </w:rPr>
        <w:tab/>
      </w:r>
      <w:r w:rsidR="00FD28AF" w:rsidRPr="00E50224">
        <w:rPr>
          <w:rFonts w:ascii="Cambria" w:eastAsia="Yu Mincho" w:hAnsi="Cambria" w:cs="Times New Roman"/>
          <w:kern w:val="2"/>
          <w:sz w:val="20"/>
          <w:szCs w:val="22"/>
          <w:lang w:eastAsia="ja-JP"/>
        </w:rPr>
        <w:t>A</w:t>
      </w:r>
      <w:r w:rsidR="00FD28AF" w:rsidRPr="00E50224">
        <w:rPr>
          <w:rFonts w:ascii="Cambria" w:hAnsi="Cambria"/>
          <w:sz w:val="20"/>
        </w:rPr>
        <w:t xml:space="preserve"> partir de la entrada en vigor de esta Recomendación</w:t>
      </w:r>
      <w:r w:rsidR="0095149D" w:rsidRPr="00E50224">
        <w:rPr>
          <w:rFonts w:ascii="Cambria" w:eastAsia="Yu Mincho" w:hAnsi="Cambria" w:cs="Times New Roman"/>
          <w:kern w:val="2"/>
          <w:sz w:val="20"/>
          <w:szCs w:val="22"/>
          <w:lang w:eastAsia="ja-JP"/>
        </w:rPr>
        <w:t xml:space="preserve">, </w:t>
      </w:r>
      <w:r w:rsidR="0067494D" w:rsidRPr="00E50224">
        <w:rPr>
          <w:rFonts w:ascii="Cambria" w:eastAsia="Yu Mincho" w:hAnsi="Cambria" w:cs="Times New Roman"/>
          <w:kern w:val="2"/>
          <w:sz w:val="20"/>
          <w:szCs w:val="22"/>
          <w:lang w:eastAsia="ja-JP"/>
        </w:rPr>
        <w:t>l</w:t>
      </w:r>
      <w:r w:rsidR="00FC53A4" w:rsidRPr="00E50224">
        <w:rPr>
          <w:rFonts w:ascii="Cambria" w:hAnsi="Cambria"/>
          <w:sz w:val="20"/>
        </w:rPr>
        <w:t xml:space="preserve">as CPC requerirán a los buques que enarbolen su pabellón que </w:t>
      </w:r>
      <w:r w:rsidR="0076116D" w:rsidRPr="00E50224">
        <w:rPr>
          <w:rFonts w:ascii="Cambria" w:hAnsi="Cambria"/>
          <w:sz w:val="20"/>
        </w:rPr>
        <w:t>implementen</w:t>
      </w:r>
      <w:r w:rsidR="00FD28AF" w:rsidRPr="00E50224">
        <w:rPr>
          <w:rFonts w:ascii="Cambria" w:hAnsi="Cambria"/>
          <w:sz w:val="20"/>
        </w:rPr>
        <w:t xml:space="preserve">, </w:t>
      </w:r>
      <w:r w:rsidR="00FC53A4" w:rsidRPr="00E50224">
        <w:rPr>
          <w:rFonts w:ascii="Cambria" w:hAnsi="Cambria"/>
          <w:sz w:val="20"/>
        </w:rPr>
        <w:t>teniendo debidamente en cuenta la seguridad de la tripulación</w:t>
      </w:r>
      <w:r w:rsidR="00CA1427" w:rsidRPr="00E50224">
        <w:rPr>
          <w:rFonts w:ascii="Cambria" w:hAnsi="Cambria"/>
          <w:sz w:val="20"/>
        </w:rPr>
        <w:t xml:space="preserve">, </w:t>
      </w:r>
      <w:r w:rsidR="0095149D" w:rsidRPr="00E50224">
        <w:rPr>
          <w:rFonts w:ascii="Cambria" w:hAnsi="Cambria"/>
          <w:sz w:val="20"/>
        </w:rPr>
        <w:t>l</w:t>
      </w:r>
      <w:r w:rsidR="007E7993" w:rsidRPr="00E50224">
        <w:rPr>
          <w:rFonts w:ascii="Cambria" w:hAnsi="Cambria"/>
          <w:sz w:val="20"/>
        </w:rPr>
        <w:t>as</w:t>
      </w:r>
      <w:r w:rsidR="00FC53A4" w:rsidRPr="00E50224">
        <w:rPr>
          <w:rFonts w:ascii="Cambria" w:hAnsi="Cambria"/>
          <w:sz w:val="20"/>
        </w:rPr>
        <w:t xml:space="preserve"> normas mínimas para </w:t>
      </w:r>
      <w:r w:rsidR="007E7993" w:rsidRPr="00E50224">
        <w:rPr>
          <w:rFonts w:ascii="Cambria" w:hAnsi="Cambria"/>
          <w:sz w:val="20"/>
        </w:rPr>
        <w:t>los procedimientos de</w:t>
      </w:r>
      <w:r w:rsidR="00FC53A4" w:rsidRPr="00E50224">
        <w:rPr>
          <w:rFonts w:ascii="Cambria" w:hAnsi="Cambria"/>
          <w:sz w:val="20"/>
        </w:rPr>
        <w:t xml:space="preserve"> manipulación y liberación seguras de los ejempl</w:t>
      </w:r>
      <w:r w:rsidR="00270B70" w:rsidRPr="00E50224">
        <w:rPr>
          <w:rFonts w:ascii="Cambria" w:hAnsi="Cambria"/>
          <w:sz w:val="20"/>
        </w:rPr>
        <w:t>ar</w:t>
      </w:r>
      <w:r w:rsidR="00FC53A4" w:rsidRPr="00E50224">
        <w:rPr>
          <w:rFonts w:ascii="Cambria" w:hAnsi="Cambria"/>
          <w:sz w:val="20"/>
        </w:rPr>
        <w:t>es de marrajo dientuso del Atlántico norte</w:t>
      </w:r>
      <w:r w:rsidR="00270B70" w:rsidRPr="00E50224">
        <w:rPr>
          <w:rFonts w:ascii="Cambria" w:hAnsi="Cambria"/>
          <w:sz w:val="20"/>
        </w:rPr>
        <w:t xml:space="preserve">, tal y como están prevista </w:t>
      </w:r>
      <w:r w:rsidR="00FC53A4" w:rsidRPr="00E50224">
        <w:rPr>
          <w:rFonts w:ascii="Cambria" w:hAnsi="Cambria"/>
          <w:sz w:val="20"/>
        </w:rPr>
        <w:t xml:space="preserve">en el </w:t>
      </w:r>
      <w:r w:rsidR="00FC53A4" w:rsidRPr="00E50224">
        <w:rPr>
          <w:rFonts w:ascii="Cambria" w:hAnsi="Cambria"/>
          <w:b/>
          <w:bCs/>
          <w:sz w:val="20"/>
        </w:rPr>
        <w:t xml:space="preserve">Anexo </w:t>
      </w:r>
      <w:r w:rsidR="0095149D" w:rsidRPr="00E50224">
        <w:rPr>
          <w:rFonts w:ascii="Cambria" w:hAnsi="Cambria"/>
          <w:b/>
          <w:bCs/>
          <w:sz w:val="20"/>
        </w:rPr>
        <w:t>2</w:t>
      </w:r>
      <w:r w:rsidR="00FC53A4" w:rsidRPr="00E50224">
        <w:rPr>
          <w:rFonts w:ascii="Cambria" w:hAnsi="Cambria"/>
          <w:sz w:val="20"/>
        </w:rPr>
        <w:t xml:space="preserve"> de la presente Recomendación</w:t>
      </w:r>
      <w:r w:rsidR="00AD2244" w:rsidRPr="00E50224">
        <w:rPr>
          <w:rFonts w:ascii="Cambria" w:hAnsi="Cambria"/>
          <w:sz w:val="20"/>
        </w:rPr>
        <w:t xml:space="preserve">, </w:t>
      </w:r>
      <w:r w:rsidR="002B16F1" w:rsidRPr="00E50224">
        <w:rPr>
          <w:rFonts w:ascii="Cambria" w:hAnsi="Cambria"/>
          <w:sz w:val="20"/>
        </w:rPr>
        <w:t xml:space="preserve">con el fin de liberar sin demora e ilesos, en la medida de lo posible, </w:t>
      </w:r>
      <w:r w:rsidR="007E7993" w:rsidRPr="00E50224">
        <w:rPr>
          <w:rFonts w:ascii="Cambria" w:hAnsi="Cambria"/>
          <w:sz w:val="20"/>
        </w:rPr>
        <w:t xml:space="preserve">los ejemplares vivos de marrajo dientuso del Atlántico norte </w:t>
      </w:r>
      <w:r w:rsidR="002B16F1" w:rsidRPr="00E50224">
        <w:rPr>
          <w:rFonts w:ascii="Cambria" w:hAnsi="Cambria"/>
          <w:sz w:val="20"/>
        </w:rPr>
        <w:t xml:space="preserve">y mejorar </w:t>
      </w:r>
      <w:r w:rsidR="007E7993" w:rsidRPr="00E50224">
        <w:rPr>
          <w:rFonts w:ascii="Cambria" w:hAnsi="Cambria"/>
          <w:sz w:val="20"/>
        </w:rPr>
        <w:t>su</w:t>
      </w:r>
      <w:r w:rsidR="002B16F1" w:rsidRPr="00E50224">
        <w:rPr>
          <w:rFonts w:ascii="Cambria" w:hAnsi="Cambria"/>
          <w:sz w:val="20"/>
        </w:rPr>
        <w:t xml:space="preserve"> </w:t>
      </w:r>
      <w:r w:rsidR="00B92F1C" w:rsidRPr="00E50224">
        <w:rPr>
          <w:rFonts w:ascii="Cambria" w:hAnsi="Cambria"/>
          <w:sz w:val="20"/>
        </w:rPr>
        <w:t xml:space="preserve">capacidad de </w:t>
      </w:r>
      <w:r w:rsidR="002B16F1" w:rsidRPr="00E50224">
        <w:rPr>
          <w:rFonts w:ascii="Cambria" w:hAnsi="Cambria"/>
          <w:sz w:val="20"/>
        </w:rPr>
        <w:t>supervivencia cuando sean llevados al costado del buque</w:t>
      </w:r>
      <w:r w:rsidR="0095149D" w:rsidRPr="00E50224">
        <w:rPr>
          <w:rFonts w:ascii="Cambria" w:hAnsi="Cambria"/>
          <w:sz w:val="20"/>
        </w:rPr>
        <w:t xml:space="preserve">. La Comisión podría considerar revisiones de este </w:t>
      </w:r>
      <w:r w:rsidR="0095149D" w:rsidRPr="00E50224">
        <w:rPr>
          <w:rFonts w:ascii="Cambria" w:hAnsi="Cambria"/>
          <w:b/>
          <w:bCs/>
          <w:sz w:val="20"/>
        </w:rPr>
        <w:t xml:space="preserve">Anexo </w:t>
      </w:r>
      <w:r w:rsidR="00F837DC" w:rsidRPr="00E50224">
        <w:rPr>
          <w:rFonts w:ascii="Cambria" w:hAnsi="Cambria"/>
          <w:b/>
          <w:bCs/>
          <w:sz w:val="20"/>
        </w:rPr>
        <w:t>2</w:t>
      </w:r>
      <w:r w:rsidR="0095149D" w:rsidRPr="00E50224">
        <w:rPr>
          <w:rFonts w:ascii="Cambria" w:hAnsi="Cambria"/>
          <w:sz w:val="20"/>
        </w:rPr>
        <w:t xml:space="preserve"> a medida que se disponga de nueva información del SCRS</w:t>
      </w:r>
      <w:r w:rsidR="00755EEC" w:rsidRPr="00E50224">
        <w:rPr>
          <w:rFonts w:ascii="Cambria" w:hAnsi="Cambria"/>
          <w:sz w:val="20"/>
        </w:rPr>
        <w:t>.</w:t>
      </w:r>
    </w:p>
    <w:p w14:paraId="4EBF6EF2" w14:textId="3E08EC1B" w:rsidR="00CA1427" w:rsidRPr="00E50224" w:rsidRDefault="00CA1427" w:rsidP="00CA1427">
      <w:pPr>
        <w:tabs>
          <w:tab w:val="left" w:pos="426"/>
        </w:tabs>
        <w:ind w:left="426" w:hanging="284"/>
        <w:jc w:val="both"/>
        <w:rPr>
          <w:rFonts w:ascii="Cambria" w:hAnsi="Cambria"/>
          <w:sz w:val="20"/>
          <w:szCs w:val="20"/>
        </w:rPr>
      </w:pPr>
    </w:p>
    <w:p w14:paraId="77569AD3" w14:textId="507E9ABF" w:rsidR="006C29B8" w:rsidRPr="00E50224" w:rsidRDefault="006C29B8" w:rsidP="00CA1427">
      <w:pPr>
        <w:tabs>
          <w:tab w:val="left" w:pos="426"/>
        </w:tabs>
        <w:ind w:left="426" w:hanging="284"/>
        <w:jc w:val="both"/>
        <w:rPr>
          <w:rFonts w:ascii="Cambria" w:hAnsi="Cambria"/>
          <w:sz w:val="20"/>
          <w:szCs w:val="20"/>
        </w:rPr>
      </w:pPr>
    </w:p>
    <w:p w14:paraId="2403623D" w14:textId="30DC7143" w:rsidR="006C29B8" w:rsidRPr="00E50224" w:rsidRDefault="006C29B8" w:rsidP="00CA1427">
      <w:pPr>
        <w:tabs>
          <w:tab w:val="left" w:pos="426"/>
        </w:tabs>
        <w:ind w:left="426" w:hanging="284"/>
        <w:jc w:val="both"/>
        <w:rPr>
          <w:rFonts w:ascii="Cambria" w:hAnsi="Cambria"/>
          <w:sz w:val="20"/>
          <w:szCs w:val="20"/>
        </w:rPr>
      </w:pPr>
    </w:p>
    <w:p w14:paraId="13F1EC89" w14:textId="77777777" w:rsidR="006C29B8" w:rsidRPr="00E50224" w:rsidRDefault="006C29B8" w:rsidP="00CA1427">
      <w:pPr>
        <w:tabs>
          <w:tab w:val="left" w:pos="426"/>
        </w:tabs>
        <w:ind w:left="426" w:hanging="284"/>
        <w:jc w:val="both"/>
        <w:rPr>
          <w:rFonts w:ascii="Cambria" w:hAnsi="Cambria"/>
          <w:sz w:val="20"/>
          <w:szCs w:val="20"/>
        </w:rPr>
      </w:pPr>
    </w:p>
    <w:p w14:paraId="534B0923" w14:textId="120B2E1D" w:rsidR="00000D49" w:rsidRPr="00E50224" w:rsidRDefault="00AF6568" w:rsidP="0077130C">
      <w:pPr>
        <w:jc w:val="both"/>
        <w:rPr>
          <w:rFonts w:cs="Times New Roman"/>
          <w:b/>
          <w:color w:val="000000"/>
          <w:sz w:val="20"/>
          <w:szCs w:val="20"/>
        </w:rPr>
      </w:pPr>
      <w:r w:rsidRPr="00E50224">
        <w:rPr>
          <w:b/>
          <w:color w:val="000000"/>
          <w:sz w:val="20"/>
        </w:rPr>
        <w:lastRenderedPageBreak/>
        <w:t>Requisitos relacionados con la comunicación de información sobe implementación</w:t>
      </w:r>
    </w:p>
    <w:p w14:paraId="00AA76E2" w14:textId="77777777" w:rsidR="00000D49" w:rsidRPr="00E50224" w:rsidRDefault="00000D49" w:rsidP="00000D49">
      <w:pPr>
        <w:widowControl w:val="0"/>
        <w:tabs>
          <w:tab w:val="left" w:pos="284"/>
          <w:tab w:val="left" w:pos="3725"/>
        </w:tabs>
        <w:autoSpaceDE w:val="0"/>
        <w:autoSpaceDN w:val="0"/>
        <w:adjustRightInd w:val="0"/>
        <w:ind w:left="284" w:hanging="284"/>
        <w:jc w:val="both"/>
        <w:rPr>
          <w:rFonts w:cs="Times New Roman"/>
          <w:color w:val="000000"/>
          <w:sz w:val="20"/>
          <w:szCs w:val="20"/>
        </w:rPr>
      </w:pPr>
    </w:p>
    <w:p w14:paraId="4E93A669" w14:textId="2DDF7138" w:rsidR="00000D49" w:rsidRPr="00E50224" w:rsidRDefault="0012486A" w:rsidP="00CD2DEB">
      <w:pPr>
        <w:widowControl w:val="0"/>
        <w:pBdr>
          <w:top w:val="nil"/>
          <w:left w:val="nil"/>
          <w:bottom w:val="nil"/>
          <w:right w:val="nil"/>
          <w:between w:val="nil"/>
        </w:pBdr>
        <w:ind w:left="567" w:hanging="567"/>
        <w:jc w:val="both"/>
        <w:rPr>
          <w:rFonts w:ascii="Cambria" w:hAnsi="Cambria"/>
          <w:sz w:val="20"/>
          <w:szCs w:val="20"/>
        </w:rPr>
      </w:pPr>
      <w:r w:rsidRPr="00E50224">
        <w:rPr>
          <w:rFonts w:ascii="Cambria" w:hAnsi="Cambria"/>
          <w:sz w:val="20"/>
        </w:rPr>
        <w:t>10</w:t>
      </w:r>
      <w:r w:rsidR="00E770BE" w:rsidRPr="00E50224">
        <w:rPr>
          <w:rFonts w:ascii="Cambria" w:hAnsi="Cambria"/>
          <w:sz w:val="20"/>
        </w:rPr>
        <w:t>.</w:t>
      </w:r>
      <w:r w:rsidR="00E770BE" w:rsidRPr="00E50224">
        <w:rPr>
          <w:rFonts w:ascii="Cambria" w:hAnsi="Cambria"/>
          <w:sz w:val="20"/>
        </w:rPr>
        <w:tab/>
      </w:r>
      <w:r w:rsidR="00E6770F" w:rsidRPr="00E50224">
        <w:rPr>
          <w:rFonts w:ascii="Cambria" w:hAnsi="Cambria"/>
          <w:sz w:val="20"/>
          <w:szCs w:val="20"/>
        </w:rPr>
        <w:t>De conformidad con l</w:t>
      </w:r>
      <w:r w:rsidR="008E134F" w:rsidRPr="00E50224">
        <w:rPr>
          <w:rFonts w:ascii="Cambria" w:hAnsi="Cambria"/>
          <w:sz w:val="20"/>
          <w:szCs w:val="20"/>
        </w:rPr>
        <w:t>a Rec. 18-06</w:t>
      </w:r>
      <w:r w:rsidR="008E134F" w:rsidRPr="00E50224">
        <w:rPr>
          <w:rFonts w:ascii="Cambria" w:hAnsi="Cambria"/>
          <w:sz w:val="20"/>
        </w:rPr>
        <w:t xml:space="preserve">, </w:t>
      </w:r>
      <w:r w:rsidR="007409D6" w:rsidRPr="00E50224">
        <w:rPr>
          <w:rFonts w:ascii="Cambria" w:hAnsi="Cambria"/>
          <w:sz w:val="20"/>
        </w:rPr>
        <w:t>l</w:t>
      </w:r>
      <w:r w:rsidR="000C2256" w:rsidRPr="00E50224">
        <w:rPr>
          <w:rFonts w:ascii="Cambria" w:hAnsi="Cambria"/>
          <w:sz w:val="20"/>
        </w:rPr>
        <w:t xml:space="preserve">as CPC presentarán una hoja de comprobación de implementación de medidas relacionadas con los tiburones para facilitar información sobre el modo en que se </w:t>
      </w:r>
      <w:r w:rsidR="008E134F" w:rsidRPr="00E50224">
        <w:rPr>
          <w:rFonts w:ascii="Cambria" w:hAnsi="Cambria"/>
          <w:sz w:val="20"/>
          <w:szCs w:val="20"/>
        </w:rPr>
        <w:t>está implementando</w:t>
      </w:r>
      <w:r w:rsidR="000C2256" w:rsidRPr="00E50224">
        <w:rPr>
          <w:rFonts w:ascii="Cambria" w:hAnsi="Cambria"/>
          <w:sz w:val="20"/>
        </w:rPr>
        <w:t xml:space="preserve"> esta Recomendación. Si el Comité de cumplimiento determina que </w:t>
      </w:r>
      <w:r w:rsidR="00477543" w:rsidRPr="00E50224">
        <w:rPr>
          <w:rFonts w:ascii="Cambria" w:hAnsi="Cambria"/>
          <w:sz w:val="20"/>
        </w:rPr>
        <w:t>una</w:t>
      </w:r>
      <w:r w:rsidR="000C2256" w:rsidRPr="00E50224">
        <w:rPr>
          <w:rFonts w:ascii="Cambria" w:hAnsi="Cambria"/>
          <w:sz w:val="20"/>
        </w:rPr>
        <w:t xml:space="preserve"> CPC no comunica esta información tal y como requiere la Rec</w:t>
      </w:r>
      <w:r w:rsidR="006C29B8" w:rsidRPr="00E50224">
        <w:rPr>
          <w:rFonts w:ascii="Cambria" w:hAnsi="Cambria"/>
          <w:sz w:val="20"/>
        </w:rPr>
        <w:t>omendación</w:t>
      </w:r>
      <w:r w:rsidR="000C2256" w:rsidRPr="00E50224">
        <w:rPr>
          <w:rFonts w:ascii="Cambria" w:hAnsi="Cambria"/>
          <w:sz w:val="20"/>
        </w:rPr>
        <w:t xml:space="preserve"> 18-06, dicha CPC requerirá inmediatamente a sus buques pesqueros que se abstengan de retener o desembarcar </w:t>
      </w:r>
      <w:r w:rsidR="00FC53A4" w:rsidRPr="00E50224">
        <w:rPr>
          <w:rFonts w:ascii="Cambria" w:hAnsi="Cambria"/>
          <w:sz w:val="20"/>
        </w:rPr>
        <w:t xml:space="preserve">marrajo </w:t>
      </w:r>
      <w:r w:rsidR="00403304" w:rsidRPr="00E50224">
        <w:rPr>
          <w:rFonts w:ascii="Cambria" w:hAnsi="Cambria"/>
          <w:sz w:val="20"/>
        </w:rPr>
        <w:t>dientuso</w:t>
      </w:r>
      <w:r w:rsidR="00FC53A4" w:rsidRPr="00E50224">
        <w:rPr>
          <w:rFonts w:ascii="Cambria" w:hAnsi="Cambria"/>
          <w:sz w:val="20"/>
        </w:rPr>
        <w:t xml:space="preserve"> del Atlántico norte hasta que se realice la comunicación requerida a ICCAT.</w:t>
      </w:r>
    </w:p>
    <w:p w14:paraId="27AAE891" w14:textId="77777777" w:rsidR="002738E9" w:rsidRPr="00E50224" w:rsidRDefault="002738E9" w:rsidP="002738E9">
      <w:pPr>
        <w:pStyle w:val="ListParagraph"/>
        <w:tabs>
          <w:tab w:val="left" w:pos="426"/>
        </w:tabs>
        <w:ind w:left="426"/>
        <w:jc w:val="both"/>
        <w:rPr>
          <w:rFonts w:ascii="Cambria" w:hAnsi="Cambria"/>
          <w:sz w:val="20"/>
          <w:szCs w:val="20"/>
        </w:rPr>
      </w:pPr>
    </w:p>
    <w:p w14:paraId="3D48137C" w14:textId="59960940" w:rsidR="008E134F" w:rsidRPr="00E50224" w:rsidRDefault="005B71A9" w:rsidP="005B71A9">
      <w:pPr>
        <w:ind w:left="567" w:hanging="567"/>
        <w:jc w:val="both"/>
        <w:rPr>
          <w:rFonts w:ascii="Cambria" w:hAnsi="Cambria"/>
          <w:sz w:val="20"/>
        </w:rPr>
      </w:pPr>
      <w:r w:rsidRPr="00E50224">
        <w:rPr>
          <w:rFonts w:ascii="Cambria" w:hAnsi="Cambria"/>
          <w:sz w:val="20"/>
        </w:rPr>
        <w:t>11</w:t>
      </w:r>
      <w:r w:rsidR="00E770BE" w:rsidRPr="00E50224">
        <w:rPr>
          <w:rFonts w:ascii="Cambria" w:hAnsi="Cambria"/>
          <w:sz w:val="20"/>
        </w:rPr>
        <w:t>.</w:t>
      </w:r>
      <w:r w:rsidR="00E770BE" w:rsidRPr="00E50224">
        <w:rPr>
          <w:rFonts w:ascii="Cambria" w:hAnsi="Cambria"/>
          <w:sz w:val="20"/>
        </w:rPr>
        <w:tab/>
      </w:r>
      <w:r w:rsidR="000B375B" w:rsidRPr="00E50224">
        <w:rPr>
          <w:rFonts w:ascii="Cambria" w:hAnsi="Cambria"/>
          <w:sz w:val="20"/>
        </w:rPr>
        <w:t xml:space="preserve">Las CPC comunicarán a la Secretaría de ICCAT, de conformidad con los requisitos de comunicación de datos de ICCAT, </w:t>
      </w:r>
      <w:r w:rsidR="008E134F" w:rsidRPr="00E50224">
        <w:rPr>
          <w:rFonts w:ascii="Cambria" w:hAnsi="Cambria"/>
          <w:sz w:val="20"/>
          <w:szCs w:val="20"/>
        </w:rPr>
        <w:t>l</w:t>
      </w:r>
      <w:r w:rsidR="000B375B" w:rsidRPr="00E50224">
        <w:rPr>
          <w:rFonts w:ascii="Cambria" w:hAnsi="Cambria"/>
          <w:sz w:val="20"/>
        </w:rPr>
        <w:t>as capturas totale</w:t>
      </w:r>
      <w:r w:rsidR="000B375B" w:rsidRPr="00E50224">
        <w:rPr>
          <w:rFonts w:ascii="Cambria" w:hAnsi="Cambria"/>
          <w:sz w:val="20"/>
          <w:szCs w:val="20"/>
        </w:rPr>
        <w:t>s</w:t>
      </w:r>
      <w:r w:rsidR="000B375B" w:rsidRPr="00E50224">
        <w:rPr>
          <w:rFonts w:ascii="Cambria" w:hAnsi="Cambria"/>
          <w:sz w:val="20"/>
        </w:rPr>
        <w:t>, incluidos</w:t>
      </w:r>
      <w:r w:rsidR="00480039" w:rsidRPr="00E50224">
        <w:rPr>
          <w:rFonts w:ascii="Cambria" w:hAnsi="Cambria"/>
          <w:sz w:val="20"/>
        </w:rPr>
        <w:t xml:space="preserve"> </w:t>
      </w:r>
      <w:r w:rsidR="008E134F" w:rsidRPr="00E50224">
        <w:rPr>
          <w:rFonts w:ascii="Cambria" w:hAnsi="Cambria"/>
          <w:sz w:val="20"/>
          <w:szCs w:val="20"/>
        </w:rPr>
        <w:t>cualquier desembarqu</w:t>
      </w:r>
      <w:r w:rsidR="008E134F" w:rsidRPr="00E50224">
        <w:rPr>
          <w:rFonts w:ascii="Cambria" w:eastAsia="Yu Mincho" w:hAnsi="Cambria" w:cs="Times New Roman"/>
          <w:kern w:val="2"/>
          <w:sz w:val="20"/>
          <w:szCs w:val="22"/>
          <w:lang w:eastAsia="ja-JP"/>
        </w:rPr>
        <w:t xml:space="preserve">e, </w:t>
      </w:r>
      <w:r w:rsidR="008E134F" w:rsidRPr="00E50224">
        <w:rPr>
          <w:rFonts w:ascii="Cambria" w:hAnsi="Cambria"/>
          <w:sz w:val="20"/>
        </w:rPr>
        <w:t xml:space="preserve">los descartes </w:t>
      </w:r>
      <w:r w:rsidR="007409D6" w:rsidRPr="00E50224">
        <w:rPr>
          <w:rFonts w:ascii="Cambria" w:hAnsi="Cambria"/>
          <w:sz w:val="20"/>
        </w:rPr>
        <w:t xml:space="preserve">de ejemplares </w:t>
      </w:r>
      <w:r w:rsidR="008E134F" w:rsidRPr="00E50224">
        <w:rPr>
          <w:rFonts w:ascii="Cambria" w:hAnsi="Cambria"/>
          <w:sz w:val="20"/>
        </w:rPr>
        <w:t xml:space="preserve">muertos y las liberaciones </w:t>
      </w:r>
      <w:r w:rsidR="007409D6" w:rsidRPr="00E50224">
        <w:rPr>
          <w:rFonts w:ascii="Cambria" w:hAnsi="Cambria"/>
          <w:sz w:val="20"/>
        </w:rPr>
        <w:t>de ejemplares vivos</w:t>
      </w:r>
      <w:r w:rsidR="008E134F" w:rsidRPr="00E50224">
        <w:rPr>
          <w:rFonts w:ascii="Cambria" w:hAnsi="Cambria"/>
          <w:sz w:val="20"/>
        </w:rPr>
        <w:t xml:space="preserve"> de marrajo dientuso del Atlántico norte.</w:t>
      </w:r>
      <w:r w:rsidR="00E505B4" w:rsidRPr="00E50224">
        <w:rPr>
          <w:rFonts w:ascii="Cambria" w:hAnsi="Cambria"/>
          <w:sz w:val="20"/>
        </w:rPr>
        <w:t xml:space="preserve"> La frecuencia de comunicación será</w:t>
      </w:r>
      <w:r w:rsidR="002C6B9E" w:rsidRPr="00E50224">
        <w:rPr>
          <w:rFonts w:ascii="Cambria" w:hAnsi="Cambria"/>
          <w:sz w:val="20"/>
        </w:rPr>
        <w:t xml:space="preserve"> </w:t>
      </w:r>
      <w:r w:rsidR="00E505B4" w:rsidRPr="00E50224">
        <w:rPr>
          <w:rFonts w:ascii="Cambria" w:eastAsia="Cambria" w:hAnsi="Cambria" w:cs="Cambria"/>
          <w:sz w:val="20"/>
          <w:szCs w:val="20"/>
          <w:bdr w:val="nil"/>
          <w:lang w:eastAsia="en-GB"/>
        </w:rPr>
        <w:t>m</w:t>
      </w:r>
      <w:r w:rsidR="00E505B4" w:rsidRPr="00E50224">
        <w:rPr>
          <w:rFonts w:ascii="Cambria" w:hAnsi="Cambria"/>
          <w:sz w:val="20"/>
        </w:rPr>
        <w:t>ensu</w:t>
      </w:r>
      <w:r w:rsidR="00E505B4" w:rsidRPr="00E50224">
        <w:rPr>
          <w:rFonts w:ascii="Cambria" w:eastAsia="Cambria" w:hAnsi="Cambria" w:cs="Cambria"/>
          <w:sz w:val="20"/>
          <w:szCs w:val="20"/>
          <w:bdr w:val="nil"/>
          <w:lang w:eastAsia="en-GB"/>
        </w:rPr>
        <w:t>al</w:t>
      </w:r>
      <w:r w:rsidR="002C6B9E" w:rsidRPr="00E50224">
        <w:rPr>
          <w:rFonts w:ascii="Cambria" w:eastAsia="Cambria" w:hAnsi="Cambria" w:cs="Cambria"/>
          <w:sz w:val="20"/>
          <w:szCs w:val="20"/>
          <w:bdr w:val="nil"/>
          <w:lang w:eastAsia="en-GB"/>
        </w:rPr>
        <w:t xml:space="preserve"> </w:t>
      </w:r>
      <w:r w:rsidR="00E505B4" w:rsidRPr="00E50224">
        <w:rPr>
          <w:rFonts w:ascii="Cambria" w:hAnsi="Cambria"/>
          <w:sz w:val="20"/>
        </w:rPr>
        <w:t xml:space="preserve">para todos los desembarques </w:t>
      </w:r>
      <w:r w:rsidR="00AF6564" w:rsidRPr="00E50224">
        <w:rPr>
          <w:rFonts w:ascii="Cambria" w:hAnsi="Cambria"/>
          <w:sz w:val="20"/>
        </w:rPr>
        <w:t>permitidos</w:t>
      </w:r>
      <w:r w:rsidR="00E505B4" w:rsidRPr="00E50224">
        <w:rPr>
          <w:rFonts w:ascii="Cambria" w:hAnsi="Cambria"/>
          <w:sz w:val="20"/>
        </w:rPr>
        <w:t xml:space="preserve"> con el fin de realizar un seguimiento estrecho del consumo de la tolerancia de retenció</w:t>
      </w:r>
      <w:r w:rsidR="006C29B8" w:rsidRPr="00E50224">
        <w:rPr>
          <w:rFonts w:ascii="Cambria" w:hAnsi="Cambria"/>
          <w:sz w:val="20"/>
        </w:rPr>
        <w:t>n</w:t>
      </w:r>
      <w:r w:rsidR="00D32CB8">
        <w:rPr>
          <w:rFonts w:ascii="Cambria" w:hAnsi="Cambria"/>
          <w:sz w:val="20"/>
        </w:rPr>
        <w:t xml:space="preserve"> y</w:t>
      </w:r>
      <w:r w:rsidR="00E505B4" w:rsidRPr="00E50224">
        <w:rPr>
          <w:rFonts w:ascii="Cambria" w:hAnsi="Cambria"/>
          <w:sz w:val="20"/>
        </w:rPr>
        <w:t xml:space="preserve"> </w:t>
      </w:r>
      <w:r w:rsidR="007409D6" w:rsidRPr="00E50224">
        <w:rPr>
          <w:rFonts w:ascii="Cambria" w:hAnsi="Cambria"/>
          <w:sz w:val="20"/>
        </w:rPr>
        <w:t>anual</w:t>
      </w:r>
      <w:r w:rsidR="00E505B4" w:rsidRPr="00E50224">
        <w:rPr>
          <w:rFonts w:ascii="Cambria" w:hAnsi="Cambria"/>
          <w:sz w:val="20"/>
        </w:rPr>
        <w:t xml:space="preserve"> para los descartes </w:t>
      </w:r>
      <w:r w:rsidR="007409D6" w:rsidRPr="00E50224">
        <w:rPr>
          <w:rFonts w:ascii="Cambria" w:hAnsi="Cambria"/>
          <w:sz w:val="20"/>
        </w:rPr>
        <w:t xml:space="preserve">de ejemplares </w:t>
      </w:r>
      <w:r w:rsidR="00E505B4" w:rsidRPr="00E50224">
        <w:rPr>
          <w:rFonts w:ascii="Cambria" w:hAnsi="Cambria"/>
          <w:sz w:val="20"/>
        </w:rPr>
        <w:t>muertos, las liberaciones de ejemplares vivos y las capturas totales.</w:t>
      </w:r>
      <w:r w:rsidR="00755EEC" w:rsidRPr="00E50224">
        <w:rPr>
          <w:rFonts w:ascii="Cambria" w:hAnsi="Cambria"/>
          <w:sz w:val="20"/>
        </w:rPr>
        <w:t xml:space="preserve"> </w:t>
      </w:r>
      <w:r w:rsidR="00755EEC" w:rsidRPr="00E50224">
        <w:rPr>
          <w:rFonts w:ascii="Cambria" w:eastAsia="Yu Mincho" w:hAnsi="Cambria" w:cs="Times New Roman"/>
          <w:kern w:val="2"/>
          <w:sz w:val="20"/>
          <w:szCs w:val="22"/>
          <w:lang w:eastAsia="ja-JP"/>
        </w:rPr>
        <w:t xml:space="preserve">La Secretaría notificará a todas las CPC el momento en que una CPC </w:t>
      </w:r>
      <w:r w:rsidR="007409D6" w:rsidRPr="00E50224">
        <w:rPr>
          <w:rFonts w:ascii="Cambria" w:eastAsia="Yu Mincho" w:hAnsi="Cambria" w:cs="Times New Roman"/>
          <w:kern w:val="2"/>
          <w:sz w:val="20"/>
          <w:szCs w:val="22"/>
          <w:lang w:eastAsia="ja-JP"/>
        </w:rPr>
        <w:t>alcanza</w:t>
      </w:r>
      <w:r w:rsidR="00755EEC" w:rsidRPr="00E50224">
        <w:rPr>
          <w:rFonts w:ascii="Cambria" w:eastAsia="Yu Mincho" w:hAnsi="Cambria" w:cs="Times New Roman"/>
          <w:kern w:val="2"/>
          <w:sz w:val="20"/>
          <w:szCs w:val="22"/>
          <w:lang w:eastAsia="ja-JP"/>
        </w:rPr>
        <w:t xml:space="preserve"> su límite de retención </w:t>
      </w:r>
      <w:r w:rsidR="007409D6" w:rsidRPr="00E50224">
        <w:rPr>
          <w:rFonts w:ascii="Cambria" w:eastAsia="Yu Mincho" w:hAnsi="Cambria" w:cs="Times New Roman"/>
          <w:kern w:val="2"/>
          <w:sz w:val="20"/>
          <w:szCs w:val="22"/>
          <w:lang w:eastAsia="ja-JP"/>
        </w:rPr>
        <w:t xml:space="preserve">basándose en </w:t>
      </w:r>
      <w:r w:rsidR="00755EEC" w:rsidRPr="00E50224">
        <w:rPr>
          <w:rFonts w:ascii="Cambria" w:eastAsia="Yu Mincho" w:hAnsi="Cambria" w:cs="Times New Roman"/>
          <w:kern w:val="2"/>
          <w:sz w:val="20"/>
          <w:szCs w:val="22"/>
          <w:lang w:eastAsia="ja-JP"/>
        </w:rPr>
        <w:t>los desembarques mensuales comunicados</w:t>
      </w:r>
    </w:p>
    <w:p w14:paraId="1FDF3EE6" w14:textId="77777777" w:rsidR="008E134F" w:rsidRPr="00E50224" w:rsidRDefault="008E134F" w:rsidP="00E770BE">
      <w:pPr>
        <w:tabs>
          <w:tab w:val="left" w:pos="426"/>
        </w:tabs>
        <w:ind w:left="426" w:hanging="284"/>
        <w:jc w:val="both"/>
        <w:rPr>
          <w:rFonts w:ascii="Cambria" w:hAnsi="Cambria"/>
          <w:sz w:val="20"/>
        </w:rPr>
      </w:pPr>
    </w:p>
    <w:p w14:paraId="02B07DC6" w14:textId="2F8EBF83" w:rsidR="008E134F" w:rsidRPr="00E50224" w:rsidRDefault="005B71A9" w:rsidP="005B71A9">
      <w:pPr>
        <w:ind w:left="567" w:hanging="567"/>
        <w:jc w:val="both"/>
        <w:rPr>
          <w:rFonts w:ascii="Cambria" w:eastAsia="Yu Mincho" w:hAnsi="Cambria" w:cs="Times New Roman"/>
          <w:kern w:val="2"/>
          <w:sz w:val="20"/>
          <w:szCs w:val="22"/>
          <w:lang w:eastAsia="ja-JP"/>
        </w:rPr>
      </w:pPr>
      <w:r w:rsidRPr="00E50224">
        <w:rPr>
          <w:rFonts w:ascii="Cambria" w:hAnsi="Cambria"/>
          <w:sz w:val="20"/>
        </w:rPr>
        <w:t>12.</w:t>
      </w:r>
      <w:r w:rsidR="005616E3" w:rsidRPr="00E50224">
        <w:rPr>
          <w:rFonts w:ascii="Cambria" w:hAnsi="Cambria"/>
          <w:sz w:val="20"/>
        </w:rPr>
        <w:t xml:space="preserve"> </w:t>
      </w:r>
      <w:r w:rsidRPr="00E50224">
        <w:rPr>
          <w:rFonts w:ascii="Cambria" w:hAnsi="Cambria"/>
          <w:sz w:val="20"/>
        </w:rPr>
        <w:tab/>
      </w:r>
      <w:r w:rsidR="005616E3" w:rsidRPr="00E50224">
        <w:rPr>
          <w:rFonts w:ascii="Cambria" w:hAnsi="Cambria"/>
          <w:sz w:val="20"/>
        </w:rPr>
        <w:t xml:space="preserve">Toda retención de una CPC que supere </w:t>
      </w:r>
      <w:r w:rsidR="00755EEC" w:rsidRPr="00E50224">
        <w:rPr>
          <w:rFonts w:ascii="Cambria" w:hAnsi="Cambria"/>
          <w:sz w:val="20"/>
        </w:rPr>
        <w:t>s</w:t>
      </w:r>
      <w:r w:rsidR="00755EEC" w:rsidRPr="00E50224">
        <w:rPr>
          <w:rFonts w:ascii="Cambria" w:eastAsia="Yu Mincho" w:hAnsi="Cambria" w:cs="Times New Roman"/>
          <w:kern w:val="2"/>
          <w:sz w:val="20"/>
          <w:szCs w:val="22"/>
          <w:lang w:eastAsia="ja-JP"/>
        </w:rPr>
        <w:t xml:space="preserve">u </w:t>
      </w:r>
      <w:r w:rsidR="005616E3" w:rsidRPr="00E50224">
        <w:rPr>
          <w:rFonts w:ascii="Cambria" w:eastAsia="Yu Mincho" w:hAnsi="Cambria" w:cs="Times New Roman"/>
          <w:kern w:val="2"/>
          <w:sz w:val="20"/>
          <w:szCs w:val="22"/>
          <w:lang w:eastAsia="ja-JP"/>
        </w:rPr>
        <w:t>t</w:t>
      </w:r>
      <w:r w:rsidR="005616E3" w:rsidRPr="00E50224">
        <w:rPr>
          <w:rFonts w:ascii="Cambria" w:hAnsi="Cambria"/>
          <w:sz w:val="20"/>
        </w:rPr>
        <w:t xml:space="preserve">olerancia de retención calculada </w:t>
      </w:r>
      <w:r w:rsidR="007409D6" w:rsidRPr="00E50224">
        <w:rPr>
          <w:rFonts w:ascii="Cambria" w:hAnsi="Cambria"/>
          <w:sz w:val="20"/>
        </w:rPr>
        <w:t>de conformidad con</w:t>
      </w:r>
      <w:r w:rsidR="005616E3" w:rsidRPr="00E50224">
        <w:rPr>
          <w:rFonts w:ascii="Cambria" w:hAnsi="Cambria"/>
          <w:sz w:val="20"/>
        </w:rPr>
        <w:t xml:space="preserve"> el párrafo</w:t>
      </w:r>
      <w:r w:rsidRPr="00E50224">
        <w:rPr>
          <w:rFonts w:ascii="Cambria" w:hAnsi="Cambria"/>
          <w:sz w:val="20"/>
        </w:rPr>
        <w:t xml:space="preserve"> 5</w:t>
      </w:r>
      <w:r w:rsidR="005616E3" w:rsidRPr="00E50224">
        <w:rPr>
          <w:rFonts w:ascii="Cambria" w:hAnsi="Cambria"/>
          <w:sz w:val="20"/>
        </w:rPr>
        <w:t xml:space="preserve"> </w:t>
      </w:r>
      <w:r w:rsidR="007409D6" w:rsidRPr="00E50224">
        <w:rPr>
          <w:rFonts w:ascii="Cambria" w:hAnsi="Cambria"/>
          <w:sz w:val="20"/>
        </w:rPr>
        <w:t>dará lugar a</w:t>
      </w:r>
      <w:r w:rsidR="005616E3" w:rsidRPr="00E50224">
        <w:rPr>
          <w:rFonts w:ascii="Cambria" w:hAnsi="Cambria"/>
          <w:sz w:val="20"/>
        </w:rPr>
        <w:t xml:space="preserve"> una reducción de la </w:t>
      </w:r>
      <w:r w:rsidR="00755EEC" w:rsidRPr="00E50224">
        <w:rPr>
          <w:rFonts w:ascii="Cambria" w:eastAsia="Yu Mincho" w:hAnsi="Cambria" w:cs="Times New Roman"/>
          <w:kern w:val="2"/>
          <w:sz w:val="20"/>
          <w:szCs w:val="22"/>
          <w:lang w:eastAsia="ja-JP"/>
        </w:rPr>
        <w:t>tolerancia</w:t>
      </w:r>
      <w:r w:rsidR="005616E3" w:rsidRPr="00E50224">
        <w:rPr>
          <w:rFonts w:ascii="Cambria" w:hAnsi="Cambria"/>
          <w:sz w:val="20"/>
        </w:rPr>
        <w:t xml:space="preserve"> de </w:t>
      </w:r>
      <w:r w:rsidR="005F581F" w:rsidRPr="00E50224">
        <w:rPr>
          <w:rFonts w:ascii="Cambria" w:hAnsi="Cambria"/>
          <w:sz w:val="20"/>
        </w:rPr>
        <w:t>esa</w:t>
      </w:r>
      <w:r w:rsidR="005616E3" w:rsidRPr="00E50224">
        <w:rPr>
          <w:rFonts w:ascii="Cambria" w:hAnsi="Cambria"/>
          <w:sz w:val="20"/>
        </w:rPr>
        <w:t xml:space="preserve"> CPC para el siguiente año en una cantidad igual al exceso. </w:t>
      </w:r>
      <w:r w:rsidR="00484B6F" w:rsidRPr="00E50224">
        <w:rPr>
          <w:rFonts w:ascii="Cambria" w:hAnsi="Cambria"/>
          <w:sz w:val="20"/>
        </w:rPr>
        <w:t>Dicha</w:t>
      </w:r>
      <w:r w:rsidR="005616E3" w:rsidRPr="00E50224">
        <w:rPr>
          <w:rFonts w:ascii="Cambria" w:hAnsi="Cambria"/>
          <w:sz w:val="20"/>
        </w:rPr>
        <w:t xml:space="preserve"> CPC tendrá prohibida la retención hasta que se devuelva por completo </w:t>
      </w:r>
      <w:r w:rsidR="00755EEC" w:rsidRPr="00E50224">
        <w:rPr>
          <w:rFonts w:ascii="Cambria" w:eastAsia="Yu Mincho" w:hAnsi="Cambria" w:cs="Times New Roman"/>
          <w:kern w:val="2"/>
          <w:sz w:val="20"/>
          <w:szCs w:val="22"/>
          <w:lang w:eastAsia="ja-JP"/>
        </w:rPr>
        <w:t>cualquier exceso de captura.</w:t>
      </w:r>
    </w:p>
    <w:p w14:paraId="7FCEA37F" w14:textId="77777777" w:rsidR="00755EEC" w:rsidRPr="00E50224" w:rsidRDefault="00755EEC" w:rsidP="00755EEC">
      <w:pPr>
        <w:tabs>
          <w:tab w:val="left" w:pos="426"/>
        </w:tabs>
        <w:ind w:left="426" w:hanging="284"/>
        <w:jc w:val="both"/>
        <w:rPr>
          <w:rFonts w:ascii="Cambria" w:hAnsi="Cambria"/>
          <w:sz w:val="20"/>
        </w:rPr>
      </w:pPr>
    </w:p>
    <w:p w14:paraId="39E3D0FA" w14:textId="5759C072" w:rsidR="00755EEC" w:rsidRPr="00E50224" w:rsidRDefault="005B71A9" w:rsidP="005B71A9">
      <w:pPr>
        <w:ind w:left="567" w:hanging="567"/>
        <w:jc w:val="both"/>
        <w:rPr>
          <w:rFonts w:cs="Times New Roman"/>
          <w:color w:val="000000"/>
          <w:sz w:val="20"/>
          <w:szCs w:val="20"/>
        </w:rPr>
      </w:pPr>
      <w:r w:rsidRPr="00E50224">
        <w:rPr>
          <w:color w:val="000000" w:themeColor="text1"/>
          <w:sz w:val="20"/>
        </w:rPr>
        <w:t>13.</w:t>
      </w:r>
      <w:r w:rsidR="00755EEC" w:rsidRPr="00E50224">
        <w:rPr>
          <w:color w:val="000000" w:themeColor="text1"/>
          <w:sz w:val="20"/>
        </w:rPr>
        <w:t xml:space="preserve"> </w:t>
      </w:r>
      <w:r w:rsidRPr="00E50224">
        <w:rPr>
          <w:color w:val="000000" w:themeColor="text1"/>
          <w:sz w:val="20"/>
        </w:rPr>
        <w:tab/>
      </w:r>
      <w:r w:rsidR="00755EEC" w:rsidRPr="00E50224">
        <w:rPr>
          <w:color w:val="000000" w:themeColor="text1"/>
          <w:sz w:val="20"/>
        </w:rPr>
        <w:t>A más tardar el 31 de julio de 2022</w:t>
      </w:r>
      <w:r w:rsidR="00546C67" w:rsidRPr="00E50224">
        <w:rPr>
          <w:color w:val="000000" w:themeColor="text1"/>
          <w:sz w:val="20"/>
        </w:rPr>
        <w:t>,</w:t>
      </w:r>
      <w:r w:rsidR="007409D6" w:rsidRPr="00E50224">
        <w:rPr>
          <w:color w:val="000000" w:themeColor="text1"/>
          <w:sz w:val="20"/>
        </w:rPr>
        <w:t xml:space="preserve"> </w:t>
      </w:r>
      <w:r w:rsidR="00755EEC" w:rsidRPr="00E50224">
        <w:rPr>
          <w:color w:val="000000" w:themeColor="text1"/>
          <w:sz w:val="20"/>
        </w:rPr>
        <w:t xml:space="preserve">las CPC que comunicaron capturas </w:t>
      </w:r>
      <w:r w:rsidR="00755EEC" w:rsidRPr="00E50224">
        <w:rPr>
          <w:rFonts w:ascii="Cambria" w:eastAsia="Yu Mincho" w:hAnsi="Cambria" w:cs="Times New Roman"/>
          <w:kern w:val="2"/>
          <w:sz w:val="20"/>
          <w:szCs w:val="22"/>
          <w:lang w:eastAsia="ja-JP"/>
        </w:rPr>
        <w:t>medias anuales</w:t>
      </w:r>
      <w:r w:rsidR="00755EEC" w:rsidRPr="00E50224">
        <w:rPr>
          <w:color w:val="000000" w:themeColor="text1"/>
          <w:sz w:val="20"/>
        </w:rPr>
        <w:t xml:space="preserve"> </w:t>
      </w:r>
      <w:r w:rsidR="00755EEC" w:rsidRPr="00E50224">
        <w:rPr>
          <w:rFonts w:ascii="Cambria" w:eastAsia="Yu Mincho" w:hAnsi="Cambria" w:cs="Times New Roman"/>
          <w:kern w:val="2"/>
          <w:sz w:val="20"/>
          <w:szCs w:val="22"/>
          <w:lang w:eastAsia="ja-JP"/>
        </w:rPr>
        <w:t>(desembarques y descartes de ejemplares muertos)</w:t>
      </w:r>
      <w:r w:rsidR="00755EEC" w:rsidRPr="00E50224">
        <w:rPr>
          <w:color w:val="000000" w:themeColor="text1"/>
          <w:sz w:val="20"/>
        </w:rPr>
        <w:t xml:space="preserve"> de marrajo dientuso del Atlántico norte de más de 1</w:t>
      </w:r>
      <w:r w:rsidR="00665A5C" w:rsidRPr="00E50224">
        <w:rPr>
          <w:color w:val="000000" w:themeColor="text1"/>
          <w:sz w:val="20"/>
        </w:rPr>
        <w:t xml:space="preserve"> t entre </w:t>
      </w:r>
      <w:r w:rsidR="00665A5C" w:rsidRPr="00E50224">
        <w:rPr>
          <w:rFonts w:ascii="Cambria" w:eastAsia="Yu Mincho" w:hAnsi="Cambria" w:cs="Times New Roman"/>
          <w:kern w:val="2"/>
          <w:sz w:val="20"/>
          <w:szCs w:val="22"/>
          <w:lang w:eastAsia="ja-JP"/>
        </w:rPr>
        <w:t>2</w:t>
      </w:r>
      <w:r w:rsidR="00665A5C" w:rsidRPr="00E50224">
        <w:rPr>
          <w:color w:val="000000" w:themeColor="text1"/>
          <w:sz w:val="20"/>
        </w:rPr>
        <w:t>018-202</w:t>
      </w:r>
      <w:r w:rsidR="00665A5C" w:rsidRPr="00E50224">
        <w:rPr>
          <w:rFonts w:ascii="Cambria" w:eastAsia="Yu Mincho" w:hAnsi="Cambria" w:cs="Times New Roman"/>
          <w:kern w:val="2"/>
          <w:sz w:val="20"/>
          <w:szCs w:val="22"/>
          <w:lang w:eastAsia="ja-JP"/>
        </w:rPr>
        <w:t>0</w:t>
      </w:r>
      <w:r w:rsidR="00755EEC" w:rsidRPr="00E50224">
        <w:rPr>
          <w:color w:val="000000" w:themeColor="text1"/>
          <w:sz w:val="20"/>
        </w:rPr>
        <w:t xml:space="preserve"> presentarán al SCRS la metodología estadística utilizada para estimar los descartes </w:t>
      </w:r>
      <w:r w:rsidR="007409D6" w:rsidRPr="00E50224">
        <w:rPr>
          <w:color w:val="000000" w:themeColor="text1"/>
          <w:sz w:val="20"/>
        </w:rPr>
        <w:t xml:space="preserve">de ejemplares </w:t>
      </w:r>
      <w:r w:rsidR="00755EEC" w:rsidRPr="00E50224">
        <w:rPr>
          <w:color w:val="000000" w:themeColor="text1"/>
          <w:sz w:val="20"/>
        </w:rPr>
        <w:t xml:space="preserve">muertos y las liberaciones de ejemplares vivos. Las CPC con pesquerías artesanales y de pequeña escala proporcionarán también información sobre sus programas de recopilación de datos. El SCRS revisará </w:t>
      </w:r>
      <w:r w:rsidR="00665A5C" w:rsidRPr="00E50224">
        <w:rPr>
          <w:rFonts w:ascii="Cambria" w:eastAsia="Yu Mincho" w:hAnsi="Cambria" w:cs="Times New Roman"/>
          <w:kern w:val="2"/>
          <w:sz w:val="20"/>
          <w:szCs w:val="22"/>
          <w:lang w:eastAsia="ja-JP"/>
        </w:rPr>
        <w:t>y aprobará</w:t>
      </w:r>
      <w:r w:rsidR="00665A5C" w:rsidRPr="00E50224">
        <w:rPr>
          <w:color w:val="000000" w:themeColor="text1"/>
          <w:sz w:val="20"/>
        </w:rPr>
        <w:t xml:space="preserve"> </w:t>
      </w:r>
      <w:r w:rsidR="00665A5C" w:rsidRPr="00E50224">
        <w:rPr>
          <w:rFonts w:ascii="Cambria" w:eastAsia="Yu Mincho" w:hAnsi="Cambria" w:cs="Times New Roman"/>
          <w:kern w:val="2"/>
          <w:sz w:val="20"/>
          <w:szCs w:val="22"/>
          <w:lang w:eastAsia="ja-JP"/>
        </w:rPr>
        <w:t>los métodos</w:t>
      </w:r>
      <w:r w:rsidR="00755EEC" w:rsidRPr="00E50224">
        <w:rPr>
          <w:color w:val="000000" w:themeColor="text1"/>
          <w:sz w:val="20"/>
        </w:rPr>
        <w:t xml:space="preserve"> y, si se determina que </w:t>
      </w:r>
      <w:r w:rsidR="00665A5C" w:rsidRPr="00E50224">
        <w:rPr>
          <w:rFonts w:ascii="Cambria" w:eastAsia="Yu Mincho" w:hAnsi="Cambria" w:cs="Times New Roman"/>
          <w:kern w:val="2"/>
          <w:sz w:val="20"/>
          <w:szCs w:val="22"/>
          <w:lang w:eastAsia="ja-JP"/>
        </w:rPr>
        <w:t>los métodos</w:t>
      </w:r>
      <w:r w:rsidR="00665A5C" w:rsidRPr="00E50224">
        <w:rPr>
          <w:color w:val="000000" w:themeColor="text1"/>
          <w:sz w:val="20"/>
        </w:rPr>
        <w:t xml:space="preserve"> </w:t>
      </w:r>
      <w:r w:rsidR="00755EEC" w:rsidRPr="00E50224">
        <w:rPr>
          <w:color w:val="000000" w:themeColor="text1"/>
          <w:sz w:val="20"/>
        </w:rPr>
        <w:t>no está</w:t>
      </w:r>
      <w:r w:rsidR="00665A5C" w:rsidRPr="00E50224">
        <w:rPr>
          <w:color w:val="000000" w:themeColor="text1"/>
          <w:sz w:val="20"/>
        </w:rPr>
        <w:t>n</w:t>
      </w:r>
      <w:r w:rsidR="00755EEC" w:rsidRPr="00E50224">
        <w:rPr>
          <w:color w:val="000000" w:themeColor="text1"/>
          <w:sz w:val="20"/>
        </w:rPr>
        <w:t xml:space="preserve"> bien fundamentad</w:t>
      </w:r>
      <w:r w:rsidR="00665A5C" w:rsidRPr="00E50224">
        <w:rPr>
          <w:rFonts w:ascii="Cambria" w:eastAsia="Yu Mincho" w:hAnsi="Cambria" w:cs="Times New Roman"/>
          <w:kern w:val="2"/>
          <w:sz w:val="20"/>
          <w:szCs w:val="22"/>
          <w:lang w:eastAsia="ja-JP"/>
        </w:rPr>
        <w:t>os</w:t>
      </w:r>
      <w:r w:rsidR="00755EEC" w:rsidRPr="00E50224">
        <w:rPr>
          <w:color w:val="000000" w:themeColor="text1"/>
          <w:sz w:val="20"/>
        </w:rPr>
        <w:t xml:space="preserve"> desde el punto de vista científico, el SCRS proporcionará los comentarios pertinentes a las CPC en cuestión para mejo</w:t>
      </w:r>
      <w:r w:rsidR="00755EEC" w:rsidRPr="00E50224">
        <w:rPr>
          <w:rFonts w:ascii="Cambria" w:eastAsia="Yu Mincho" w:hAnsi="Cambria" w:cs="Times New Roman"/>
          <w:kern w:val="2"/>
          <w:sz w:val="20"/>
          <w:szCs w:val="22"/>
          <w:lang w:eastAsia="ja-JP"/>
        </w:rPr>
        <w:t>rar</w:t>
      </w:r>
      <w:r w:rsidR="00665A5C" w:rsidRPr="00E50224">
        <w:rPr>
          <w:rFonts w:ascii="Cambria" w:eastAsia="Yu Mincho" w:hAnsi="Cambria" w:cs="Times New Roman"/>
          <w:kern w:val="2"/>
          <w:sz w:val="20"/>
          <w:szCs w:val="22"/>
          <w:lang w:eastAsia="ja-JP"/>
        </w:rPr>
        <w:t>los</w:t>
      </w:r>
      <w:r w:rsidR="00755EEC" w:rsidRPr="00E50224">
        <w:rPr>
          <w:color w:val="000000" w:themeColor="text1"/>
          <w:sz w:val="20"/>
        </w:rPr>
        <w:t>.</w:t>
      </w:r>
    </w:p>
    <w:p w14:paraId="55EC4B46" w14:textId="6510AEB2" w:rsidR="00595E83" w:rsidRPr="00E50224" w:rsidRDefault="00595E83" w:rsidP="0083334A">
      <w:pPr>
        <w:widowControl w:val="0"/>
        <w:tabs>
          <w:tab w:val="left" w:pos="284"/>
          <w:tab w:val="left" w:pos="3725"/>
        </w:tabs>
        <w:autoSpaceDE w:val="0"/>
        <w:autoSpaceDN w:val="0"/>
        <w:adjustRightInd w:val="0"/>
        <w:ind w:left="284" w:hanging="284"/>
        <w:jc w:val="both"/>
        <w:rPr>
          <w:rFonts w:cs="Times New Roman"/>
          <w:color w:val="000000"/>
          <w:sz w:val="20"/>
          <w:szCs w:val="20"/>
        </w:rPr>
      </w:pPr>
    </w:p>
    <w:p w14:paraId="52F15268" w14:textId="247F4551" w:rsidR="00595E83" w:rsidRPr="00E50224" w:rsidRDefault="005B71A9" w:rsidP="005B71A9">
      <w:pPr>
        <w:ind w:left="567" w:hanging="567"/>
        <w:jc w:val="both"/>
        <w:rPr>
          <w:rFonts w:ascii="Cambria" w:hAnsi="Cambria"/>
          <w:sz w:val="20"/>
        </w:rPr>
      </w:pPr>
      <w:r w:rsidRPr="00E50224">
        <w:rPr>
          <w:rFonts w:ascii="Cambria" w:hAnsi="Cambria"/>
          <w:sz w:val="20"/>
        </w:rPr>
        <w:t>14.</w:t>
      </w:r>
      <w:r w:rsidRPr="00E50224">
        <w:rPr>
          <w:rFonts w:ascii="Cambria" w:hAnsi="Cambria"/>
          <w:sz w:val="20"/>
        </w:rPr>
        <w:tab/>
      </w:r>
      <w:r w:rsidR="00595E83" w:rsidRPr="00E50224">
        <w:rPr>
          <w:rFonts w:ascii="Cambria" w:hAnsi="Cambria"/>
          <w:sz w:val="20"/>
        </w:rPr>
        <w:t xml:space="preserve">Como parte de su presentación anual de datos de </w:t>
      </w:r>
      <w:r w:rsidR="00595E83" w:rsidRPr="00E50224">
        <w:rPr>
          <w:rFonts w:ascii="Cambria" w:eastAsia="Yu Mincho" w:hAnsi="Cambria" w:cs="Times New Roman"/>
          <w:kern w:val="2"/>
          <w:sz w:val="20"/>
          <w:szCs w:val="22"/>
          <w:lang w:eastAsia="ja-JP"/>
        </w:rPr>
        <w:t>Tarea</w:t>
      </w:r>
      <w:r w:rsidR="00891016" w:rsidRPr="00E50224">
        <w:rPr>
          <w:rFonts w:ascii="Cambria" w:eastAsia="Yu Mincho" w:hAnsi="Cambria" w:cs="Times New Roman"/>
          <w:kern w:val="2"/>
          <w:sz w:val="20"/>
          <w:szCs w:val="22"/>
          <w:lang w:eastAsia="ja-JP"/>
        </w:rPr>
        <w:t>s 1 y 2</w:t>
      </w:r>
      <w:r w:rsidR="00665A5C" w:rsidRPr="00E50224">
        <w:rPr>
          <w:rFonts w:ascii="Cambria" w:eastAsia="Yu Mincho" w:hAnsi="Cambria" w:cs="Times New Roman"/>
          <w:kern w:val="2"/>
          <w:sz w:val="20"/>
          <w:szCs w:val="22"/>
          <w:lang w:eastAsia="ja-JP"/>
        </w:rPr>
        <w:t xml:space="preserve">, </w:t>
      </w:r>
      <w:r w:rsidR="00595E83" w:rsidRPr="00E50224">
        <w:rPr>
          <w:rFonts w:ascii="Cambria" w:eastAsia="Yu Mincho" w:hAnsi="Cambria" w:cs="Times New Roman"/>
          <w:kern w:val="2"/>
          <w:sz w:val="20"/>
          <w:szCs w:val="22"/>
          <w:lang w:eastAsia="ja-JP"/>
        </w:rPr>
        <w:t>l</w:t>
      </w:r>
      <w:r w:rsidR="00595E83" w:rsidRPr="00E50224">
        <w:rPr>
          <w:rFonts w:ascii="Cambria" w:hAnsi="Cambria"/>
          <w:sz w:val="20"/>
        </w:rPr>
        <w:t xml:space="preserve">as CPC proporcionarán todos los datos pertinentes para el marrajo dientuso del Atlántico norte, incluidas las estimaciones de descartes </w:t>
      </w:r>
      <w:r w:rsidR="00665A5C" w:rsidRPr="00E50224">
        <w:rPr>
          <w:rFonts w:ascii="Cambria" w:hAnsi="Cambria"/>
          <w:sz w:val="20"/>
        </w:rPr>
        <w:t xml:space="preserve">de ejemplares </w:t>
      </w:r>
      <w:r w:rsidR="00595E83" w:rsidRPr="00E50224">
        <w:rPr>
          <w:rFonts w:ascii="Cambria" w:hAnsi="Cambria"/>
          <w:sz w:val="20"/>
        </w:rPr>
        <w:t xml:space="preserve">muertos y liberaciones </w:t>
      </w:r>
      <w:r w:rsidR="00665A5C" w:rsidRPr="00E50224">
        <w:rPr>
          <w:rFonts w:ascii="Cambria" w:hAnsi="Cambria"/>
          <w:sz w:val="20"/>
        </w:rPr>
        <w:t>de ejemplares vivos</w:t>
      </w:r>
      <w:r w:rsidR="00595E83" w:rsidRPr="00E50224">
        <w:rPr>
          <w:rFonts w:ascii="Cambria" w:hAnsi="Cambria"/>
          <w:sz w:val="20"/>
        </w:rPr>
        <w:t xml:space="preserve"> de marrajo dientuso del Atlántico norte</w:t>
      </w:r>
      <w:r w:rsidR="00546C67" w:rsidRPr="00E50224">
        <w:rPr>
          <w:rFonts w:ascii="Cambria" w:hAnsi="Cambria"/>
          <w:sz w:val="20"/>
        </w:rPr>
        <w:t xml:space="preserve">, </w:t>
      </w:r>
      <w:r w:rsidR="00665A5C" w:rsidRPr="00E50224">
        <w:rPr>
          <w:rFonts w:ascii="Cambria" w:eastAsia="Yu Mincho" w:hAnsi="Cambria" w:cs="Times New Roman"/>
          <w:kern w:val="2"/>
          <w:sz w:val="20"/>
          <w:szCs w:val="22"/>
          <w:lang w:eastAsia="ja-JP"/>
        </w:rPr>
        <w:t>u</w:t>
      </w:r>
      <w:r w:rsidR="00665A5C" w:rsidRPr="00E50224">
        <w:rPr>
          <w:rFonts w:ascii="Cambria" w:hAnsi="Cambria"/>
          <w:sz w:val="20"/>
        </w:rPr>
        <w:t xml:space="preserve">tilizando los métodos aprobados por el SCRS </w:t>
      </w:r>
      <w:r w:rsidR="00DD1EFB" w:rsidRPr="00E50224">
        <w:rPr>
          <w:rFonts w:ascii="Cambria" w:hAnsi="Cambria"/>
          <w:sz w:val="20"/>
        </w:rPr>
        <w:t>con arreglo a</w:t>
      </w:r>
      <w:r w:rsidR="00665A5C" w:rsidRPr="00E50224">
        <w:rPr>
          <w:rFonts w:ascii="Cambria" w:hAnsi="Cambria"/>
          <w:sz w:val="20"/>
        </w:rPr>
        <w:t xml:space="preserve">l párrafo </w:t>
      </w:r>
      <w:r w:rsidRPr="00E50224">
        <w:rPr>
          <w:rFonts w:ascii="Cambria" w:hAnsi="Cambria"/>
          <w:sz w:val="20"/>
        </w:rPr>
        <w:t>13</w:t>
      </w:r>
      <w:r w:rsidR="00665A5C" w:rsidRPr="00E50224">
        <w:rPr>
          <w:rFonts w:ascii="Cambria" w:hAnsi="Cambria"/>
          <w:sz w:val="20"/>
        </w:rPr>
        <w:t>.</w:t>
      </w:r>
      <w:r w:rsidR="00595E83" w:rsidRPr="00E50224">
        <w:rPr>
          <w:rFonts w:ascii="Cambria" w:hAnsi="Cambria"/>
          <w:sz w:val="20"/>
        </w:rPr>
        <w:t xml:space="preserve"> </w:t>
      </w:r>
      <w:r w:rsidR="00891016" w:rsidRPr="00E50224">
        <w:rPr>
          <w:rFonts w:ascii="Cambria" w:hAnsi="Cambria"/>
          <w:sz w:val="20"/>
        </w:rPr>
        <w:t>S</w:t>
      </w:r>
      <w:r w:rsidR="00595E83" w:rsidRPr="00E50224">
        <w:rPr>
          <w:rFonts w:ascii="Cambria" w:hAnsi="Cambria"/>
          <w:sz w:val="20"/>
        </w:rPr>
        <w:t xml:space="preserve">i el Comité de cumplimiento determina que las CPC que autorizan a sus buques a retener a bordo y desembarcar marrajo dientuso del Atlántico norte, de conformidad con el párrafo </w:t>
      </w:r>
      <w:r w:rsidRPr="00E50224">
        <w:rPr>
          <w:rFonts w:ascii="Cambria" w:hAnsi="Cambria"/>
          <w:sz w:val="20"/>
          <w:szCs w:val="20"/>
        </w:rPr>
        <w:t>5</w:t>
      </w:r>
      <w:r w:rsidR="00546C67" w:rsidRPr="00E50224">
        <w:rPr>
          <w:rFonts w:ascii="Cambria" w:hAnsi="Cambria"/>
          <w:sz w:val="20"/>
        </w:rPr>
        <w:t xml:space="preserve">, </w:t>
      </w:r>
      <w:r w:rsidR="00891016" w:rsidRPr="00E50224">
        <w:rPr>
          <w:rFonts w:ascii="Cambria" w:hAnsi="Cambria"/>
          <w:sz w:val="20"/>
        </w:rPr>
        <w:t xml:space="preserve">no </w:t>
      </w:r>
      <w:r w:rsidR="00595E83" w:rsidRPr="00E50224">
        <w:rPr>
          <w:rFonts w:ascii="Cambria" w:hAnsi="Cambria"/>
          <w:sz w:val="20"/>
        </w:rPr>
        <w:t xml:space="preserve">comunican sus datos de captura, incluidos los descartes </w:t>
      </w:r>
      <w:r w:rsidR="00891016" w:rsidRPr="00E50224">
        <w:rPr>
          <w:rFonts w:ascii="Cambria" w:hAnsi="Cambria"/>
          <w:sz w:val="20"/>
        </w:rPr>
        <w:t xml:space="preserve">de ejemplares </w:t>
      </w:r>
      <w:r w:rsidR="00595E83" w:rsidRPr="00E50224">
        <w:rPr>
          <w:rFonts w:ascii="Cambria" w:hAnsi="Cambria"/>
          <w:sz w:val="20"/>
        </w:rPr>
        <w:t xml:space="preserve">muertos y las liberaciones </w:t>
      </w:r>
      <w:r w:rsidR="00891016" w:rsidRPr="00E50224">
        <w:rPr>
          <w:rFonts w:ascii="Cambria" w:hAnsi="Cambria"/>
          <w:sz w:val="20"/>
        </w:rPr>
        <w:t>de ejemplares vivos</w:t>
      </w:r>
      <w:r w:rsidR="00595E83" w:rsidRPr="00E50224">
        <w:rPr>
          <w:rFonts w:ascii="Cambria" w:hAnsi="Cambria"/>
          <w:sz w:val="20"/>
        </w:rPr>
        <w:t>, las CPC afectadas requerirán a sus buques que se abstengan de retener cualquier cantidad de marrajo dientuso del Atlántico norte hasta que se hayan comunicado dichos datos.</w:t>
      </w:r>
    </w:p>
    <w:p w14:paraId="3CB3372A" w14:textId="42580A85" w:rsidR="00DD1EFB" w:rsidRPr="00E50224" w:rsidRDefault="00DD1EFB" w:rsidP="00595E83">
      <w:pPr>
        <w:tabs>
          <w:tab w:val="left" w:pos="426"/>
        </w:tabs>
        <w:ind w:left="426" w:hanging="284"/>
        <w:jc w:val="both"/>
        <w:rPr>
          <w:rFonts w:ascii="Cambria" w:hAnsi="Cambria"/>
          <w:sz w:val="20"/>
        </w:rPr>
      </w:pPr>
    </w:p>
    <w:p w14:paraId="10AF04C9" w14:textId="0B9A80FD" w:rsidR="009776B6" w:rsidRPr="00E50224" w:rsidRDefault="005B71A9" w:rsidP="005B71A9">
      <w:pPr>
        <w:ind w:left="567" w:hanging="567"/>
        <w:jc w:val="both"/>
        <w:rPr>
          <w:color w:val="000000" w:themeColor="text1"/>
          <w:sz w:val="20"/>
        </w:rPr>
      </w:pPr>
      <w:r w:rsidRPr="00E50224">
        <w:rPr>
          <w:color w:val="000000" w:themeColor="text1"/>
          <w:sz w:val="20"/>
        </w:rPr>
        <w:t>15.</w:t>
      </w:r>
      <w:r w:rsidR="0083334A" w:rsidRPr="00E50224">
        <w:rPr>
          <w:color w:val="000000" w:themeColor="text1"/>
          <w:sz w:val="20"/>
        </w:rPr>
        <w:t xml:space="preserve"> </w:t>
      </w:r>
      <w:r w:rsidRPr="00E50224">
        <w:rPr>
          <w:color w:val="000000" w:themeColor="text1"/>
          <w:sz w:val="20"/>
        </w:rPr>
        <w:tab/>
      </w:r>
      <w:r w:rsidR="0083334A" w:rsidRPr="00E50224">
        <w:rPr>
          <w:color w:val="000000" w:themeColor="text1"/>
          <w:sz w:val="20"/>
        </w:rPr>
        <w:t xml:space="preserve">El SCRS evaluará que las presentaciones de datos de Tarea 1 y 2 estén completas, incluidas las estimaciones </w:t>
      </w:r>
      <w:r w:rsidR="004C742D" w:rsidRPr="00E50224">
        <w:rPr>
          <w:color w:val="000000" w:themeColor="text1"/>
          <w:sz w:val="20"/>
        </w:rPr>
        <w:t xml:space="preserve">totales </w:t>
      </w:r>
      <w:r w:rsidR="0083334A" w:rsidRPr="00E50224">
        <w:rPr>
          <w:color w:val="000000" w:themeColor="text1"/>
          <w:sz w:val="20"/>
        </w:rPr>
        <w:t>de los descartes</w:t>
      </w:r>
      <w:r w:rsidR="000D2687" w:rsidRPr="00E50224">
        <w:rPr>
          <w:color w:val="000000" w:themeColor="text1"/>
          <w:sz w:val="20"/>
        </w:rPr>
        <w:t xml:space="preserve"> de ejemplares</w:t>
      </w:r>
      <w:r w:rsidR="0083334A" w:rsidRPr="00E50224">
        <w:rPr>
          <w:color w:val="000000" w:themeColor="text1"/>
          <w:sz w:val="20"/>
        </w:rPr>
        <w:t xml:space="preserve"> muertos y de liberaciones de ejemplares vivos. Si, tras realizar esta evaluación, el SCRS determina que existen lagunas importantes en la comunicación de datos,</w:t>
      </w:r>
      <w:r w:rsidR="009776B6" w:rsidRPr="00E50224">
        <w:rPr>
          <w:rFonts w:cs="Times New Roman"/>
          <w:sz w:val="20"/>
          <w:szCs w:val="20"/>
        </w:rPr>
        <w:t xml:space="preserve"> </w:t>
      </w:r>
      <w:r w:rsidR="009776B6" w:rsidRPr="00E50224">
        <w:rPr>
          <w:rFonts w:ascii="Cambria" w:eastAsia="Yu Mincho" w:hAnsi="Cambria" w:cs="Times New Roman"/>
          <w:kern w:val="2"/>
          <w:sz w:val="20"/>
          <w:szCs w:val="22"/>
          <w:lang w:eastAsia="ja-JP"/>
        </w:rPr>
        <w:t>o</w:t>
      </w:r>
      <w:r w:rsidR="009776B6" w:rsidRPr="00E50224">
        <w:rPr>
          <w:rFonts w:cs="Times New Roman"/>
          <w:sz w:val="20"/>
          <w:szCs w:val="20"/>
        </w:rPr>
        <w:t xml:space="preserve">, tras la revisión </w:t>
      </w:r>
      <w:r w:rsidR="004C742D" w:rsidRPr="00E50224">
        <w:rPr>
          <w:rFonts w:cs="Times New Roman"/>
          <w:sz w:val="20"/>
          <w:szCs w:val="20"/>
        </w:rPr>
        <w:t>prevista en el</w:t>
      </w:r>
      <w:r w:rsidR="009776B6" w:rsidRPr="00E50224">
        <w:rPr>
          <w:rFonts w:cs="Times New Roman"/>
          <w:sz w:val="20"/>
          <w:szCs w:val="20"/>
        </w:rPr>
        <w:t xml:space="preserve"> párrafo </w:t>
      </w:r>
      <w:r w:rsidRPr="00E50224">
        <w:rPr>
          <w:rFonts w:cs="Times New Roman"/>
          <w:sz w:val="20"/>
          <w:szCs w:val="20"/>
        </w:rPr>
        <w:t>13</w:t>
      </w:r>
      <w:r w:rsidR="009776B6" w:rsidRPr="00E50224">
        <w:rPr>
          <w:rFonts w:cs="Times New Roman"/>
          <w:sz w:val="20"/>
          <w:szCs w:val="20"/>
        </w:rPr>
        <w:t xml:space="preserve">, </w:t>
      </w:r>
      <w:r w:rsidR="00891016" w:rsidRPr="00E50224">
        <w:rPr>
          <w:rFonts w:cs="Times New Roman"/>
          <w:sz w:val="20"/>
          <w:szCs w:val="20"/>
        </w:rPr>
        <w:t>que el método utilizado</w:t>
      </w:r>
      <w:r w:rsidR="009776B6" w:rsidRPr="00E50224">
        <w:rPr>
          <w:rFonts w:cs="Times New Roman"/>
          <w:sz w:val="20"/>
          <w:szCs w:val="20"/>
        </w:rPr>
        <w:t xml:space="preserve"> por una o más CPC para estimar los descartes de ejemplares muertos y las liberaciones de ejemplares </w:t>
      </w:r>
      <w:r w:rsidR="00ED574B" w:rsidRPr="00E50224">
        <w:rPr>
          <w:rFonts w:cs="Times New Roman"/>
          <w:sz w:val="20"/>
          <w:szCs w:val="20"/>
        </w:rPr>
        <w:t xml:space="preserve">vivos </w:t>
      </w:r>
      <w:r w:rsidR="009776B6" w:rsidRPr="00E50224">
        <w:rPr>
          <w:rFonts w:cs="Times New Roman"/>
          <w:sz w:val="20"/>
          <w:szCs w:val="20"/>
        </w:rPr>
        <w:t xml:space="preserve">no </w:t>
      </w:r>
      <w:r w:rsidR="004C742D" w:rsidRPr="00E50224">
        <w:rPr>
          <w:rFonts w:cs="Times New Roman"/>
          <w:sz w:val="20"/>
          <w:szCs w:val="20"/>
        </w:rPr>
        <w:t>está científicamente bien fundamenta</w:t>
      </w:r>
      <w:r w:rsidR="004C742D" w:rsidRPr="00E50224">
        <w:rPr>
          <w:rFonts w:ascii="Cambria" w:eastAsia="Yu Mincho" w:hAnsi="Cambria" w:cs="Times New Roman"/>
          <w:kern w:val="2"/>
          <w:sz w:val="20"/>
          <w:szCs w:val="22"/>
          <w:lang w:eastAsia="ja-JP"/>
        </w:rPr>
        <w:t>d</w:t>
      </w:r>
      <w:r w:rsidR="00891016" w:rsidRPr="00E50224">
        <w:rPr>
          <w:rFonts w:ascii="Cambria" w:eastAsia="Yu Mincho" w:hAnsi="Cambria" w:cs="Times New Roman"/>
          <w:kern w:val="2"/>
          <w:sz w:val="20"/>
          <w:szCs w:val="22"/>
          <w:lang w:eastAsia="ja-JP"/>
        </w:rPr>
        <w:t>o</w:t>
      </w:r>
      <w:r w:rsidR="00891016" w:rsidRPr="00E50224">
        <w:rPr>
          <w:color w:val="000000" w:themeColor="text1"/>
          <w:sz w:val="20"/>
        </w:rPr>
        <w:t xml:space="preserve">, </w:t>
      </w:r>
      <w:r w:rsidR="0083334A" w:rsidRPr="00E50224">
        <w:rPr>
          <w:color w:val="000000" w:themeColor="text1"/>
          <w:sz w:val="20"/>
        </w:rPr>
        <w:t>el SCRS</w:t>
      </w:r>
      <w:r w:rsidR="00ED574B" w:rsidRPr="00E50224">
        <w:rPr>
          <w:rFonts w:cs="Times New Roman"/>
          <w:sz w:val="20"/>
          <w:szCs w:val="20"/>
        </w:rPr>
        <w:t xml:space="preserve"> </w:t>
      </w:r>
      <w:r w:rsidR="00891016" w:rsidRPr="00E50224">
        <w:rPr>
          <w:rFonts w:ascii="Cambria" w:eastAsia="Yu Mincho" w:hAnsi="Cambria" w:cs="Times New Roman"/>
          <w:kern w:val="2"/>
          <w:sz w:val="20"/>
          <w:szCs w:val="22"/>
          <w:lang w:eastAsia="ja-JP"/>
        </w:rPr>
        <w:t>inf</w:t>
      </w:r>
      <w:r w:rsidR="001E4A8A" w:rsidRPr="00E50224">
        <w:rPr>
          <w:rFonts w:ascii="Cambria" w:eastAsia="Yu Mincho" w:hAnsi="Cambria" w:cs="Times New Roman"/>
          <w:kern w:val="2"/>
          <w:sz w:val="20"/>
          <w:szCs w:val="22"/>
          <w:lang w:eastAsia="ja-JP"/>
        </w:rPr>
        <w:t>ormará</w:t>
      </w:r>
      <w:r w:rsidR="000D2687" w:rsidRPr="00E50224">
        <w:rPr>
          <w:color w:val="000000" w:themeColor="text1"/>
          <w:sz w:val="20"/>
        </w:rPr>
        <w:t xml:space="preserve"> a la Comisión </w:t>
      </w:r>
      <w:r w:rsidR="001E4A8A" w:rsidRPr="00E50224">
        <w:rPr>
          <w:color w:val="000000" w:themeColor="text1"/>
          <w:sz w:val="20"/>
        </w:rPr>
        <w:t xml:space="preserve">de que </w:t>
      </w:r>
      <w:r w:rsidR="003D566B" w:rsidRPr="00E50224">
        <w:rPr>
          <w:color w:val="000000" w:themeColor="text1"/>
          <w:sz w:val="20"/>
        </w:rPr>
        <w:t xml:space="preserve">los </w:t>
      </w:r>
      <w:r w:rsidR="001E4A8A" w:rsidRPr="00E50224">
        <w:rPr>
          <w:color w:val="000000" w:themeColor="text1"/>
          <w:sz w:val="20"/>
        </w:rPr>
        <w:t>datos</w:t>
      </w:r>
      <w:r w:rsidR="003D566B" w:rsidRPr="00E50224">
        <w:rPr>
          <w:color w:val="000000" w:themeColor="text1"/>
          <w:sz w:val="20"/>
        </w:rPr>
        <w:t xml:space="preserve"> de dichas</w:t>
      </w:r>
      <w:r w:rsidR="001E4A8A" w:rsidRPr="00E50224">
        <w:rPr>
          <w:color w:val="000000" w:themeColor="text1"/>
          <w:sz w:val="20"/>
        </w:rPr>
        <w:t xml:space="preserve"> no son apropiados para su inclusión</w:t>
      </w:r>
      <w:r w:rsidR="000D2687" w:rsidRPr="00E50224">
        <w:rPr>
          <w:color w:val="000000" w:themeColor="text1"/>
          <w:sz w:val="20"/>
        </w:rPr>
        <w:t xml:space="preserve"> en el cálculo de la tolerancia de retención.</w:t>
      </w:r>
      <w:r w:rsidR="001E4A8A" w:rsidRPr="00E50224">
        <w:rPr>
          <w:color w:val="000000" w:themeColor="text1"/>
          <w:sz w:val="20"/>
        </w:rPr>
        <w:t xml:space="preserve"> En este caso, el SCRS estimará los descartes de ejemplares muertos y las liberaciones de ejemplares vivos para dichas CPC con el fin de utilizar</w:t>
      </w:r>
      <w:r w:rsidR="00ED574B" w:rsidRPr="00E50224">
        <w:rPr>
          <w:color w:val="000000" w:themeColor="text1"/>
          <w:sz w:val="20"/>
        </w:rPr>
        <w:t xml:space="preserve"> esta estimación </w:t>
      </w:r>
      <w:r w:rsidR="001E4A8A" w:rsidRPr="00E50224">
        <w:rPr>
          <w:color w:val="000000" w:themeColor="text1"/>
          <w:sz w:val="20"/>
        </w:rPr>
        <w:t>en el cálculo de la tolerancia de retención.</w:t>
      </w:r>
    </w:p>
    <w:p w14:paraId="0D540E53" w14:textId="77777777" w:rsidR="00DD1EFB" w:rsidRPr="00E50224" w:rsidRDefault="00DD1EFB" w:rsidP="009776B6">
      <w:pPr>
        <w:widowControl w:val="0"/>
        <w:tabs>
          <w:tab w:val="left" w:pos="284"/>
          <w:tab w:val="left" w:pos="3725"/>
        </w:tabs>
        <w:autoSpaceDE w:val="0"/>
        <w:autoSpaceDN w:val="0"/>
        <w:adjustRightInd w:val="0"/>
        <w:ind w:left="284" w:hanging="284"/>
        <w:jc w:val="both"/>
        <w:rPr>
          <w:rFonts w:cs="Times New Roman"/>
          <w:color w:val="000000"/>
          <w:sz w:val="20"/>
          <w:szCs w:val="20"/>
        </w:rPr>
      </w:pPr>
    </w:p>
    <w:p w14:paraId="41E46876" w14:textId="56FC1A04" w:rsidR="006A00C1" w:rsidRPr="00E50224" w:rsidRDefault="002738E9" w:rsidP="00E54B1B">
      <w:pPr>
        <w:widowControl w:val="0"/>
        <w:autoSpaceDE w:val="0"/>
        <w:autoSpaceDN w:val="0"/>
        <w:adjustRightInd w:val="0"/>
        <w:ind w:left="284" w:hanging="284"/>
        <w:jc w:val="both"/>
        <w:rPr>
          <w:rFonts w:eastAsia="MS Mincho" w:cs="Times New Roman"/>
          <w:b/>
          <w:sz w:val="20"/>
          <w:szCs w:val="20"/>
        </w:rPr>
      </w:pPr>
      <w:r w:rsidRPr="00E50224">
        <w:rPr>
          <w:b/>
          <w:sz w:val="20"/>
        </w:rPr>
        <w:t>Muestreo biológico y cobertura de observadores</w:t>
      </w:r>
    </w:p>
    <w:p w14:paraId="2512C7BE" w14:textId="77777777" w:rsidR="00ED574B" w:rsidRPr="00E50224" w:rsidRDefault="00ED574B" w:rsidP="00E54B1B">
      <w:pPr>
        <w:widowControl w:val="0"/>
        <w:autoSpaceDE w:val="0"/>
        <w:autoSpaceDN w:val="0"/>
        <w:adjustRightInd w:val="0"/>
        <w:ind w:left="284" w:hanging="284"/>
        <w:jc w:val="both"/>
        <w:rPr>
          <w:rFonts w:eastAsia="MS Mincho" w:cs="Times New Roman"/>
          <w:sz w:val="20"/>
          <w:szCs w:val="20"/>
          <w:lang w:eastAsia="ja-JP"/>
        </w:rPr>
      </w:pPr>
    </w:p>
    <w:p w14:paraId="6FC4217F" w14:textId="7276F7A5" w:rsidR="006A00C1" w:rsidRPr="00E50224" w:rsidRDefault="005B71A9" w:rsidP="005B71A9">
      <w:pPr>
        <w:ind w:left="567" w:hanging="567"/>
        <w:jc w:val="both"/>
        <w:rPr>
          <w:rFonts w:ascii="Cambria" w:hAnsi="Cambria"/>
          <w:sz w:val="20"/>
          <w:szCs w:val="20"/>
        </w:rPr>
      </w:pPr>
      <w:r w:rsidRPr="005500DF">
        <w:rPr>
          <w:rFonts w:ascii="Cambria" w:hAnsi="Cambria"/>
          <w:sz w:val="20"/>
        </w:rPr>
        <w:t>16</w:t>
      </w:r>
      <w:r w:rsidR="00E770BE" w:rsidRPr="005500DF">
        <w:rPr>
          <w:rFonts w:ascii="Cambria" w:hAnsi="Cambria"/>
          <w:sz w:val="20"/>
        </w:rPr>
        <w:t>.</w:t>
      </w:r>
      <w:r w:rsidR="00E770BE" w:rsidRPr="005500DF">
        <w:rPr>
          <w:rFonts w:ascii="Cambria" w:hAnsi="Cambria"/>
          <w:sz w:val="20"/>
        </w:rPr>
        <w:tab/>
      </w:r>
      <w:r w:rsidR="008E01FA" w:rsidRPr="005500DF">
        <w:rPr>
          <w:rFonts w:ascii="Cambria" w:hAnsi="Cambria"/>
          <w:sz w:val="20"/>
        </w:rPr>
        <w:t>L</w:t>
      </w:r>
      <w:r w:rsidR="000B375B" w:rsidRPr="005500DF">
        <w:rPr>
          <w:rFonts w:ascii="Cambria" w:hAnsi="Cambria"/>
          <w:sz w:val="20"/>
        </w:rPr>
        <w:t>as CP</w:t>
      </w:r>
      <w:r w:rsidR="000B375B" w:rsidRPr="005500DF">
        <w:rPr>
          <w:rFonts w:ascii="Cambria" w:hAnsi="Cambria"/>
          <w:sz w:val="20"/>
          <w:szCs w:val="20"/>
        </w:rPr>
        <w:t>C</w:t>
      </w:r>
      <w:r w:rsidR="000B375B" w:rsidRPr="005500DF">
        <w:rPr>
          <w:rFonts w:ascii="Cambria" w:hAnsi="Cambria"/>
          <w:sz w:val="20"/>
        </w:rPr>
        <w:t xml:space="preserve"> </w:t>
      </w:r>
      <w:r w:rsidR="001E4A8A" w:rsidRPr="005500DF">
        <w:rPr>
          <w:rFonts w:ascii="Cambria" w:hAnsi="Cambria"/>
          <w:sz w:val="20"/>
        </w:rPr>
        <w:t xml:space="preserve">se </w:t>
      </w:r>
      <w:r w:rsidR="00B62A7A" w:rsidRPr="005500DF">
        <w:rPr>
          <w:rFonts w:ascii="Cambria" w:hAnsi="Cambria"/>
          <w:sz w:val="20"/>
        </w:rPr>
        <w:t>esforzarán por</w:t>
      </w:r>
      <w:r w:rsidR="001E4A8A" w:rsidRPr="005500DF">
        <w:rPr>
          <w:rFonts w:ascii="Cambria" w:hAnsi="Cambria"/>
          <w:sz w:val="20"/>
        </w:rPr>
        <w:t xml:space="preserve"> incrementar</w:t>
      </w:r>
      <w:r w:rsidR="000B375B" w:rsidRPr="005500DF">
        <w:rPr>
          <w:rFonts w:ascii="Cambria" w:hAnsi="Cambria"/>
          <w:sz w:val="20"/>
        </w:rPr>
        <w:t xml:space="preserve"> gradualmente </w:t>
      </w:r>
      <w:r w:rsidR="003D566B" w:rsidRPr="005500DF">
        <w:rPr>
          <w:rFonts w:ascii="Cambria" w:hAnsi="Cambria"/>
          <w:sz w:val="20"/>
        </w:rPr>
        <w:t xml:space="preserve">hasta el 10 % </w:t>
      </w:r>
      <w:r w:rsidR="000B375B" w:rsidRPr="005500DF">
        <w:rPr>
          <w:rFonts w:ascii="Cambria" w:hAnsi="Cambria"/>
          <w:sz w:val="20"/>
        </w:rPr>
        <w:t>la cobertura de observadores</w:t>
      </w:r>
      <w:r w:rsidR="00DC6287" w:rsidRPr="005500DF">
        <w:rPr>
          <w:rFonts w:ascii="Cambria" w:hAnsi="Cambria"/>
          <w:sz w:val="20"/>
        </w:rPr>
        <w:t xml:space="preserve">, incluido </w:t>
      </w:r>
      <w:r w:rsidR="003D566B" w:rsidRPr="005500DF">
        <w:rPr>
          <w:rFonts w:ascii="Cambria" w:hAnsi="Cambria"/>
          <w:sz w:val="20"/>
        </w:rPr>
        <w:t xml:space="preserve">mediante </w:t>
      </w:r>
      <w:r w:rsidR="00DC6287" w:rsidRPr="005500DF">
        <w:rPr>
          <w:rFonts w:ascii="Cambria" w:hAnsi="Cambria"/>
          <w:sz w:val="20"/>
        </w:rPr>
        <w:t>EMS,</w:t>
      </w:r>
      <w:r w:rsidR="000B375B" w:rsidRPr="005500DF">
        <w:rPr>
          <w:rFonts w:ascii="Cambria" w:hAnsi="Cambria"/>
          <w:sz w:val="20"/>
        </w:rPr>
        <w:t xml:space="preserve"> de todos los buques de pesca de palangre </w:t>
      </w:r>
      <w:r w:rsidR="008E134F" w:rsidRPr="005500DF">
        <w:rPr>
          <w:rFonts w:ascii="Cambria" w:hAnsi="Cambria"/>
          <w:sz w:val="20"/>
          <w:szCs w:val="20"/>
        </w:rPr>
        <w:t>en</w:t>
      </w:r>
      <w:r w:rsidR="008E134F" w:rsidRPr="005500DF">
        <w:rPr>
          <w:rFonts w:ascii="Cambria" w:hAnsi="Cambria"/>
          <w:sz w:val="20"/>
        </w:rPr>
        <w:t xml:space="preserve"> </w:t>
      </w:r>
      <w:r w:rsidR="008E134F" w:rsidRPr="005500DF">
        <w:rPr>
          <w:rFonts w:ascii="Cambria" w:hAnsi="Cambria"/>
          <w:sz w:val="20"/>
          <w:szCs w:val="20"/>
        </w:rPr>
        <w:t>las pesquerías de ICCAT</w:t>
      </w:r>
      <w:r w:rsidR="000D2687" w:rsidRPr="005500DF">
        <w:rPr>
          <w:rFonts w:ascii="Cambria" w:hAnsi="Cambria"/>
          <w:sz w:val="20"/>
          <w:szCs w:val="20"/>
        </w:rPr>
        <w:t>, que puedan interactuar potencialmente con el marrajo dientuso del Atlántico norte</w:t>
      </w:r>
      <w:r w:rsidR="003D566B" w:rsidRPr="005500DF">
        <w:rPr>
          <w:rFonts w:ascii="Cambria" w:hAnsi="Cambria"/>
          <w:sz w:val="20"/>
          <w:szCs w:val="20"/>
        </w:rPr>
        <w:t>.</w:t>
      </w:r>
      <w:r w:rsidR="000D2687" w:rsidRPr="005500DF">
        <w:rPr>
          <w:rFonts w:ascii="Cambria" w:hAnsi="Cambria"/>
          <w:sz w:val="20"/>
          <w:szCs w:val="20"/>
        </w:rPr>
        <w:t xml:space="preserve"> </w:t>
      </w:r>
      <w:r w:rsidR="000B375B" w:rsidRPr="005500DF">
        <w:rPr>
          <w:rFonts w:ascii="Cambria" w:hAnsi="Cambria"/>
          <w:sz w:val="20"/>
        </w:rPr>
        <w:t xml:space="preserve">Este aumento de la cobertura debería </w:t>
      </w:r>
      <w:r w:rsidR="00480039" w:rsidRPr="005500DF">
        <w:rPr>
          <w:rFonts w:ascii="Cambria" w:hAnsi="Cambria"/>
          <w:sz w:val="20"/>
        </w:rPr>
        <w:t>implementarse de conformidad con las disposiciones de la Recomendación 16-14</w:t>
      </w:r>
      <w:r w:rsidR="000771E5" w:rsidRPr="005500DF">
        <w:rPr>
          <w:rFonts w:ascii="Cambria" w:hAnsi="Cambria"/>
          <w:sz w:val="20"/>
        </w:rPr>
        <w:t xml:space="preserve">, </w:t>
      </w:r>
      <w:r w:rsidR="000B375B" w:rsidRPr="005500DF">
        <w:rPr>
          <w:rFonts w:ascii="Cambria" w:hAnsi="Cambria"/>
          <w:sz w:val="20"/>
        </w:rPr>
        <w:t>bien mediante</w:t>
      </w:r>
      <w:r w:rsidR="001E4A8A" w:rsidRPr="005500DF">
        <w:rPr>
          <w:rFonts w:ascii="Cambria" w:hAnsi="Cambria"/>
          <w:sz w:val="20"/>
        </w:rPr>
        <w:t xml:space="preserve"> </w:t>
      </w:r>
      <w:r w:rsidR="00ED574B" w:rsidRPr="005500DF">
        <w:rPr>
          <w:rFonts w:ascii="Cambria" w:hAnsi="Cambria"/>
          <w:sz w:val="20"/>
        </w:rPr>
        <w:t xml:space="preserve">la asignación </w:t>
      </w:r>
      <w:r w:rsidR="001E4A8A" w:rsidRPr="005500DF">
        <w:rPr>
          <w:rFonts w:ascii="Cambria" w:hAnsi="Cambria"/>
          <w:sz w:val="20"/>
        </w:rPr>
        <w:t>de</w:t>
      </w:r>
      <w:r w:rsidR="000B375B" w:rsidRPr="005500DF">
        <w:rPr>
          <w:rFonts w:ascii="Cambria" w:hAnsi="Cambria"/>
          <w:sz w:val="20"/>
        </w:rPr>
        <w:t xml:space="preserve"> observadores humanos a bordo de los buques,</w:t>
      </w:r>
      <w:r w:rsidR="00CB7E21" w:rsidRPr="005500DF">
        <w:rPr>
          <w:rFonts w:ascii="Cambria" w:hAnsi="Cambria"/>
          <w:sz w:val="20"/>
        </w:rPr>
        <w:t xml:space="preserve"> </w:t>
      </w:r>
      <w:r w:rsidR="000B375B" w:rsidRPr="005500DF">
        <w:rPr>
          <w:rFonts w:ascii="Cambria" w:hAnsi="Cambria"/>
          <w:sz w:val="20"/>
        </w:rPr>
        <w:t>bien mediante</w:t>
      </w:r>
      <w:r w:rsidR="003D566B" w:rsidRPr="005500DF">
        <w:rPr>
          <w:rFonts w:ascii="Cambria" w:hAnsi="Cambria"/>
          <w:sz w:val="20"/>
        </w:rPr>
        <w:t xml:space="preserve"> la </w:t>
      </w:r>
      <w:r w:rsidR="003D566B" w:rsidRPr="005500DF">
        <w:rPr>
          <w:rFonts w:ascii="Cambria" w:hAnsi="Cambria"/>
          <w:sz w:val="20"/>
        </w:rPr>
        <w:lastRenderedPageBreak/>
        <w:t>utilización del</w:t>
      </w:r>
      <w:r w:rsidR="000B375B" w:rsidRPr="005500DF">
        <w:rPr>
          <w:rFonts w:ascii="Cambria" w:hAnsi="Cambria"/>
          <w:sz w:val="20"/>
        </w:rPr>
        <w:t xml:space="preserve"> EMS, </w:t>
      </w:r>
      <w:r w:rsidR="00CB7E21" w:rsidRPr="005500DF">
        <w:rPr>
          <w:rFonts w:ascii="Cambria" w:hAnsi="Cambria"/>
          <w:sz w:val="20"/>
        </w:rPr>
        <w:t>teniendo en cuenta</w:t>
      </w:r>
      <w:r w:rsidR="000B375B" w:rsidRPr="005500DF">
        <w:rPr>
          <w:rFonts w:ascii="Cambria" w:hAnsi="Cambria"/>
          <w:sz w:val="20"/>
        </w:rPr>
        <w:t xml:space="preserve"> las normas mínimas </w:t>
      </w:r>
      <w:r w:rsidR="00CB7E21" w:rsidRPr="005500DF">
        <w:rPr>
          <w:rFonts w:ascii="Cambria" w:hAnsi="Cambria"/>
          <w:sz w:val="20"/>
        </w:rPr>
        <w:t>que va a acordar ICCAT</w:t>
      </w:r>
      <w:r w:rsidR="00480039" w:rsidRPr="005500DF">
        <w:rPr>
          <w:rFonts w:ascii="Cambria" w:hAnsi="Cambria"/>
          <w:sz w:val="20"/>
        </w:rPr>
        <w:t xml:space="preserve">, sobre la base del asesoramiento del SCRS y </w:t>
      </w:r>
      <w:r w:rsidR="003D566B" w:rsidRPr="005500DF">
        <w:rPr>
          <w:rFonts w:ascii="Cambria" w:hAnsi="Cambria"/>
          <w:sz w:val="20"/>
        </w:rPr>
        <w:t>d</w:t>
      </w:r>
      <w:r w:rsidR="00480039" w:rsidRPr="005500DF">
        <w:rPr>
          <w:rFonts w:ascii="Cambria" w:hAnsi="Cambria"/>
          <w:sz w:val="20"/>
        </w:rPr>
        <w:t>el GTP</w:t>
      </w:r>
      <w:r w:rsidR="00C2351F" w:rsidRPr="005500DF">
        <w:rPr>
          <w:rFonts w:ascii="Cambria" w:hAnsi="Cambria"/>
          <w:sz w:val="20"/>
        </w:rPr>
        <w:t>.</w:t>
      </w:r>
    </w:p>
    <w:p w14:paraId="7B91EE02" w14:textId="3740D989" w:rsidR="00CB7E21" w:rsidRPr="00E50224" w:rsidRDefault="00CB7E21" w:rsidP="00CB7E21">
      <w:pPr>
        <w:tabs>
          <w:tab w:val="left" w:pos="426"/>
        </w:tabs>
        <w:jc w:val="both"/>
        <w:rPr>
          <w:rFonts w:ascii="Cambria" w:hAnsi="Cambria"/>
          <w:sz w:val="20"/>
          <w:szCs w:val="20"/>
        </w:rPr>
      </w:pPr>
    </w:p>
    <w:p w14:paraId="12E1B119" w14:textId="2854C131" w:rsidR="00A01D0C" w:rsidRPr="00E50224" w:rsidRDefault="005B71A9" w:rsidP="005B71A9">
      <w:pPr>
        <w:ind w:left="567" w:hanging="567"/>
        <w:jc w:val="both"/>
        <w:rPr>
          <w:rFonts w:ascii="Cambria" w:eastAsia="MS Mincho" w:hAnsi="Cambria" w:cs="Times New Roman"/>
          <w:sz w:val="20"/>
          <w:szCs w:val="20"/>
        </w:rPr>
      </w:pPr>
      <w:r w:rsidRPr="00E50224">
        <w:rPr>
          <w:rFonts w:ascii="Cambria" w:eastAsia="Times New Roman" w:hAnsi="Cambria" w:cs="Times New Roman"/>
          <w:sz w:val="20"/>
        </w:rPr>
        <w:t>17.</w:t>
      </w:r>
      <w:r w:rsidR="00283DE5" w:rsidRPr="00E50224">
        <w:rPr>
          <w:rFonts w:ascii="Cambria" w:eastAsia="Times New Roman" w:hAnsi="Cambria" w:cs="Times New Roman"/>
          <w:sz w:val="20"/>
        </w:rPr>
        <w:tab/>
      </w:r>
      <w:r w:rsidR="00CB7E21" w:rsidRPr="00E50224">
        <w:rPr>
          <w:rFonts w:ascii="Cambria" w:eastAsia="Times New Roman" w:hAnsi="Cambria" w:cs="Times New Roman"/>
          <w:sz w:val="20"/>
        </w:rPr>
        <w:t>La recogida de muestras biológicas durante las operaciones de pesca comercial cumplirá las disposiciones de la</w:t>
      </w:r>
      <w:r w:rsidR="00CB7E21" w:rsidRPr="00E50224">
        <w:rPr>
          <w:rFonts w:ascii="Cambria" w:eastAsia="Times New Roman" w:hAnsi="Cambria" w:cs="Times New Roman"/>
          <w:i/>
          <w:iCs/>
          <w:sz w:val="20"/>
        </w:rPr>
        <w:t xml:space="preserve"> Recomendación de ICCAT sobre el muestreo biológico de especies prohibidas de tiburones por parte de observadores científicos </w:t>
      </w:r>
      <w:r w:rsidR="00CB7E21" w:rsidRPr="00E50224">
        <w:rPr>
          <w:rFonts w:ascii="Cambria" w:eastAsia="Times New Roman" w:hAnsi="Cambria" w:cs="Times New Roman"/>
          <w:sz w:val="20"/>
        </w:rPr>
        <w:t xml:space="preserve">(Rec. 13-10). </w:t>
      </w:r>
      <w:r w:rsidR="00A01D0C" w:rsidRPr="00E50224">
        <w:rPr>
          <w:rFonts w:ascii="Cambria" w:eastAsia="Times New Roman" w:hAnsi="Cambria" w:cs="Times New Roman"/>
          <w:sz w:val="20"/>
        </w:rPr>
        <w:t xml:space="preserve">Las CPC deberían fomentar la recogida de </w:t>
      </w:r>
      <w:proofErr w:type="gramStart"/>
      <w:r w:rsidR="008E134F" w:rsidRPr="00E50224">
        <w:rPr>
          <w:rFonts w:ascii="Cambria" w:hAnsi="Cambria"/>
          <w:sz w:val="20"/>
          <w:szCs w:val="20"/>
        </w:rPr>
        <w:t xml:space="preserve">datos biológicos y </w:t>
      </w:r>
      <w:r w:rsidR="00A01D0C" w:rsidRPr="00E50224">
        <w:rPr>
          <w:rFonts w:ascii="Cambria" w:eastAsia="Times New Roman" w:hAnsi="Cambria" w:cs="Times New Roman"/>
          <w:sz w:val="20"/>
        </w:rPr>
        <w:t>muestras biológicas</w:t>
      </w:r>
      <w:proofErr w:type="gramEnd"/>
      <w:r w:rsidR="00A01D0C" w:rsidRPr="00E50224">
        <w:rPr>
          <w:rFonts w:ascii="Cambria" w:eastAsia="Times New Roman" w:hAnsi="Cambria" w:cs="Times New Roman"/>
          <w:sz w:val="20"/>
        </w:rPr>
        <w:t xml:space="preserve"> de </w:t>
      </w:r>
      <w:r w:rsidR="00DD1EFB" w:rsidRPr="00E50224">
        <w:rPr>
          <w:rFonts w:ascii="Cambria" w:eastAsia="Times New Roman" w:hAnsi="Cambria" w:cs="Times New Roman"/>
          <w:sz w:val="20"/>
        </w:rPr>
        <w:t xml:space="preserve">los ejemplares </w:t>
      </w:r>
      <w:r w:rsidR="00A01D0C" w:rsidRPr="00E50224">
        <w:rPr>
          <w:rFonts w:ascii="Cambria" w:eastAsia="Times New Roman" w:hAnsi="Cambria" w:cs="Times New Roman"/>
          <w:sz w:val="20"/>
        </w:rPr>
        <w:t>marrajo dientuso del Atlántico norte</w:t>
      </w:r>
      <w:r w:rsidR="0033326E" w:rsidRPr="00E50224">
        <w:rPr>
          <w:rFonts w:ascii="Cambria" w:eastAsia="Times New Roman" w:hAnsi="Cambria" w:cs="Times New Roman"/>
          <w:sz w:val="20"/>
        </w:rPr>
        <w:t xml:space="preserve"> que esté</w:t>
      </w:r>
      <w:r w:rsidR="00AC0139" w:rsidRPr="00E50224">
        <w:rPr>
          <w:rFonts w:ascii="Cambria" w:eastAsia="Times New Roman" w:hAnsi="Cambria" w:cs="Times New Roman"/>
          <w:sz w:val="20"/>
        </w:rPr>
        <w:t>n</w:t>
      </w:r>
      <w:r w:rsidR="0033326E" w:rsidRPr="00E50224">
        <w:rPr>
          <w:rFonts w:ascii="Cambria" w:eastAsia="Times New Roman" w:hAnsi="Cambria" w:cs="Times New Roman"/>
          <w:sz w:val="20"/>
        </w:rPr>
        <w:t xml:space="preserve"> muerto</w:t>
      </w:r>
      <w:r w:rsidR="00AC0139" w:rsidRPr="00E50224">
        <w:rPr>
          <w:rFonts w:ascii="Cambria" w:eastAsia="Times New Roman" w:hAnsi="Cambria" w:cs="Times New Roman"/>
          <w:sz w:val="20"/>
        </w:rPr>
        <w:t>s</w:t>
      </w:r>
      <w:r w:rsidR="0033326E" w:rsidRPr="00E50224">
        <w:rPr>
          <w:rFonts w:ascii="Cambria" w:eastAsia="Times New Roman" w:hAnsi="Cambria" w:cs="Times New Roman"/>
          <w:sz w:val="20"/>
        </w:rPr>
        <w:t xml:space="preserve"> en la virada</w:t>
      </w:r>
      <w:r w:rsidR="00A01D0C" w:rsidRPr="00E50224">
        <w:rPr>
          <w:rFonts w:ascii="Cambria" w:eastAsia="Times New Roman" w:hAnsi="Cambria" w:cs="Times New Roman"/>
          <w:sz w:val="20"/>
        </w:rPr>
        <w:t>, como músculo</w:t>
      </w:r>
      <w:r w:rsidR="009A484B" w:rsidRPr="00E50224">
        <w:rPr>
          <w:rFonts w:ascii="Cambria" w:eastAsia="Times New Roman" w:hAnsi="Cambria" w:cs="Times New Roman"/>
          <w:sz w:val="20"/>
        </w:rPr>
        <w:t>s</w:t>
      </w:r>
      <w:r w:rsidR="00A01D0C" w:rsidRPr="00E50224">
        <w:rPr>
          <w:rFonts w:ascii="Cambria" w:eastAsia="Times New Roman" w:hAnsi="Cambria" w:cs="Times New Roman"/>
          <w:sz w:val="20"/>
        </w:rPr>
        <w:t>, vértebras y tejidos reproductivos, de acuerdo con los términos de esta Recomendación y según las recomendaciones del SCRS.</w:t>
      </w:r>
    </w:p>
    <w:p w14:paraId="5F77D2DF" w14:textId="77777777" w:rsidR="00A01D0C" w:rsidRPr="00E50224" w:rsidRDefault="00A01D0C" w:rsidP="00CB7E21">
      <w:pPr>
        <w:widowControl w:val="0"/>
        <w:autoSpaceDE w:val="0"/>
        <w:autoSpaceDN w:val="0"/>
        <w:adjustRightInd w:val="0"/>
        <w:ind w:left="284" w:hanging="284"/>
        <w:jc w:val="both"/>
        <w:rPr>
          <w:rFonts w:ascii="Cambria" w:eastAsia="MS Mincho" w:hAnsi="Cambria" w:cs="Times New Roman"/>
          <w:sz w:val="20"/>
          <w:szCs w:val="20"/>
        </w:rPr>
      </w:pPr>
    </w:p>
    <w:p w14:paraId="12F55AA9" w14:textId="46E29A2A" w:rsidR="00B3019C" w:rsidRPr="00E50224" w:rsidRDefault="005B71A9" w:rsidP="005B71A9">
      <w:pPr>
        <w:ind w:left="567" w:hanging="567"/>
        <w:jc w:val="both"/>
        <w:rPr>
          <w:rFonts w:ascii="Cambria" w:hAnsi="Cambria"/>
          <w:sz w:val="20"/>
        </w:rPr>
      </w:pPr>
      <w:r w:rsidRPr="00E50224">
        <w:rPr>
          <w:rFonts w:ascii="Cambria" w:hAnsi="Cambria"/>
          <w:sz w:val="20"/>
        </w:rPr>
        <w:t>1</w:t>
      </w:r>
      <w:r w:rsidR="00B3019C" w:rsidRPr="00E50224">
        <w:rPr>
          <w:rFonts w:ascii="Cambria" w:hAnsi="Cambria"/>
          <w:sz w:val="20"/>
        </w:rPr>
        <w:t>8</w:t>
      </w:r>
      <w:r w:rsidRPr="00E50224">
        <w:rPr>
          <w:rFonts w:ascii="Cambria" w:hAnsi="Cambria"/>
          <w:sz w:val="20"/>
        </w:rPr>
        <w:t>.</w:t>
      </w:r>
      <w:r w:rsidRPr="00E50224">
        <w:rPr>
          <w:rFonts w:ascii="Cambria" w:hAnsi="Cambria"/>
          <w:sz w:val="20"/>
        </w:rPr>
        <w:tab/>
      </w:r>
      <w:r w:rsidR="00B3019C" w:rsidRPr="00E50224">
        <w:rPr>
          <w:rFonts w:ascii="Cambria" w:hAnsi="Cambria"/>
          <w:sz w:val="20"/>
        </w:rPr>
        <w:t xml:space="preserve">No obstante lo establecido en el párrafo </w:t>
      </w:r>
      <w:r w:rsidR="00832CCE" w:rsidRPr="00E50224">
        <w:rPr>
          <w:rFonts w:ascii="Cambria" w:hAnsi="Cambria"/>
          <w:sz w:val="20"/>
        </w:rPr>
        <w:t>7</w:t>
      </w:r>
      <w:r w:rsidR="00B3019C" w:rsidRPr="00E50224">
        <w:rPr>
          <w:rFonts w:ascii="Cambria" w:hAnsi="Cambria"/>
          <w:sz w:val="20"/>
        </w:rPr>
        <w:t>, en el contexto de esta Recomendación y solo para buques</w:t>
      </w:r>
      <w:r w:rsidR="00A36460" w:rsidRPr="00E50224">
        <w:rPr>
          <w:rFonts w:ascii="Cambria" w:hAnsi="Cambria"/>
          <w:sz w:val="20"/>
        </w:rPr>
        <w:t xml:space="preserve"> de menos de 15 m</w:t>
      </w:r>
      <w:r w:rsidR="00B3019C" w:rsidRPr="00E50224">
        <w:rPr>
          <w:rFonts w:ascii="Cambria" w:hAnsi="Cambria"/>
          <w:sz w:val="20"/>
        </w:rPr>
        <w:t>, cuando exista una inquietud extraordinaria en cuanto a seguridad que impida la asignación de un observador a bordo, una CPC podrá aplicar de manera excepcional un enfoque alternativo</w:t>
      </w:r>
      <w:r w:rsidR="00C75C08" w:rsidRPr="00E50224">
        <w:rPr>
          <w:rFonts w:ascii="Cambria" w:hAnsi="Cambria"/>
          <w:sz w:val="20"/>
        </w:rPr>
        <w:t>,</w:t>
      </w:r>
      <w:r w:rsidR="00B3019C" w:rsidRPr="00E50224">
        <w:rPr>
          <w:rFonts w:ascii="Cambria" w:hAnsi="Cambria"/>
          <w:sz w:val="20"/>
        </w:rPr>
        <w:t xml:space="preserve"> tal y como se establece en la Recomendación 16-14. Esta derogación del párrafo </w:t>
      </w:r>
      <w:r w:rsidR="00832CCE" w:rsidRPr="00E50224">
        <w:rPr>
          <w:rFonts w:ascii="Cambria" w:eastAsia="Yu Mincho" w:hAnsi="Cambria" w:cs="Times New Roman"/>
          <w:kern w:val="2"/>
          <w:sz w:val="20"/>
          <w:szCs w:val="22"/>
          <w:lang w:eastAsia="ja-JP"/>
        </w:rPr>
        <w:t>7</w:t>
      </w:r>
      <w:r w:rsidR="00B3019C" w:rsidRPr="00E50224">
        <w:rPr>
          <w:rFonts w:ascii="Cambria" w:hAnsi="Cambria"/>
          <w:sz w:val="20"/>
        </w:rPr>
        <w:t xml:space="preserve"> se aplicará sin perjuicio del compromiso general de todas las CPC</w:t>
      </w:r>
      <w:r w:rsidR="00C75C08" w:rsidRPr="00E50224">
        <w:rPr>
          <w:rFonts w:ascii="Cambria" w:hAnsi="Cambria"/>
          <w:sz w:val="20"/>
        </w:rPr>
        <w:t>,</w:t>
      </w:r>
      <w:r w:rsidR="00B3019C" w:rsidRPr="00E50224">
        <w:rPr>
          <w:rFonts w:ascii="Cambria" w:hAnsi="Cambria"/>
          <w:sz w:val="20"/>
        </w:rPr>
        <w:t xml:space="preserve"> como se indica en esta medida</w:t>
      </w:r>
      <w:r w:rsidR="00C75C08" w:rsidRPr="00E50224">
        <w:rPr>
          <w:rFonts w:ascii="Cambria" w:hAnsi="Cambria"/>
          <w:sz w:val="20"/>
        </w:rPr>
        <w:t>,</w:t>
      </w:r>
      <w:r w:rsidR="00B3019C" w:rsidRPr="00E50224">
        <w:rPr>
          <w:rFonts w:ascii="Cambria" w:hAnsi="Cambria"/>
          <w:sz w:val="20"/>
        </w:rPr>
        <w:t xml:space="preserve"> </w:t>
      </w:r>
      <w:r w:rsidR="0059708A" w:rsidRPr="00E50224">
        <w:rPr>
          <w:rFonts w:ascii="Cambria" w:hAnsi="Cambria"/>
          <w:sz w:val="20"/>
        </w:rPr>
        <w:t>de</w:t>
      </w:r>
      <w:r w:rsidR="00B3019C" w:rsidRPr="00E50224">
        <w:rPr>
          <w:rFonts w:ascii="Cambria" w:hAnsi="Cambria"/>
          <w:sz w:val="20"/>
        </w:rPr>
        <w:t xml:space="preserve"> </w:t>
      </w:r>
      <w:r w:rsidR="0059708A" w:rsidRPr="00E50224">
        <w:rPr>
          <w:rFonts w:ascii="Cambria" w:hAnsi="Cambria"/>
          <w:sz w:val="20"/>
        </w:rPr>
        <w:t>poner fin</w:t>
      </w:r>
      <w:r w:rsidR="00B3019C" w:rsidRPr="00E50224">
        <w:rPr>
          <w:rFonts w:ascii="Cambria" w:hAnsi="Cambria"/>
          <w:sz w:val="20"/>
        </w:rPr>
        <w:t xml:space="preserve"> de manera inmediata</w:t>
      </w:r>
      <w:r w:rsidR="0059708A" w:rsidRPr="00E50224">
        <w:rPr>
          <w:rFonts w:ascii="Cambria" w:hAnsi="Cambria"/>
          <w:sz w:val="20"/>
        </w:rPr>
        <w:t xml:space="preserve"> a</w:t>
      </w:r>
      <w:r w:rsidR="00B3019C" w:rsidRPr="00E50224">
        <w:rPr>
          <w:rFonts w:ascii="Cambria" w:hAnsi="Cambria"/>
          <w:sz w:val="20"/>
        </w:rPr>
        <w:t xml:space="preserve"> la sobrepesca y </w:t>
      </w:r>
      <w:r w:rsidR="0059708A" w:rsidRPr="00E50224">
        <w:rPr>
          <w:rFonts w:ascii="Cambria" w:hAnsi="Cambria"/>
          <w:sz w:val="20"/>
        </w:rPr>
        <w:t>de</w:t>
      </w:r>
      <w:r w:rsidR="00B3019C" w:rsidRPr="00E50224">
        <w:rPr>
          <w:rFonts w:ascii="Cambria" w:hAnsi="Cambria"/>
          <w:sz w:val="20"/>
        </w:rPr>
        <w:t xml:space="preserve"> reducir los niveles de mortalidad. Toda CPC que desee </w:t>
      </w:r>
      <w:r w:rsidR="0059708A" w:rsidRPr="00E50224">
        <w:rPr>
          <w:rFonts w:ascii="Cambria" w:hAnsi="Cambria"/>
          <w:sz w:val="20"/>
        </w:rPr>
        <w:t>utilizar</w:t>
      </w:r>
      <w:r w:rsidR="00B3019C" w:rsidRPr="00E50224">
        <w:rPr>
          <w:rFonts w:ascii="Cambria" w:hAnsi="Cambria"/>
          <w:sz w:val="20"/>
        </w:rPr>
        <w:t xml:space="preserve"> este enfoque alternativo deberá: 1) presentar los detalles del enfoque al SCRS basándose en el asesoramiento del SCRS para la evaluación y </w:t>
      </w:r>
      <w:r w:rsidR="00092FDC" w:rsidRPr="00E50224">
        <w:rPr>
          <w:rFonts w:ascii="Cambria" w:hAnsi="Cambria"/>
          <w:sz w:val="20"/>
        </w:rPr>
        <w:t xml:space="preserve">2) </w:t>
      </w:r>
      <w:r w:rsidR="00B3019C" w:rsidRPr="00E50224">
        <w:rPr>
          <w:rFonts w:ascii="Cambria" w:hAnsi="Cambria"/>
          <w:sz w:val="20"/>
        </w:rPr>
        <w:t>obtener la aprobación de la Comisión (conforme a lo establecido en la Recomendación 16-14).</w:t>
      </w:r>
    </w:p>
    <w:p w14:paraId="7D3600D5" w14:textId="1BCAE657" w:rsidR="004127B3" w:rsidRPr="00E50224" w:rsidRDefault="004127B3" w:rsidP="00B3019C">
      <w:pPr>
        <w:widowControl w:val="0"/>
        <w:autoSpaceDE w:val="0"/>
        <w:autoSpaceDN w:val="0"/>
        <w:adjustRightInd w:val="0"/>
        <w:ind w:left="426" w:hanging="426"/>
        <w:jc w:val="both"/>
        <w:rPr>
          <w:rFonts w:ascii="Cambria" w:hAnsi="Cambria"/>
          <w:sz w:val="20"/>
        </w:rPr>
      </w:pPr>
    </w:p>
    <w:p w14:paraId="61649BB8" w14:textId="7DBC8D98" w:rsidR="00243810" w:rsidRPr="00E50224" w:rsidRDefault="00243810" w:rsidP="00E54B1B">
      <w:pPr>
        <w:widowControl w:val="0"/>
        <w:autoSpaceDE w:val="0"/>
        <w:autoSpaceDN w:val="0"/>
        <w:adjustRightInd w:val="0"/>
        <w:ind w:left="284" w:hanging="284"/>
        <w:jc w:val="both"/>
        <w:rPr>
          <w:rFonts w:eastAsia="MS Mincho" w:cs="Times New Roman"/>
          <w:sz w:val="20"/>
          <w:szCs w:val="20"/>
          <w:lang w:eastAsia="ja-JP"/>
        </w:rPr>
      </w:pPr>
    </w:p>
    <w:p w14:paraId="3F6D2DCE" w14:textId="6F31E24E" w:rsidR="0033326E" w:rsidRPr="00E50224" w:rsidRDefault="0033326E" w:rsidP="0033326E">
      <w:pPr>
        <w:widowControl w:val="0"/>
        <w:autoSpaceDE w:val="0"/>
        <w:autoSpaceDN w:val="0"/>
        <w:adjustRightInd w:val="0"/>
        <w:ind w:left="284" w:hanging="284"/>
        <w:jc w:val="both"/>
        <w:rPr>
          <w:rFonts w:eastAsia="MS Mincho" w:cs="Times New Roman"/>
          <w:b/>
          <w:bCs/>
          <w:iCs/>
          <w:sz w:val="20"/>
          <w:szCs w:val="20"/>
        </w:rPr>
      </w:pPr>
      <w:r w:rsidRPr="00E50224">
        <w:rPr>
          <w:rFonts w:ascii="Cambria" w:hAnsi="Cambria"/>
          <w:b/>
          <w:sz w:val="20"/>
        </w:rPr>
        <w:t>Actividades científicas y de investigación</w:t>
      </w:r>
    </w:p>
    <w:p w14:paraId="0DBDA4EF" w14:textId="77777777" w:rsidR="0033326E" w:rsidRPr="00E50224" w:rsidRDefault="0033326E" w:rsidP="00CB7E21">
      <w:pPr>
        <w:tabs>
          <w:tab w:val="left" w:pos="426"/>
        </w:tabs>
        <w:ind w:left="360"/>
        <w:jc w:val="both"/>
        <w:rPr>
          <w:rFonts w:ascii="Cambria" w:hAnsi="Cambria"/>
          <w:sz w:val="20"/>
          <w:szCs w:val="20"/>
        </w:rPr>
      </w:pPr>
    </w:p>
    <w:p w14:paraId="19F79A35" w14:textId="77777777" w:rsidR="0033326E" w:rsidRPr="00E50224" w:rsidRDefault="0033326E" w:rsidP="00E54B1B">
      <w:pPr>
        <w:widowControl w:val="0"/>
        <w:autoSpaceDE w:val="0"/>
        <w:autoSpaceDN w:val="0"/>
        <w:adjustRightInd w:val="0"/>
        <w:ind w:left="284" w:hanging="284"/>
        <w:jc w:val="both"/>
        <w:rPr>
          <w:rFonts w:eastAsia="MS Mincho" w:cs="Times New Roman"/>
          <w:sz w:val="20"/>
          <w:szCs w:val="20"/>
          <w:lang w:eastAsia="ja-JP"/>
        </w:rPr>
      </w:pPr>
    </w:p>
    <w:p w14:paraId="6BC89AE6" w14:textId="1BD8DDEB" w:rsidR="009F2E6D" w:rsidRPr="00E50224" w:rsidRDefault="00832CCE" w:rsidP="00832CCE">
      <w:pPr>
        <w:ind w:left="567" w:hanging="567"/>
        <w:jc w:val="both"/>
        <w:rPr>
          <w:rFonts w:ascii="Cambria" w:hAnsi="Cambria"/>
          <w:sz w:val="20"/>
          <w:szCs w:val="20"/>
        </w:rPr>
      </w:pPr>
      <w:r w:rsidRPr="00E50224">
        <w:rPr>
          <w:rFonts w:ascii="Cambria" w:hAnsi="Cambria"/>
          <w:sz w:val="20"/>
        </w:rPr>
        <w:t>1</w:t>
      </w:r>
      <w:r w:rsidR="00ED574B" w:rsidRPr="00E50224">
        <w:rPr>
          <w:rFonts w:ascii="Cambria" w:hAnsi="Cambria"/>
          <w:sz w:val="20"/>
        </w:rPr>
        <w:t>9</w:t>
      </w:r>
      <w:r w:rsidR="00E770BE" w:rsidRPr="00E50224">
        <w:rPr>
          <w:rFonts w:ascii="Cambria" w:hAnsi="Cambria"/>
          <w:sz w:val="20"/>
        </w:rPr>
        <w:t>.</w:t>
      </w:r>
      <w:r w:rsidR="00E770BE" w:rsidRPr="00E50224">
        <w:rPr>
          <w:rFonts w:ascii="Cambria" w:hAnsi="Cambria"/>
          <w:sz w:val="20"/>
        </w:rPr>
        <w:tab/>
      </w:r>
      <w:r w:rsidR="009F2E6D" w:rsidRPr="00E50224">
        <w:rPr>
          <w:rFonts w:ascii="Cambria" w:hAnsi="Cambria"/>
          <w:sz w:val="20"/>
        </w:rPr>
        <w:t>El SCRS continuará asignando prioridad a la investigación sobre: identificación de zonas de apareamiento, nacimiento y cría y otras zonas de elevada concentración de marrajo dientuso</w:t>
      </w:r>
      <w:r w:rsidR="003B61DB" w:rsidRPr="00E50224">
        <w:rPr>
          <w:rFonts w:ascii="Cambria" w:hAnsi="Cambria"/>
          <w:sz w:val="20"/>
        </w:rPr>
        <w:t xml:space="preserve"> del Atlántico norte;</w:t>
      </w:r>
      <w:r w:rsidR="009F2E6D" w:rsidRPr="00E50224">
        <w:rPr>
          <w:rFonts w:ascii="Cambria" w:hAnsi="Cambria"/>
          <w:sz w:val="20"/>
        </w:rPr>
        <w:t xml:space="preserve"> opciones para las medidas espacio-temporales</w:t>
      </w:r>
      <w:r w:rsidR="00072018" w:rsidRPr="00E50224">
        <w:rPr>
          <w:rFonts w:ascii="Cambria" w:hAnsi="Cambria"/>
          <w:sz w:val="20"/>
        </w:rPr>
        <w:t>;</w:t>
      </w:r>
      <w:r w:rsidR="009F2E6D" w:rsidRPr="00E50224">
        <w:rPr>
          <w:rFonts w:ascii="Cambria" w:hAnsi="Cambria"/>
          <w:sz w:val="20"/>
        </w:rPr>
        <w:t xml:space="preserve"> medidas de m</w:t>
      </w:r>
      <w:r w:rsidR="009F2E6D" w:rsidRPr="00E50224">
        <w:rPr>
          <w:rFonts w:ascii="Cambria" w:hAnsi="Cambria"/>
          <w:sz w:val="20"/>
          <w:szCs w:val="20"/>
        </w:rPr>
        <w:t>itigación (</w:t>
      </w:r>
      <w:r w:rsidR="009F2E6D" w:rsidRPr="00E50224">
        <w:rPr>
          <w:rFonts w:ascii="Cambria" w:hAnsi="Cambria"/>
          <w:sz w:val="20"/>
        </w:rPr>
        <w:t>lo que incluye la configuración</w:t>
      </w:r>
      <w:r w:rsidR="008E134F" w:rsidRPr="00E50224">
        <w:rPr>
          <w:rFonts w:ascii="Cambria" w:hAnsi="Cambria"/>
          <w:sz w:val="20"/>
        </w:rPr>
        <w:t xml:space="preserve"> y </w:t>
      </w:r>
      <w:r w:rsidR="008E134F" w:rsidRPr="00E50224">
        <w:rPr>
          <w:rFonts w:ascii="Cambria" w:hAnsi="Cambria"/>
          <w:sz w:val="20"/>
          <w:szCs w:val="20"/>
        </w:rPr>
        <w:t xml:space="preserve">modificación </w:t>
      </w:r>
      <w:r w:rsidR="009F2E6D" w:rsidRPr="00E50224">
        <w:rPr>
          <w:rFonts w:ascii="Cambria" w:hAnsi="Cambria"/>
          <w:sz w:val="20"/>
        </w:rPr>
        <w:t xml:space="preserve"> del arte</w:t>
      </w:r>
      <w:r w:rsidR="008E134F" w:rsidRPr="00E50224">
        <w:rPr>
          <w:rFonts w:ascii="Cambria" w:hAnsi="Cambria"/>
          <w:sz w:val="20"/>
        </w:rPr>
        <w:t xml:space="preserve"> y </w:t>
      </w:r>
      <w:r w:rsidR="008E134F" w:rsidRPr="00E50224">
        <w:rPr>
          <w:rFonts w:ascii="Cambria" w:hAnsi="Cambria"/>
          <w:sz w:val="20"/>
          <w:szCs w:val="20"/>
        </w:rPr>
        <w:t>sus opciones de despliegue</w:t>
      </w:r>
      <w:r w:rsidR="009F2E6D" w:rsidRPr="00E50224">
        <w:rPr>
          <w:rFonts w:ascii="Cambria" w:hAnsi="Cambria"/>
          <w:sz w:val="20"/>
        </w:rPr>
        <w:t>)</w:t>
      </w:r>
      <w:r w:rsidR="00DC6287" w:rsidRPr="00E50224">
        <w:rPr>
          <w:rFonts w:ascii="Cambria" w:hAnsi="Cambria"/>
          <w:sz w:val="20"/>
        </w:rPr>
        <w:t xml:space="preserve"> junto con los </w:t>
      </w:r>
      <w:r w:rsidR="0059708A" w:rsidRPr="00E50224">
        <w:rPr>
          <w:rFonts w:ascii="Cambria" w:hAnsi="Cambria"/>
          <w:sz w:val="20"/>
        </w:rPr>
        <w:t xml:space="preserve">beneficios y desventajas </w:t>
      </w:r>
      <w:r w:rsidR="00DC6287" w:rsidRPr="00E50224">
        <w:rPr>
          <w:rFonts w:ascii="Cambria" w:hAnsi="Cambria"/>
          <w:sz w:val="20"/>
        </w:rPr>
        <w:t>para los objetivos del plan de recuperación</w:t>
      </w:r>
      <w:r w:rsidR="009F2E6D" w:rsidRPr="00E50224">
        <w:rPr>
          <w:rFonts w:ascii="Cambria" w:hAnsi="Cambria"/>
          <w:sz w:val="20"/>
        </w:rPr>
        <w:t xml:space="preserve"> encaminadas a seguir mejorando el estado del stock</w:t>
      </w:r>
      <w:r w:rsidR="00072018" w:rsidRPr="00E50224">
        <w:rPr>
          <w:rFonts w:ascii="Cambria" w:hAnsi="Cambria"/>
          <w:sz w:val="20"/>
        </w:rPr>
        <w:t>;</w:t>
      </w:r>
      <w:r w:rsidR="009F2E6D" w:rsidRPr="00E50224">
        <w:rPr>
          <w:rFonts w:ascii="Cambria" w:hAnsi="Cambria"/>
          <w:sz w:val="20"/>
        </w:rPr>
        <w:t xml:space="preserve"> y otros aspectos que el SCRS considere que contribuyen a mejorar las evaluaciones de stock y a reducir la mortalidad del marrajo dientuso. Además, se insta a las CPC a investigar la mortalidad en el buque y posterior a la liberación del marrajo dientuso, lo que incluye, pero no exclusivamente, la incorporación de temporizadores de anzuelos y de programas de marcado por satélite.</w:t>
      </w:r>
    </w:p>
    <w:p w14:paraId="697D0480" w14:textId="043ACD5F" w:rsidR="00210231" w:rsidRPr="00E50224" w:rsidRDefault="00210231" w:rsidP="00210231">
      <w:pPr>
        <w:pStyle w:val="ListParagraph"/>
        <w:tabs>
          <w:tab w:val="left" w:pos="426"/>
        </w:tabs>
        <w:ind w:left="426"/>
        <w:jc w:val="both"/>
        <w:rPr>
          <w:rFonts w:ascii="Cambria" w:hAnsi="Cambria"/>
          <w:sz w:val="20"/>
          <w:szCs w:val="20"/>
        </w:rPr>
      </w:pPr>
    </w:p>
    <w:p w14:paraId="37FFD740" w14:textId="64546095" w:rsidR="00DC6287" w:rsidRPr="00E50224" w:rsidRDefault="00832CCE" w:rsidP="00832CCE">
      <w:pPr>
        <w:ind w:left="567" w:hanging="567"/>
        <w:jc w:val="both"/>
        <w:rPr>
          <w:rFonts w:ascii="Cambria" w:eastAsia="Cambria" w:hAnsi="Cambria" w:cs="Cambria"/>
          <w:sz w:val="20"/>
          <w:szCs w:val="20"/>
        </w:rPr>
      </w:pPr>
      <w:r w:rsidRPr="00E50224">
        <w:rPr>
          <w:rFonts w:ascii="Cambria" w:hAnsi="Cambria"/>
          <w:sz w:val="20"/>
          <w:szCs w:val="20"/>
        </w:rPr>
        <w:t>20.</w:t>
      </w:r>
      <w:r w:rsidRPr="00E50224">
        <w:rPr>
          <w:rFonts w:ascii="Cambria" w:hAnsi="Cambria"/>
          <w:sz w:val="20"/>
          <w:szCs w:val="20"/>
        </w:rPr>
        <w:tab/>
      </w:r>
      <w:r w:rsidR="00C2351F" w:rsidRPr="00E50224">
        <w:rPr>
          <w:rFonts w:ascii="Cambria" w:hAnsi="Cambria"/>
          <w:sz w:val="20"/>
          <w:szCs w:val="20"/>
        </w:rPr>
        <w:t xml:space="preserve">Teniendo en cuenta que </w:t>
      </w:r>
      <w:r w:rsidR="008E0424" w:rsidRPr="00E50224">
        <w:rPr>
          <w:rFonts w:ascii="Cambria" w:hAnsi="Cambria"/>
          <w:sz w:val="20"/>
          <w:szCs w:val="20"/>
        </w:rPr>
        <w:t xml:space="preserve">las capturas incidentales en </w:t>
      </w:r>
      <w:r w:rsidR="00C2351F" w:rsidRPr="00E50224">
        <w:rPr>
          <w:rFonts w:ascii="Cambria" w:hAnsi="Cambria"/>
          <w:sz w:val="20"/>
          <w:szCs w:val="20"/>
        </w:rPr>
        <w:t>los puntos calientes podrían producirse en áreas y periodos con condiciones oceanográficas específicas, e</w:t>
      </w:r>
      <w:r w:rsidR="00DC6287" w:rsidRPr="00E50224">
        <w:rPr>
          <w:rFonts w:ascii="Cambria" w:hAnsi="Cambria"/>
          <w:sz w:val="20"/>
          <w:szCs w:val="20"/>
        </w:rPr>
        <w:t>l SCRS iniciará un proyecto piloto para explorar los beneficios resultantes de instalar mini registradores de datos en la línea principal y en las brazoladas de los palangreros</w:t>
      </w:r>
      <w:r w:rsidR="00500FF7" w:rsidRPr="00E50224">
        <w:rPr>
          <w:rFonts w:ascii="Cambria" w:hAnsi="Cambria"/>
          <w:sz w:val="20"/>
          <w:szCs w:val="20"/>
        </w:rPr>
        <w:t xml:space="preserve"> que participan en el proyecto de forma voluntaria y </w:t>
      </w:r>
      <w:r w:rsidR="00DC6287" w:rsidRPr="00E50224">
        <w:rPr>
          <w:rFonts w:ascii="Cambria" w:hAnsi="Cambria"/>
          <w:sz w:val="20"/>
          <w:szCs w:val="20"/>
        </w:rPr>
        <w:t xml:space="preserve">que se dirigen a especies ICCAT con potencial de interacción con marrajos dientusos. El SCRS proporcionará directrices sobre las características básicas, el número mínimo y las posiciones para instalar los mini registradores de datos con el fin de comprender mejor los efectos del tiempo de inmersión, las profundidades de pesca y las características medioambientales que producen las mayores capturas incidentales de marrajo dientuso. </w:t>
      </w:r>
    </w:p>
    <w:p w14:paraId="0D9F4368" w14:textId="77777777" w:rsidR="00283DE5" w:rsidRPr="00E50224" w:rsidRDefault="00283DE5" w:rsidP="00210231">
      <w:pPr>
        <w:pStyle w:val="ListParagraph"/>
        <w:tabs>
          <w:tab w:val="left" w:pos="426"/>
        </w:tabs>
        <w:ind w:left="426"/>
        <w:jc w:val="both"/>
        <w:rPr>
          <w:rFonts w:ascii="Cambria" w:hAnsi="Cambria"/>
          <w:sz w:val="20"/>
          <w:szCs w:val="20"/>
        </w:rPr>
      </w:pPr>
    </w:p>
    <w:p w14:paraId="6AD48DA3" w14:textId="64AF07C2" w:rsidR="006F6DFD" w:rsidRPr="00E50224" w:rsidRDefault="00832CCE" w:rsidP="006F6DFD">
      <w:pPr>
        <w:widowControl w:val="0"/>
        <w:autoSpaceDE w:val="0"/>
        <w:autoSpaceDN w:val="0"/>
        <w:adjustRightInd w:val="0"/>
        <w:ind w:left="426" w:hanging="426"/>
        <w:jc w:val="both"/>
        <w:rPr>
          <w:rFonts w:ascii="Cambria" w:hAnsi="Cambria"/>
          <w:sz w:val="20"/>
          <w:szCs w:val="20"/>
          <w:lang w:eastAsia="ja-JP"/>
        </w:rPr>
      </w:pPr>
      <w:r w:rsidRPr="00E50224">
        <w:rPr>
          <w:rFonts w:ascii="Cambria" w:hAnsi="Cambria"/>
          <w:sz w:val="20"/>
        </w:rPr>
        <w:t>2</w:t>
      </w:r>
      <w:r w:rsidR="00E770BE" w:rsidRPr="00E50224">
        <w:rPr>
          <w:rFonts w:ascii="Cambria" w:hAnsi="Cambria"/>
          <w:sz w:val="20"/>
        </w:rPr>
        <w:t>1.</w:t>
      </w:r>
      <w:r w:rsidR="00E770BE" w:rsidRPr="00E50224">
        <w:rPr>
          <w:rFonts w:ascii="Cambria" w:hAnsi="Cambria"/>
          <w:sz w:val="20"/>
        </w:rPr>
        <w:tab/>
      </w:r>
    </w:p>
    <w:p w14:paraId="21E8F31C" w14:textId="286C1240" w:rsidR="004127B3" w:rsidRPr="00E50224" w:rsidRDefault="004127B3" w:rsidP="00F1562D">
      <w:pPr>
        <w:pStyle w:val="ListParagraph"/>
        <w:numPr>
          <w:ilvl w:val="0"/>
          <w:numId w:val="30"/>
        </w:numPr>
        <w:tabs>
          <w:tab w:val="left" w:pos="426"/>
        </w:tabs>
        <w:ind w:left="993"/>
        <w:jc w:val="both"/>
        <w:rPr>
          <w:rFonts w:ascii="Cambria" w:hAnsi="Cambria"/>
          <w:sz w:val="20"/>
        </w:rPr>
      </w:pPr>
      <w:r w:rsidRPr="00E50224">
        <w:rPr>
          <w:rFonts w:ascii="Cambria" w:hAnsi="Cambria"/>
          <w:sz w:val="20"/>
        </w:rPr>
        <w:t xml:space="preserve">El SCRS proporcionará a la Comisión </w:t>
      </w:r>
      <w:r w:rsidR="00F1562D" w:rsidRPr="00E50224">
        <w:rPr>
          <w:rFonts w:ascii="Cambria" w:hAnsi="Cambria"/>
          <w:sz w:val="20"/>
        </w:rPr>
        <w:t>desde ahora hasta</w:t>
      </w:r>
      <w:r w:rsidRPr="00E50224">
        <w:rPr>
          <w:rFonts w:ascii="Cambria" w:hAnsi="Cambria"/>
          <w:sz w:val="20"/>
        </w:rPr>
        <w:t xml:space="preserve"> 2023, y siempre que se disponga de nueva información, un asesoramiento actualizado sobre las medidas de mitigación destinadas a reducir aún más la mortalidad del marrajo dientuso. Para ello, </w:t>
      </w:r>
      <w:r w:rsidR="001B0EFD" w:rsidRPr="00E50224">
        <w:rPr>
          <w:rFonts w:ascii="Cambria" w:hAnsi="Cambria"/>
          <w:sz w:val="20"/>
        </w:rPr>
        <w:t>antes del 30 de</w:t>
      </w:r>
      <w:r w:rsidRPr="00E50224">
        <w:rPr>
          <w:rFonts w:ascii="Cambria" w:hAnsi="Cambria"/>
          <w:sz w:val="20"/>
        </w:rPr>
        <w:t xml:space="preserve"> abril de 2023 las CPC presentarán al SCRS información </w:t>
      </w:r>
      <w:r w:rsidR="00861068" w:rsidRPr="00E50224">
        <w:rPr>
          <w:rFonts w:ascii="Cambria" w:hAnsi="Cambria"/>
          <w:sz w:val="20"/>
        </w:rPr>
        <w:t xml:space="preserve">por pesquería </w:t>
      </w:r>
      <w:r w:rsidRPr="00E50224">
        <w:rPr>
          <w:rFonts w:ascii="Cambria" w:hAnsi="Cambria"/>
          <w:sz w:val="20"/>
        </w:rPr>
        <w:t>sobre las medidas técnicas y otras medidas de ordenación que hayan aplicado para reducir la mortalidad por pesca total del marrajo dientuso del Atlántico norte, con la excepción de aquellas CPC que ya hayan presentado dicha información a la Secretaría. El SCRS revisará esta información y asesorará a la Comisión sobre qué herramientas y enfoques han sido más efectivos para reducir la mortalidad por pesca con el fin de recomendar medidas específicas cuya adopción debería considerar la Comisión.</w:t>
      </w:r>
    </w:p>
    <w:p w14:paraId="05AE4AE5" w14:textId="77777777" w:rsidR="006F6DFD" w:rsidRPr="00E50224" w:rsidRDefault="006F6DFD" w:rsidP="006F6DFD">
      <w:pPr>
        <w:pStyle w:val="ListParagraph"/>
        <w:tabs>
          <w:tab w:val="left" w:pos="426"/>
        </w:tabs>
        <w:ind w:left="426"/>
        <w:jc w:val="both"/>
        <w:rPr>
          <w:rFonts w:ascii="Cambria" w:hAnsi="Cambria"/>
          <w:sz w:val="20"/>
        </w:rPr>
      </w:pPr>
    </w:p>
    <w:p w14:paraId="647F32C0" w14:textId="150806D2" w:rsidR="004127B3" w:rsidRPr="00E50224" w:rsidRDefault="004127B3" w:rsidP="00F1562D">
      <w:pPr>
        <w:pStyle w:val="ListParagraph"/>
        <w:numPr>
          <w:ilvl w:val="0"/>
          <w:numId w:val="30"/>
        </w:numPr>
        <w:tabs>
          <w:tab w:val="left" w:pos="426"/>
        </w:tabs>
        <w:ind w:left="993"/>
        <w:jc w:val="both"/>
        <w:rPr>
          <w:rFonts w:ascii="Cambria" w:hAnsi="Cambria"/>
          <w:sz w:val="20"/>
          <w:szCs w:val="20"/>
        </w:rPr>
      </w:pPr>
      <w:r w:rsidRPr="00E50224">
        <w:rPr>
          <w:rFonts w:ascii="Cambria" w:hAnsi="Cambria"/>
          <w:sz w:val="20"/>
        </w:rPr>
        <w:t xml:space="preserve">Teniendo en cuenta la información sobre medidas técnicas y otras medidas de ordenación presentadas por las CPC con arreglo al apartado (a) anterior, el SCRS evaluará los posibles beneficios de los límites </w:t>
      </w:r>
      <w:r w:rsidRPr="00E50224">
        <w:rPr>
          <w:rFonts w:ascii="Cambria" w:eastAsia="Yu Mincho" w:hAnsi="Cambria" w:cs="Times New Roman"/>
          <w:kern w:val="2"/>
          <w:sz w:val="20"/>
          <w:szCs w:val="22"/>
          <w:lang w:eastAsia="ja-JP"/>
        </w:rPr>
        <w:t xml:space="preserve">tanto de talla mínima como de talla máxima </w:t>
      </w:r>
      <w:r w:rsidRPr="00E50224">
        <w:rPr>
          <w:rFonts w:ascii="Cambria" w:hAnsi="Cambria"/>
          <w:sz w:val="20"/>
        </w:rPr>
        <w:t xml:space="preserve">para la retención de </w:t>
      </w:r>
      <w:r w:rsidRPr="00E50224">
        <w:rPr>
          <w:rFonts w:ascii="Cambria" w:eastAsia="Yu Mincho" w:hAnsi="Cambria" w:cs="Times New Roman"/>
          <w:kern w:val="2"/>
          <w:sz w:val="20"/>
          <w:szCs w:val="22"/>
          <w:lang w:eastAsia="ja-JP"/>
        </w:rPr>
        <w:lastRenderedPageBreak/>
        <w:t>e</w:t>
      </w:r>
      <w:r w:rsidRPr="00E50224">
        <w:rPr>
          <w:rFonts w:ascii="Cambria" w:hAnsi="Cambria"/>
          <w:sz w:val="20"/>
        </w:rPr>
        <w:t>jemplares vivo</w:t>
      </w:r>
      <w:r w:rsidRPr="00E50224">
        <w:rPr>
          <w:rFonts w:ascii="Cambria" w:eastAsia="Yu Mincho" w:hAnsi="Cambria" w:cs="Times New Roman"/>
          <w:kern w:val="2"/>
          <w:sz w:val="20"/>
          <w:szCs w:val="22"/>
          <w:lang w:eastAsia="ja-JP"/>
        </w:rPr>
        <w:t xml:space="preserve">s (aplicados por separado o </w:t>
      </w:r>
      <w:r w:rsidR="00253EEA" w:rsidRPr="00E50224">
        <w:rPr>
          <w:rFonts w:ascii="Cambria" w:eastAsia="Yu Mincho" w:hAnsi="Cambria" w:cs="Times New Roman"/>
          <w:kern w:val="2"/>
          <w:sz w:val="20"/>
          <w:szCs w:val="22"/>
          <w:lang w:eastAsia="ja-JP"/>
        </w:rPr>
        <w:t>combinados</w:t>
      </w:r>
      <w:r w:rsidRPr="00E50224">
        <w:rPr>
          <w:rFonts w:ascii="Cambria" w:eastAsia="Yu Mincho" w:hAnsi="Cambria" w:cs="Times New Roman"/>
          <w:kern w:val="2"/>
          <w:sz w:val="20"/>
          <w:szCs w:val="22"/>
          <w:lang w:eastAsia="ja-JP"/>
        </w:rPr>
        <w:t>)</w:t>
      </w:r>
      <w:r w:rsidRPr="00E50224">
        <w:rPr>
          <w:rFonts w:ascii="Cambria" w:hAnsi="Cambria"/>
          <w:sz w:val="20"/>
        </w:rPr>
        <w:t xml:space="preserve">, en particular las tallas de madurez específicas del </w:t>
      </w:r>
      <w:r w:rsidR="00F1562D" w:rsidRPr="00E50224">
        <w:rPr>
          <w:rFonts w:ascii="Cambria" w:hAnsi="Cambria"/>
          <w:sz w:val="20"/>
        </w:rPr>
        <w:t>sexo</w:t>
      </w:r>
      <w:r w:rsidRPr="00E50224">
        <w:rPr>
          <w:rFonts w:ascii="Cambria" w:hAnsi="Cambria"/>
          <w:sz w:val="20"/>
        </w:rPr>
        <w:t xml:space="preserve"> basadas en la mejor ciencia disponibl</w:t>
      </w:r>
      <w:r w:rsidRPr="00E50224">
        <w:rPr>
          <w:rFonts w:ascii="Cambria" w:eastAsia="Yu Mincho" w:hAnsi="Cambria" w:cs="Times New Roman"/>
          <w:kern w:val="2"/>
          <w:sz w:val="20"/>
          <w:szCs w:val="22"/>
          <w:lang w:eastAsia="ja-JP"/>
        </w:rPr>
        <w:t>e,</w:t>
      </w:r>
      <w:r w:rsidRPr="00E50224">
        <w:rPr>
          <w:rFonts w:ascii="Cambria" w:hAnsi="Cambria"/>
          <w:sz w:val="20"/>
        </w:rPr>
        <w:t xml:space="preserve"> particularment</w:t>
      </w:r>
      <w:r w:rsidR="00F1562D" w:rsidRPr="00E50224">
        <w:rPr>
          <w:rFonts w:ascii="Cambria" w:hAnsi="Cambria"/>
          <w:sz w:val="20"/>
        </w:rPr>
        <w:t xml:space="preserve">e </w:t>
      </w:r>
      <w:r w:rsidRPr="00E50224">
        <w:rPr>
          <w:rFonts w:ascii="Cambria" w:hAnsi="Cambria"/>
          <w:sz w:val="20"/>
        </w:rPr>
        <w:t xml:space="preserve">cuando se consideran en combinación con otras medidas de ordenación, </w:t>
      </w:r>
      <w:r w:rsidRPr="00E50224">
        <w:rPr>
          <w:rFonts w:ascii="Cambria" w:eastAsia="Yu Mincho" w:hAnsi="Cambria" w:cs="Times New Roman"/>
          <w:kern w:val="2"/>
          <w:sz w:val="20"/>
          <w:szCs w:val="22"/>
          <w:lang w:eastAsia="ja-JP"/>
        </w:rPr>
        <w:t>para conseguir las reducciones de mortalidad requerida</w:t>
      </w:r>
      <w:r w:rsidRPr="00E50224">
        <w:rPr>
          <w:rFonts w:ascii="Cambria" w:hAnsi="Cambria"/>
          <w:sz w:val="20"/>
        </w:rPr>
        <w:t>s</w:t>
      </w:r>
      <w:r w:rsidR="002A1BF8" w:rsidRPr="00E50224">
        <w:rPr>
          <w:rFonts w:ascii="Cambria" w:hAnsi="Cambria"/>
          <w:sz w:val="20"/>
        </w:rPr>
        <w:t>.</w:t>
      </w:r>
      <w:r w:rsidRPr="00E50224">
        <w:rPr>
          <w:rFonts w:ascii="Cambria" w:hAnsi="Cambria"/>
          <w:sz w:val="20"/>
        </w:rPr>
        <w:t xml:space="preserve"> El SCRS asesorará a la Comisión desde ahora hasta 2024 sobre si las restricciones de talla son herramientas </w:t>
      </w:r>
      <w:r w:rsidR="00F1562D" w:rsidRPr="00E50224">
        <w:rPr>
          <w:rFonts w:ascii="Cambria" w:hAnsi="Cambria"/>
          <w:sz w:val="20"/>
        </w:rPr>
        <w:t>eficaces</w:t>
      </w:r>
      <w:r w:rsidRPr="00E50224">
        <w:rPr>
          <w:rFonts w:ascii="Cambria" w:hAnsi="Cambria"/>
          <w:sz w:val="20"/>
        </w:rPr>
        <w:t xml:space="preserve">, en especial cuando se utilizan en combinación con otras medidas, </w:t>
      </w:r>
      <w:r w:rsidR="005668FB" w:rsidRPr="00E50224">
        <w:rPr>
          <w:rFonts w:ascii="Cambria" w:hAnsi="Cambria"/>
          <w:sz w:val="20"/>
        </w:rPr>
        <w:t>para</w:t>
      </w:r>
      <w:r w:rsidRPr="00E50224">
        <w:rPr>
          <w:rFonts w:ascii="Cambria" w:hAnsi="Cambria"/>
          <w:sz w:val="20"/>
        </w:rPr>
        <w:t xml:space="preserve"> cumplir las reducciones de mortalidad requeridas.</w:t>
      </w:r>
    </w:p>
    <w:p w14:paraId="4F5573E5" w14:textId="77777777" w:rsidR="006F6DFD" w:rsidRPr="00E50224" w:rsidRDefault="006F6DFD" w:rsidP="006F6DFD">
      <w:pPr>
        <w:pStyle w:val="ListParagraph"/>
        <w:tabs>
          <w:tab w:val="left" w:pos="426"/>
        </w:tabs>
        <w:ind w:left="426"/>
        <w:jc w:val="both"/>
        <w:rPr>
          <w:rFonts w:ascii="Cambria" w:hAnsi="Cambria"/>
          <w:sz w:val="20"/>
          <w:szCs w:val="20"/>
        </w:rPr>
      </w:pPr>
    </w:p>
    <w:p w14:paraId="5FD54581" w14:textId="04E8472D" w:rsidR="00253EEA" w:rsidRPr="00E50224" w:rsidRDefault="00832CCE" w:rsidP="00832CCE">
      <w:pPr>
        <w:ind w:left="567" w:hanging="567"/>
        <w:jc w:val="both"/>
        <w:rPr>
          <w:rFonts w:ascii="Cambria" w:hAnsi="Cambria"/>
          <w:sz w:val="20"/>
          <w:szCs w:val="20"/>
        </w:rPr>
      </w:pPr>
      <w:r w:rsidRPr="00E50224">
        <w:rPr>
          <w:rFonts w:ascii="Cambria" w:hAnsi="Cambria"/>
          <w:sz w:val="20"/>
        </w:rPr>
        <w:t>22.</w:t>
      </w:r>
      <w:r w:rsidRPr="00E50224">
        <w:rPr>
          <w:rFonts w:ascii="Cambria" w:hAnsi="Cambria"/>
          <w:sz w:val="20"/>
        </w:rPr>
        <w:tab/>
      </w:r>
      <w:r w:rsidR="00253EEA" w:rsidRPr="00E50224">
        <w:rPr>
          <w:rFonts w:ascii="Cambria" w:hAnsi="Cambria"/>
          <w:sz w:val="20"/>
        </w:rPr>
        <w:t xml:space="preserve">El SCRS revisará los desembarques y descartes comunicados de </w:t>
      </w:r>
      <w:r w:rsidR="00311F15" w:rsidRPr="00E50224">
        <w:rPr>
          <w:rFonts w:ascii="Cambria" w:hAnsi="Cambria"/>
          <w:sz w:val="20"/>
        </w:rPr>
        <w:t xml:space="preserve">marrajo carite </w:t>
      </w:r>
      <w:r w:rsidR="00253EEA" w:rsidRPr="00E50224">
        <w:rPr>
          <w:rFonts w:ascii="Cambria" w:hAnsi="Cambria"/>
          <w:sz w:val="20"/>
        </w:rPr>
        <w:t xml:space="preserve">para identificar cualquier incoherencia inesperada que pudiera ser el resultado de una identificación errónea entre las dos especies de marrajo, con el fin de formular el asesoramiento en materia de ordenación. </w:t>
      </w:r>
    </w:p>
    <w:p w14:paraId="548CA064" w14:textId="1DF7D341" w:rsidR="009F2E6D" w:rsidRPr="00E50224" w:rsidRDefault="009F2E6D" w:rsidP="006F6DFD">
      <w:pPr>
        <w:tabs>
          <w:tab w:val="left" w:pos="426"/>
        </w:tabs>
        <w:ind w:left="426" w:hanging="426"/>
        <w:jc w:val="both"/>
        <w:rPr>
          <w:rFonts w:ascii="Cambria" w:hAnsi="Cambria"/>
          <w:sz w:val="20"/>
        </w:rPr>
      </w:pPr>
    </w:p>
    <w:p w14:paraId="2827E7E2" w14:textId="2C53D52E" w:rsidR="00210231" w:rsidRPr="00E50224" w:rsidRDefault="00210231" w:rsidP="00210231">
      <w:pPr>
        <w:tabs>
          <w:tab w:val="left" w:pos="426"/>
        </w:tabs>
        <w:jc w:val="both"/>
        <w:rPr>
          <w:rFonts w:ascii="Cambria" w:hAnsi="Cambria"/>
          <w:b/>
          <w:sz w:val="20"/>
        </w:rPr>
      </w:pPr>
      <w:r w:rsidRPr="00E50224">
        <w:rPr>
          <w:rFonts w:ascii="Cambria" w:hAnsi="Cambria"/>
          <w:b/>
          <w:sz w:val="20"/>
        </w:rPr>
        <w:t>Próxima</w:t>
      </w:r>
      <w:r w:rsidR="00F17567" w:rsidRPr="00E50224">
        <w:rPr>
          <w:rFonts w:ascii="Cambria" w:hAnsi="Cambria"/>
          <w:b/>
          <w:sz w:val="20"/>
        </w:rPr>
        <w:t>s</w:t>
      </w:r>
      <w:r w:rsidRPr="00E50224">
        <w:rPr>
          <w:rFonts w:ascii="Cambria" w:hAnsi="Cambria"/>
          <w:b/>
          <w:sz w:val="20"/>
        </w:rPr>
        <w:t xml:space="preserve"> evaluaci</w:t>
      </w:r>
      <w:r w:rsidR="00F17567" w:rsidRPr="00E50224">
        <w:rPr>
          <w:rFonts w:ascii="Cambria" w:hAnsi="Cambria"/>
          <w:b/>
          <w:sz w:val="20"/>
        </w:rPr>
        <w:t>ones</w:t>
      </w:r>
      <w:r w:rsidRPr="00E50224">
        <w:rPr>
          <w:rFonts w:ascii="Cambria" w:hAnsi="Cambria"/>
          <w:b/>
          <w:sz w:val="20"/>
        </w:rPr>
        <w:t xml:space="preserve"> de stock y revisión de la eficacia de las medidas</w:t>
      </w:r>
    </w:p>
    <w:p w14:paraId="71B6FDAE" w14:textId="780C3807" w:rsidR="00883966" w:rsidRPr="00E50224" w:rsidRDefault="00883966" w:rsidP="00E770BE">
      <w:pPr>
        <w:tabs>
          <w:tab w:val="left" w:pos="426"/>
        </w:tabs>
        <w:ind w:left="426" w:hanging="284"/>
        <w:jc w:val="both"/>
        <w:rPr>
          <w:rFonts w:ascii="Cambria" w:eastAsia="Times New Roman" w:hAnsi="Cambria" w:cs="Times New Roman"/>
          <w:sz w:val="20"/>
        </w:rPr>
      </w:pPr>
    </w:p>
    <w:p w14:paraId="24C4B419" w14:textId="15D11973" w:rsidR="00883966" w:rsidRPr="00E50224" w:rsidRDefault="00832CCE" w:rsidP="00832CCE">
      <w:pPr>
        <w:ind w:left="567" w:hanging="567"/>
        <w:jc w:val="both"/>
        <w:rPr>
          <w:rFonts w:ascii="Cambria" w:eastAsia="Times New Roman" w:hAnsi="Cambria" w:cs="Times New Roman"/>
          <w:sz w:val="20"/>
        </w:rPr>
      </w:pPr>
      <w:r w:rsidRPr="00E50224">
        <w:rPr>
          <w:rFonts w:ascii="Cambria" w:eastAsia="Times New Roman" w:hAnsi="Cambria" w:cs="Times New Roman"/>
          <w:sz w:val="20"/>
        </w:rPr>
        <w:t>23</w:t>
      </w:r>
      <w:r w:rsidR="00883966" w:rsidRPr="00E50224">
        <w:rPr>
          <w:rFonts w:ascii="Cambria" w:eastAsia="Times New Roman" w:hAnsi="Cambria" w:cs="Times New Roman"/>
          <w:sz w:val="20"/>
        </w:rPr>
        <w:t xml:space="preserve">. </w:t>
      </w:r>
      <w:r w:rsidR="00D450E7" w:rsidRPr="00E50224">
        <w:rPr>
          <w:rFonts w:ascii="Cambria" w:eastAsia="Times New Roman" w:hAnsi="Cambria" w:cs="Times New Roman"/>
          <w:sz w:val="20"/>
        </w:rPr>
        <w:tab/>
      </w:r>
      <w:r w:rsidR="00883966" w:rsidRPr="00E50224">
        <w:rPr>
          <w:rFonts w:ascii="Cambria" w:eastAsia="Times New Roman" w:hAnsi="Cambria" w:cs="Times New Roman"/>
          <w:sz w:val="20"/>
        </w:rPr>
        <w:t xml:space="preserve">El SCRS realizará una evaluación </w:t>
      </w:r>
      <w:r w:rsidR="00500FF7" w:rsidRPr="00E50224">
        <w:rPr>
          <w:rFonts w:ascii="Cambria" w:eastAsia="Times New Roman" w:hAnsi="Cambria" w:cs="Times New Roman"/>
          <w:sz w:val="20"/>
        </w:rPr>
        <w:t xml:space="preserve">de </w:t>
      </w:r>
      <w:r w:rsidR="00500FF7" w:rsidRPr="00E50224">
        <w:rPr>
          <w:rFonts w:ascii="Cambria" w:hAnsi="Cambria"/>
          <w:sz w:val="20"/>
          <w:szCs w:val="20"/>
        </w:rPr>
        <w:t xml:space="preserve">niveles de referencia </w:t>
      </w:r>
      <w:r w:rsidR="00883966" w:rsidRPr="00E50224">
        <w:rPr>
          <w:rFonts w:ascii="Cambria" w:eastAsia="Times New Roman" w:hAnsi="Cambria" w:cs="Times New Roman"/>
          <w:sz w:val="20"/>
        </w:rPr>
        <w:t>del stock</w:t>
      </w:r>
      <w:r w:rsidR="00500FF7" w:rsidRPr="00E50224">
        <w:rPr>
          <w:rFonts w:ascii="Cambria" w:eastAsia="Times New Roman" w:hAnsi="Cambria" w:cs="Times New Roman"/>
          <w:sz w:val="20"/>
        </w:rPr>
        <w:t xml:space="preserve">, </w:t>
      </w:r>
      <w:r w:rsidR="00500FF7" w:rsidRPr="00E50224">
        <w:rPr>
          <w:rFonts w:ascii="Cambria" w:hAnsi="Cambria"/>
          <w:sz w:val="20"/>
          <w:szCs w:val="20"/>
        </w:rPr>
        <w:t xml:space="preserve">lo que incluye </w:t>
      </w:r>
      <w:r w:rsidR="002A1BF8" w:rsidRPr="00E50224">
        <w:rPr>
          <w:rFonts w:ascii="Cambria" w:eastAsia="Yu Mincho" w:hAnsi="Cambria" w:cs="Times New Roman"/>
          <w:kern w:val="2"/>
          <w:sz w:val="20"/>
          <w:szCs w:val="22"/>
          <w:lang w:eastAsia="ja-JP"/>
        </w:rPr>
        <w:t>la producción de una</w:t>
      </w:r>
      <w:r w:rsidR="00500FF7" w:rsidRPr="00E50224">
        <w:rPr>
          <w:rFonts w:ascii="Cambria" w:hAnsi="Cambria"/>
          <w:sz w:val="20"/>
          <w:szCs w:val="20"/>
        </w:rPr>
        <w:t xml:space="preserve"> matriz de estrategia de Kobe </w:t>
      </w:r>
      <w:r w:rsidR="005500DF">
        <w:rPr>
          <w:rFonts w:ascii="Cambria" w:hAnsi="Cambria"/>
          <w:sz w:val="20"/>
          <w:szCs w:val="20"/>
        </w:rPr>
        <w:t xml:space="preserve">II </w:t>
      </w:r>
      <w:r w:rsidR="00500FF7" w:rsidRPr="00E50224">
        <w:rPr>
          <w:rFonts w:ascii="Cambria" w:hAnsi="Cambria"/>
          <w:sz w:val="20"/>
          <w:szCs w:val="20"/>
        </w:rPr>
        <w:t>que refleje el marco temporal para la recuperación hasta 2070</w:t>
      </w:r>
      <w:r w:rsidR="00883966" w:rsidRPr="00E50224">
        <w:rPr>
          <w:rFonts w:ascii="Cambria" w:eastAsia="Times New Roman" w:hAnsi="Cambria" w:cs="Times New Roman"/>
          <w:sz w:val="20"/>
        </w:rPr>
        <w:t xml:space="preserve"> de</w:t>
      </w:r>
      <w:r w:rsidR="00B5162F" w:rsidRPr="00E50224">
        <w:rPr>
          <w:rFonts w:ascii="Cambria" w:eastAsia="Times New Roman" w:hAnsi="Cambria" w:cs="Times New Roman"/>
          <w:sz w:val="20"/>
        </w:rPr>
        <w:t>l</w:t>
      </w:r>
      <w:r w:rsidR="00883966" w:rsidRPr="00E50224">
        <w:rPr>
          <w:rFonts w:ascii="Cambria" w:eastAsia="Times New Roman" w:hAnsi="Cambria" w:cs="Times New Roman"/>
          <w:sz w:val="20"/>
        </w:rPr>
        <w:t xml:space="preserve"> marrajo dientuso del Atlántico norte </w:t>
      </w:r>
      <w:r w:rsidR="008138C8" w:rsidRPr="00E50224">
        <w:rPr>
          <w:rFonts w:ascii="Cambria" w:eastAsia="Times New Roman" w:hAnsi="Cambria" w:cs="Times New Roman"/>
          <w:sz w:val="20"/>
        </w:rPr>
        <w:t xml:space="preserve">desde ahora hasta </w:t>
      </w:r>
      <w:r w:rsidR="00883966" w:rsidRPr="00E50224">
        <w:rPr>
          <w:rFonts w:ascii="Cambria" w:eastAsia="Yu Mincho" w:hAnsi="Cambria" w:cs="Times New Roman"/>
          <w:kern w:val="2"/>
          <w:sz w:val="20"/>
          <w:szCs w:val="22"/>
          <w:lang w:eastAsia="ja-JP"/>
        </w:rPr>
        <w:t>2024</w:t>
      </w:r>
      <w:r w:rsidR="00883966" w:rsidRPr="00E50224">
        <w:rPr>
          <w:rFonts w:ascii="Cambria" w:eastAsia="Times New Roman" w:hAnsi="Cambria" w:cs="Times New Roman"/>
          <w:sz w:val="20"/>
        </w:rPr>
        <w:t>.</w:t>
      </w:r>
      <w:r w:rsidR="00500FF7" w:rsidRPr="00E50224">
        <w:rPr>
          <w:rFonts w:ascii="Cambria" w:eastAsia="Times New Roman" w:hAnsi="Cambria" w:cs="Times New Roman"/>
          <w:sz w:val="20"/>
        </w:rPr>
        <w:t xml:space="preserve"> </w:t>
      </w:r>
      <w:r w:rsidR="00500FF7" w:rsidRPr="00E50224">
        <w:rPr>
          <w:rFonts w:ascii="Cambria" w:hAnsi="Cambria"/>
          <w:sz w:val="20"/>
          <w:szCs w:val="20"/>
        </w:rPr>
        <w:t xml:space="preserve">Se realizarán evaluaciones adicionales </w:t>
      </w:r>
      <w:r w:rsidR="00216017" w:rsidRPr="00E50224">
        <w:rPr>
          <w:rFonts w:ascii="Cambria" w:hAnsi="Cambria"/>
          <w:sz w:val="20"/>
          <w:szCs w:val="20"/>
        </w:rPr>
        <w:t>en</w:t>
      </w:r>
      <w:r w:rsidR="00500FF7" w:rsidRPr="00E50224">
        <w:rPr>
          <w:rFonts w:ascii="Cambria" w:hAnsi="Cambria"/>
          <w:sz w:val="20"/>
          <w:szCs w:val="20"/>
        </w:rPr>
        <w:t xml:space="preserve"> </w:t>
      </w:r>
      <w:r w:rsidR="00500FF7" w:rsidRPr="00E50224">
        <w:rPr>
          <w:rFonts w:ascii="Cambria" w:eastAsia="Yu Mincho" w:hAnsi="Cambria" w:cs="Times New Roman"/>
          <w:kern w:val="2"/>
          <w:sz w:val="20"/>
          <w:szCs w:val="22"/>
          <w:lang w:eastAsia="ja-JP"/>
        </w:rPr>
        <w:t>2</w:t>
      </w:r>
      <w:r w:rsidR="00500FF7" w:rsidRPr="00E50224">
        <w:rPr>
          <w:rFonts w:ascii="Cambria" w:hAnsi="Cambria"/>
          <w:sz w:val="20"/>
          <w:szCs w:val="20"/>
        </w:rPr>
        <w:t>029 y 20</w:t>
      </w:r>
      <w:r w:rsidR="009C3AFE" w:rsidRPr="00E50224">
        <w:rPr>
          <w:rFonts w:ascii="Cambria" w:hAnsi="Cambria"/>
          <w:sz w:val="20"/>
          <w:szCs w:val="20"/>
        </w:rPr>
        <w:t>3</w:t>
      </w:r>
      <w:r w:rsidR="00500FF7" w:rsidRPr="00E50224">
        <w:rPr>
          <w:rFonts w:ascii="Cambria" w:eastAsia="Yu Mincho" w:hAnsi="Cambria" w:cs="Times New Roman"/>
          <w:kern w:val="2"/>
          <w:sz w:val="20"/>
          <w:szCs w:val="22"/>
          <w:lang w:eastAsia="ja-JP"/>
        </w:rPr>
        <w:t>4</w:t>
      </w:r>
      <w:r w:rsidR="00500FF7" w:rsidRPr="00E50224">
        <w:rPr>
          <w:rFonts w:ascii="Cambria" w:hAnsi="Cambria"/>
          <w:sz w:val="20"/>
          <w:szCs w:val="20"/>
        </w:rPr>
        <w:t>, con miras a evaluar el estado y la trayectoria del stock, así como</w:t>
      </w:r>
      <w:r w:rsidR="00883966" w:rsidRPr="00E50224">
        <w:rPr>
          <w:rFonts w:ascii="Cambria" w:eastAsia="Times New Roman" w:hAnsi="Cambria" w:cs="Times New Roman"/>
          <w:sz w:val="20"/>
        </w:rPr>
        <w:t xml:space="preserve"> la eficacia de las acciones emprendidas en virtud de esta </w:t>
      </w:r>
      <w:r w:rsidR="008138C8" w:rsidRPr="00E50224">
        <w:rPr>
          <w:rFonts w:ascii="Cambria" w:eastAsia="Times New Roman" w:hAnsi="Cambria" w:cs="Times New Roman"/>
          <w:sz w:val="20"/>
        </w:rPr>
        <w:t xml:space="preserve">Recomendación </w:t>
      </w:r>
      <w:r w:rsidR="00500FF7" w:rsidRPr="00E50224">
        <w:rPr>
          <w:rFonts w:ascii="Cambria" w:hAnsi="Cambria"/>
          <w:sz w:val="20"/>
          <w:szCs w:val="20"/>
        </w:rPr>
        <w:t xml:space="preserve">y las enmiendas subsiguientes </w:t>
      </w:r>
      <w:r w:rsidR="00883966" w:rsidRPr="00E50224">
        <w:rPr>
          <w:rFonts w:ascii="Cambria" w:eastAsia="Times New Roman" w:hAnsi="Cambria" w:cs="Times New Roman"/>
          <w:sz w:val="20"/>
        </w:rPr>
        <w:t>para alcanzar los objetivos del programa de recuperación.</w:t>
      </w:r>
    </w:p>
    <w:p w14:paraId="7D44ABF4" w14:textId="4C95BC09" w:rsidR="009F2E6D" w:rsidRPr="00E50224" w:rsidRDefault="009F2E6D" w:rsidP="009F2E6D">
      <w:pPr>
        <w:tabs>
          <w:tab w:val="left" w:pos="426"/>
        </w:tabs>
        <w:jc w:val="both"/>
        <w:rPr>
          <w:rFonts w:ascii="Cambria" w:eastAsia="Times New Roman" w:hAnsi="Cambria" w:cs="Times New Roman"/>
          <w:sz w:val="20"/>
          <w:szCs w:val="20"/>
        </w:rPr>
      </w:pPr>
    </w:p>
    <w:p w14:paraId="275B810F" w14:textId="37C1AF54" w:rsidR="00D450E7" w:rsidRPr="00E50224" w:rsidRDefault="00D450E7" w:rsidP="009F2E6D">
      <w:pPr>
        <w:tabs>
          <w:tab w:val="left" w:pos="426"/>
        </w:tabs>
        <w:jc w:val="both"/>
        <w:rPr>
          <w:rFonts w:ascii="Cambria" w:eastAsia="Times New Roman" w:hAnsi="Cambria" w:cs="Times New Roman"/>
          <w:b/>
          <w:bCs/>
          <w:sz w:val="20"/>
          <w:szCs w:val="20"/>
        </w:rPr>
      </w:pPr>
      <w:r w:rsidRPr="00E50224">
        <w:rPr>
          <w:rFonts w:ascii="Cambria" w:eastAsia="Times New Roman" w:hAnsi="Cambria" w:cs="Times New Roman"/>
          <w:b/>
          <w:bCs/>
          <w:sz w:val="20"/>
          <w:szCs w:val="20"/>
        </w:rPr>
        <w:t>Implementación</w:t>
      </w:r>
    </w:p>
    <w:p w14:paraId="1C6FED2E" w14:textId="77777777" w:rsidR="00D450E7" w:rsidRPr="00E50224" w:rsidRDefault="00D450E7" w:rsidP="009F2E6D">
      <w:pPr>
        <w:tabs>
          <w:tab w:val="left" w:pos="426"/>
        </w:tabs>
        <w:jc w:val="both"/>
        <w:rPr>
          <w:rFonts w:ascii="Cambria" w:eastAsia="Times New Roman" w:hAnsi="Cambria" w:cs="Times New Roman"/>
          <w:b/>
          <w:bCs/>
          <w:sz w:val="20"/>
          <w:szCs w:val="20"/>
        </w:rPr>
      </w:pPr>
    </w:p>
    <w:p w14:paraId="7CA326F9" w14:textId="44C74C47" w:rsidR="009F2E6D" w:rsidRPr="00E50224" w:rsidRDefault="00832CCE" w:rsidP="00832CCE">
      <w:pPr>
        <w:ind w:left="567" w:hanging="567"/>
        <w:jc w:val="both"/>
        <w:rPr>
          <w:rFonts w:ascii="Cambria" w:eastAsia="Times New Roman" w:hAnsi="Cambria" w:cs="Times New Roman"/>
          <w:sz w:val="20"/>
          <w:szCs w:val="20"/>
        </w:rPr>
      </w:pPr>
      <w:r w:rsidRPr="00E50224">
        <w:rPr>
          <w:rFonts w:ascii="Cambria" w:eastAsia="Times New Roman" w:hAnsi="Cambria" w:cs="Times New Roman"/>
          <w:sz w:val="20"/>
        </w:rPr>
        <w:t>24</w:t>
      </w:r>
      <w:r w:rsidR="00E770BE" w:rsidRPr="00E50224">
        <w:rPr>
          <w:rFonts w:ascii="Cambria" w:eastAsia="Times New Roman" w:hAnsi="Cambria" w:cs="Times New Roman"/>
          <w:sz w:val="20"/>
        </w:rPr>
        <w:t>.</w:t>
      </w:r>
      <w:r w:rsidR="00E770BE" w:rsidRPr="00E50224">
        <w:rPr>
          <w:rFonts w:ascii="Cambria" w:eastAsia="Times New Roman" w:hAnsi="Cambria" w:cs="Times New Roman"/>
          <w:sz w:val="20"/>
        </w:rPr>
        <w:tab/>
      </w:r>
      <w:r w:rsidR="009F2E6D" w:rsidRPr="00E50224">
        <w:rPr>
          <w:rFonts w:ascii="Cambria" w:eastAsia="Times New Roman" w:hAnsi="Cambria" w:cs="Times New Roman"/>
          <w:sz w:val="20"/>
        </w:rPr>
        <w:t xml:space="preserve">Sin perjuicio de lo dispuesto en el párrafo 2 del Artículo VIII del Convenio, se alienta encarecidamente a las CPC a que apliquen </w:t>
      </w:r>
      <w:r w:rsidR="008138C8" w:rsidRPr="00E50224">
        <w:rPr>
          <w:rFonts w:ascii="Cambria" w:eastAsia="Times New Roman" w:hAnsi="Cambria" w:cs="Times New Roman"/>
          <w:sz w:val="20"/>
        </w:rPr>
        <w:t>de acuerdo con sus procedimientos reglamentarios</w:t>
      </w:r>
      <w:r w:rsidR="003B61DB" w:rsidRPr="00E50224">
        <w:rPr>
          <w:rFonts w:ascii="Cambria" w:eastAsia="Times New Roman" w:hAnsi="Cambria" w:cs="Times New Roman"/>
          <w:sz w:val="20"/>
        </w:rPr>
        <w:t xml:space="preserve"> esta Recomendación lo antes posible y</w:t>
      </w:r>
      <w:r w:rsidR="009F2E6D" w:rsidRPr="00E50224">
        <w:rPr>
          <w:rFonts w:ascii="Cambria" w:eastAsia="Times New Roman" w:hAnsi="Cambria" w:cs="Times New Roman"/>
          <w:sz w:val="20"/>
        </w:rPr>
        <w:t xml:space="preserve"> antes de la </w:t>
      </w:r>
      <w:r w:rsidR="003B61DB" w:rsidRPr="00E50224">
        <w:rPr>
          <w:rFonts w:ascii="Cambria" w:eastAsia="Times New Roman" w:hAnsi="Cambria" w:cs="Times New Roman"/>
          <w:sz w:val="20"/>
        </w:rPr>
        <w:t xml:space="preserve">fecha de </w:t>
      </w:r>
      <w:r w:rsidR="008138C8" w:rsidRPr="00E50224">
        <w:rPr>
          <w:rFonts w:ascii="Cambria" w:eastAsia="Times New Roman" w:hAnsi="Cambria" w:cs="Times New Roman"/>
          <w:sz w:val="20"/>
        </w:rPr>
        <w:t>su entrada</w:t>
      </w:r>
      <w:r w:rsidR="009F2E6D" w:rsidRPr="00E50224">
        <w:rPr>
          <w:rFonts w:ascii="Cambria" w:eastAsia="Times New Roman" w:hAnsi="Cambria" w:cs="Times New Roman"/>
          <w:sz w:val="20"/>
        </w:rPr>
        <w:t xml:space="preserve"> en vigor </w:t>
      </w:r>
    </w:p>
    <w:p w14:paraId="131ADF28" w14:textId="66A5C9B7" w:rsidR="00E770BE" w:rsidRPr="00E50224" w:rsidRDefault="00E770BE" w:rsidP="00210231">
      <w:pPr>
        <w:tabs>
          <w:tab w:val="left" w:pos="426"/>
        </w:tabs>
        <w:jc w:val="both"/>
        <w:rPr>
          <w:rFonts w:ascii="Cambria" w:hAnsi="Cambria"/>
          <w:sz w:val="20"/>
          <w:szCs w:val="20"/>
        </w:rPr>
      </w:pPr>
    </w:p>
    <w:p w14:paraId="59027286" w14:textId="5355EECE" w:rsidR="001C29C1" w:rsidRPr="00E50224" w:rsidRDefault="00296085" w:rsidP="00296085">
      <w:pPr>
        <w:ind w:left="567" w:hanging="567"/>
        <w:jc w:val="both"/>
        <w:rPr>
          <w:rFonts w:ascii="Cambria" w:hAnsi="Cambria"/>
          <w:sz w:val="20"/>
        </w:rPr>
      </w:pPr>
      <w:r w:rsidRPr="00E50224">
        <w:rPr>
          <w:rFonts w:ascii="Cambria" w:eastAsia="Times New Roman" w:hAnsi="Cambria" w:cs="Times New Roman"/>
          <w:sz w:val="20"/>
        </w:rPr>
        <w:t>25.</w:t>
      </w:r>
      <w:r w:rsidR="0033326E" w:rsidRPr="00E50224">
        <w:rPr>
          <w:rFonts w:ascii="Cambria" w:eastAsia="Times New Roman" w:hAnsi="Cambria" w:cs="Times New Roman"/>
          <w:sz w:val="20"/>
        </w:rPr>
        <w:t xml:space="preserve"> </w:t>
      </w:r>
      <w:r w:rsidRPr="00E50224">
        <w:rPr>
          <w:rFonts w:ascii="Cambria" w:eastAsia="Times New Roman" w:hAnsi="Cambria" w:cs="Times New Roman"/>
          <w:sz w:val="20"/>
        </w:rPr>
        <w:tab/>
      </w:r>
      <w:r w:rsidR="0033326E" w:rsidRPr="00E50224">
        <w:rPr>
          <w:rFonts w:ascii="Cambria" w:eastAsia="Times New Roman" w:hAnsi="Cambria" w:cs="Times New Roman"/>
          <w:sz w:val="20"/>
        </w:rPr>
        <w:t xml:space="preserve">En </w:t>
      </w:r>
      <w:r w:rsidR="001C29C1" w:rsidRPr="00E50224">
        <w:rPr>
          <w:rFonts w:ascii="Cambria" w:eastAsia="Yu Mincho" w:hAnsi="Cambria" w:cs="Times New Roman"/>
          <w:kern w:val="2"/>
          <w:sz w:val="20"/>
          <w:szCs w:val="22"/>
          <w:lang w:eastAsia="ja-JP"/>
        </w:rPr>
        <w:t>202</w:t>
      </w:r>
      <w:r w:rsidR="002A1BF8" w:rsidRPr="00E50224">
        <w:rPr>
          <w:rFonts w:ascii="Cambria" w:eastAsia="Yu Mincho" w:hAnsi="Cambria" w:cs="Times New Roman"/>
          <w:kern w:val="2"/>
          <w:sz w:val="20"/>
          <w:szCs w:val="22"/>
          <w:lang w:eastAsia="ja-JP"/>
        </w:rPr>
        <w:t>3</w:t>
      </w:r>
      <w:r w:rsidR="0033326E" w:rsidRPr="00E50224">
        <w:rPr>
          <w:rFonts w:ascii="Cambria" w:eastAsia="Times New Roman" w:hAnsi="Cambria" w:cs="Times New Roman"/>
          <w:sz w:val="20"/>
        </w:rPr>
        <w:t>, se celebrará una reunión intersesiones de la Subcomisión 4 para fomentar el intercambio entre las CPC sobre las mejores prácticas para reducir los encuentros, las capturas y la mortalidad por pesca del marrajo dientuso. La Subcomisión 4 buscará la contribución de los operadores pesqueros</w:t>
      </w:r>
      <w:r w:rsidR="001C29C1" w:rsidRPr="00E50224">
        <w:rPr>
          <w:rFonts w:ascii="Cambria" w:eastAsia="Times New Roman" w:hAnsi="Cambria" w:cs="Times New Roman"/>
          <w:sz w:val="20"/>
        </w:rPr>
        <w:t xml:space="preserve">, </w:t>
      </w:r>
      <w:r w:rsidR="001C29C1" w:rsidRPr="00E50224">
        <w:rPr>
          <w:rFonts w:ascii="Cambria" w:hAnsi="Cambria"/>
          <w:sz w:val="20"/>
        </w:rPr>
        <w:t xml:space="preserve">otras partes interesadas y científicos, e instará a su participación en esta reunión. Todas las recomendaciones de esta reunión sobre medidas técnicas </w:t>
      </w:r>
      <w:r w:rsidR="00216017" w:rsidRPr="00E50224">
        <w:rPr>
          <w:rFonts w:ascii="Cambria" w:hAnsi="Cambria"/>
          <w:sz w:val="20"/>
        </w:rPr>
        <w:t>eficaces</w:t>
      </w:r>
      <w:r w:rsidR="001C29C1" w:rsidRPr="00E50224">
        <w:rPr>
          <w:rFonts w:ascii="Cambria" w:hAnsi="Cambria"/>
          <w:sz w:val="20"/>
        </w:rPr>
        <w:t xml:space="preserve"> que tengan el potencial de reducir la mortalidad por pesca para el marrajo dientuso se remitirán al SCRS para su revisión y consideración. Basándose en esta revisión, en </w:t>
      </w:r>
      <w:r w:rsidR="001C29C1" w:rsidRPr="00E50224">
        <w:rPr>
          <w:rFonts w:ascii="Cambria" w:eastAsia="Yu Mincho" w:hAnsi="Cambria" w:cs="Times New Roman"/>
          <w:kern w:val="2"/>
          <w:sz w:val="20"/>
          <w:szCs w:val="22"/>
          <w:lang w:eastAsia="ja-JP"/>
        </w:rPr>
        <w:t>202</w:t>
      </w:r>
      <w:r w:rsidR="002A1BF8" w:rsidRPr="00E50224">
        <w:rPr>
          <w:rFonts w:ascii="Cambria" w:eastAsia="Yu Mincho" w:hAnsi="Cambria" w:cs="Times New Roman"/>
          <w:kern w:val="2"/>
          <w:sz w:val="20"/>
          <w:szCs w:val="22"/>
          <w:lang w:eastAsia="ja-JP"/>
        </w:rPr>
        <w:t>4</w:t>
      </w:r>
      <w:r w:rsidR="001C29C1" w:rsidRPr="00E50224">
        <w:rPr>
          <w:rFonts w:ascii="Cambria" w:hAnsi="Cambria"/>
          <w:sz w:val="20"/>
        </w:rPr>
        <w:t xml:space="preserve">, el SCRS asesorará a la Comisión sobre las medidas técnicas más </w:t>
      </w:r>
      <w:r w:rsidR="00216017" w:rsidRPr="00E50224">
        <w:rPr>
          <w:rFonts w:ascii="Cambria" w:hAnsi="Cambria"/>
          <w:sz w:val="20"/>
        </w:rPr>
        <w:t>eficaces</w:t>
      </w:r>
      <w:r w:rsidR="001C29C1" w:rsidRPr="00E50224">
        <w:rPr>
          <w:rFonts w:ascii="Cambria" w:hAnsi="Cambria"/>
          <w:sz w:val="20"/>
        </w:rPr>
        <w:t xml:space="preserve"> que se deberían implementar para reducir la mortalidad por pesca del marrajo dientuso, a la vez que facilitará información y asesoramiento sobre </w:t>
      </w:r>
      <w:r w:rsidR="00B5162F" w:rsidRPr="00E50224">
        <w:rPr>
          <w:rFonts w:ascii="Cambria" w:hAnsi="Cambria"/>
          <w:sz w:val="20"/>
        </w:rPr>
        <w:t>la compensación de factores</w:t>
      </w:r>
      <w:r w:rsidR="001C29C1" w:rsidRPr="00E50224">
        <w:rPr>
          <w:rFonts w:ascii="Cambria" w:hAnsi="Cambria"/>
          <w:sz w:val="20"/>
        </w:rPr>
        <w:t xml:space="preserve"> para las capturas de las especies objetivo </w:t>
      </w:r>
      <w:r w:rsidR="00216017" w:rsidRPr="00E50224">
        <w:rPr>
          <w:rFonts w:ascii="Cambria" w:hAnsi="Cambria"/>
          <w:sz w:val="20"/>
        </w:rPr>
        <w:t>por</w:t>
      </w:r>
      <w:r w:rsidR="001C29C1" w:rsidRPr="00E50224">
        <w:rPr>
          <w:rFonts w:ascii="Cambria" w:hAnsi="Cambria"/>
          <w:sz w:val="20"/>
        </w:rPr>
        <w:t xml:space="preserve"> pesquería.</w:t>
      </w:r>
    </w:p>
    <w:p w14:paraId="19528E8D" w14:textId="0B8D954F" w:rsidR="001C29C1" w:rsidRPr="00E50224" w:rsidRDefault="001C29C1" w:rsidP="0033326E">
      <w:pPr>
        <w:tabs>
          <w:tab w:val="left" w:pos="426"/>
        </w:tabs>
        <w:ind w:left="426" w:hanging="426"/>
        <w:contextualSpacing/>
        <w:jc w:val="both"/>
        <w:rPr>
          <w:rFonts w:ascii="Cambria" w:eastAsia="Times New Roman" w:hAnsi="Cambria" w:cs="Times New Roman"/>
          <w:sz w:val="20"/>
        </w:rPr>
      </w:pPr>
    </w:p>
    <w:p w14:paraId="70241F45" w14:textId="4BBF2FB2" w:rsidR="00210231" w:rsidRPr="00E50224" w:rsidRDefault="002A1BF8" w:rsidP="00210231">
      <w:pPr>
        <w:tabs>
          <w:tab w:val="left" w:pos="426"/>
        </w:tabs>
        <w:jc w:val="both"/>
        <w:rPr>
          <w:rFonts w:ascii="Cambria" w:hAnsi="Cambria"/>
          <w:b/>
          <w:bCs/>
          <w:sz w:val="20"/>
          <w:szCs w:val="20"/>
        </w:rPr>
      </w:pPr>
      <w:r w:rsidRPr="00E50224">
        <w:rPr>
          <w:rFonts w:ascii="Cambria" w:eastAsia="Yu Mincho" w:hAnsi="Cambria" w:cs="Times New Roman"/>
          <w:b/>
          <w:bCs/>
          <w:kern w:val="2"/>
          <w:sz w:val="20"/>
          <w:szCs w:val="22"/>
          <w:lang w:eastAsia="ja-JP"/>
        </w:rPr>
        <w:t>Revisión y</w:t>
      </w:r>
      <w:r w:rsidRPr="00E50224">
        <w:rPr>
          <w:rFonts w:ascii="Cambria" w:hAnsi="Cambria"/>
          <w:b/>
          <w:sz w:val="20"/>
        </w:rPr>
        <w:t xml:space="preserve"> revocación</w:t>
      </w:r>
    </w:p>
    <w:p w14:paraId="3FB00947" w14:textId="77777777" w:rsidR="00210231" w:rsidRPr="00E50224" w:rsidRDefault="00210231" w:rsidP="00210231">
      <w:pPr>
        <w:tabs>
          <w:tab w:val="left" w:pos="426"/>
        </w:tabs>
        <w:jc w:val="both"/>
        <w:rPr>
          <w:rFonts w:ascii="Cambria" w:hAnsi="Cambria"/>
          <w:sz w:val="20"/>
          <w:szCs w:val="20"/>
        </w:rPr>
      </w:pPr>
    </w:p>
    <w:p w14:paraId="5B125491" w14:textId="47E4B927" w:rsidR="00311F15" w:rsidRPr="00E50224" w:rsidRDefault="00296085" w:rsidP="00296085">
      <w:pPr>
        <w:ind w:left="567" w:hanging="567"/>
        <w:jc w:val="both"/>
        <w:rPr>
          <w:rFonts w:ascii="Cambria" w:hAnsi="Cambria"/>
          <w:sz w:val="20"/>
        </w:rPr>
      </w:pPr>
      <w:r w:rsidRPr="00E50224">
        <w:rPr>
          <w:rFonts w:ascii="Cambria" w:hAnsi="Cambria"/>
          <w:sz w:val="20"/>
        </w:rPr>
        <w:t>26</w:t>
      </w:r>
      <w:r w:rsidR="00F74D98" w:rsidRPr="00E50224">
        <w:rPr>
          <w:rFonts w:ascii="Cambria" w:hAnsi="Cambria"/>
          <w:sz w:val="20"/>
        </w:rPr>
        <w:t>.</w:t>
      </w:r>
      <w:r w:rsidR="00D450E7" w:rsidRPr="00E50224">
        <w:rPr>
          <w:rFonts w:ascii="Cambria" w:hAnsi="Cambria"/>
          <w:sz w:val="20"/>
        </w:rPr>
        <w:tab/>
      </w:r>
      <w:r w:rsidR="00E22DCB" w:rsidRPr="00E50224">
        <w:rPr>
          <w:rFonts w:ascii="Cambria" w:eastAsia="Times New Roman" w:hAnsi="Cambria" w:cs="Times New Roman"/>
          <w:sz w:val="20"/>
        </w:rPr>
        <w:t>Esta</w:t>
      </w:r>
      <w:r w:rsidR="00E22DCB" w:rsidRPr="00E50224">
        <w:rPr>
          <w:rFonts w:ascii="Cambria" w:hAnsi="Cambria"/>
          <w:sz w:val="20"/>
        </w:rPr>
        <w:t xml:space="preserve"> Recomendación revoca y sustituye a </w:t>
      </w:r>
      <w:r w:rsidR="000A251F" w:rsidRPr="00E50224">
        <w:rPr>
          <w:rFonts w:ascii="Cambria" w:hAnsi="Cambria"/>
          <w:sz w:val="20"/>
        </w:rPr>
        <w:t xml:space="preserve">la </w:t>
      </w:r>
      <w:r w:rsidR="000A251F" w:rsidRPr="00E50224">
        <w:rPr>
          <w:rFonts w:ascii="Cambria" w:hAnsi="Cambria"/>
          <w:i/>
          <w:iCs/>
          <w:sz w:val="20"/>
        </w:rPr>
        <w:t>Recomendación</w:t>
      </w:r>
      <w:r w:rsidR="00E22DCB" w:rsidRPr="00E50224">
        <w:rPr>
          <w:rFonts w:ascii="Cambria" w:hAnsi="Cambria"/>
          <w:i/>
          <w:iCs/>
          <w:sz w:val="20"/>
        </w:rPr>
        <w:t xml:space="preserve"> de ICCAT sobre la conservación del stock de marrajo dientuso del Atlántico norte capturado en asociación con pesquerías de ICCAT </w:t>
      </w:r>
      <w:r w:rsidR="000A251F" w:rsidRPr="00E50224">
        <w:rPr>
          <w:rFonts w:ascii="Cambria" w:hAnsi="Cambria"/>
          <w:sz w:val="20"/>
        </w:rPr>
        <w:t>(</w:t>
      </w:r>
      <w:r w:rsidR="00E22DCB" w:rsidRPr="00E50224">
        <w:rPr>
          <w:rFonts w:ascii="Cambria" w:hAnsi="Cambria"/>
          <w:sz w:val="20"/>
        </w:rPr>
        <w:t>Rec. 19-06).</w:t>
      </w:r>
      <w:r w:rsidR="00AA6388" w:rsidRPr="00E50224">
        <w:rPr>
          <w:rFonts w:ascii="Cambria" w:hAnsi="Cambria"/>
          <w:sz w:val="20"/>
        </w:rPr>
        <w:t xml:space="preserve"> </w:t>
      </w:r>
    </w:p>
    <w:p w14:paraId="4FC81DD6" w14:textId="77777777" w:rsidR="00311F15" w:rsidRPr="00E50224" w:rsidRDefault="00311F15" w:rsidP="00AA6388">
      <w:pPr>
        <w:ind w:left="397" w:hanging="397"/>
        <w:jc w:val="both"/>
        <w:rPr>
          <w:rFonts w:ascii="Cambria" w:hAnsi="Cambria"/>
          <w:sz w:val="20"/>
        </w:rPr>
      </w:pPr>
    </w:p>
    <w:p w14:paraId="2D7D6D73" w14:textId="61F699AE" w:rsidR="00AA6388" w:rsidRPr="00E50224" w:rsidRDefault="00296085" w:rsidP="00296085">
      <w:pPr>
        <w:ind w:left="567" w:hanging="567"/>
        <w:jc w:val="both"/>
        <w:rPr>
          <w:rFonts w:ascii="Cambria" w:hAnsi="Cambria"/>
          <w:bCs/>
          <w:sz w:val="20"/>
          <w:szCs w:val="20"/>
        </w:rPr>
      </w:pPr>
      <w:r w:rsidRPr="00E50224">
        <w:rPr>
          <w:rFonts w:ascii="Cambria" w:hAnsi="Cambria"/>
          <w:sz w:val="20"/>
        </w:rPr>
        <w:t>27.</w:t>
      </w:r>
      <w:r w:rsidR="00311F15" w:rsidRPr="00E50224">
        <w:rPr>
          <w:rFonts w:ascii="Cambria" w:hAnsi="Cambria"/>
          <w:sz w:val="20"/>
        </w:rPr>
        <w:t xml:space="preserve"> </w:t>
      </w:r>
      <w:r w:rsidRPr="00E50224">
        <w:rPr>
          <w:rFonts w:ascii="Cambria" w:hAnsi="Cambria"/>
          <w:sz w:val="20"/>
        </w:rPr>
        <w:tab/>
      </w:r>
      <w:r w:rsidR="00311F15" w:rsidRPr="00E50224">
        <w:rPr>
          <w:rFonts w:ascii="Cambria" w:hAnsi="Cambria"/>
          <w:sz w:val="20"/>
        </w:rPr>
        <w:t>En su reunión anual de 2024</w:t>
      </w:r>
      <w:r w:rsidR="00D43ED8" w:rsidRPr="00E50224">
        <w:rPr>
          <w:rFonts w:ascii="Cambria" w:hAnsi="Cambria"/>
          <w:sz w:val="20"/>
        </w:rPr>
        <w:t>, la Comisión revisará esta medida con respecto a los objetivos del programa de recuperación, teniendo en cuenta el asesoramiento recibido del SCRS, lo que incluye</w:t>
      </w:r>
      <w:r w:rsidR="00AA6388" w:rsidRPr="00E50224">
        <w:rPr>
          <w:rFonts w:ascii="Cambria" w:hAnsi="Cambria"/>
          <w:sz w:val="20"/>
        </w:rPr>
        <w:t xml:space="preserve"> el asesoramiento relativo </w:t>
      </w:r>
      <w:r w:rsidR="00216017" w:rsidRPr="00E50224">
        <w:rPr>
          <w:rFonts w:ascii="Cambria" w:hAnsi="Cambria"/>
          <w:sz w:val="20"/>
        </w:rPr>
        <w:t xml:space="preserve">a los apartados </w:t>
      </w:r>
      <w:r w:rsidRPr="00E50224">
        <w:rPr>
          <w:rFonts w:ascii="Cambria" w:hAnsi="Cambria"/>
          <w:sz w:val="20"/>
        </w:rPr>
        <w:t>2</w:t>
      </w:r>
      <w:r w:rsidR="00AA6388" w:rsidRPr="00E50224">
        <w:rPr>
          <w:rFonts w:ascii="Cambria" w:hAnsi="Cambria"/>
          <w:sz w:val="20"/>
        </w:rPr>
        <w:t>1(a) y (b), así como los debates en la Subcomisión 4.</w:t>
      </w:r>
    </w:p>
    <w:p w14:paraId="485EFC05" w14:textId="77777777" w:rsidR="00AA6388" w:rsidRPr="00E50224" w:rsidRDefault="00AA6388" w:rsidP="00AA6388">
      <w:pPr>
        <w:ind w:left="397" w:hanging="397"/>
        <w:rPr>
          <w:rFonts w:ascii="Cambria" w:hAnsi="Cambria"/>
          <w:sz w:val="20"/>
        </w:rPr>
      </w:pPr>
    </w:p>
    <w:p w14:paraId="3AEB8157" w14:textId="3FE3E2A2" w:rsidR="00AA6388" w:rsidRPr="00E50224" w:rsidRDefault="00296085" w:rsidP="00296085">
      <w:pPr>
        <w:ind w:left="567" w:hanging="567"/>
        <w:jc w:val="both"/>
        <w:rPr>
          <w:rFonts w:ascii="Cambria" w:hAnsi="Cambria" w:cs="Times New Roman"/>
          <w:b/>
          <w:bCs/>
          <w:sz w:val="20"/>
          <w:szCs w:val="20"/>
        </w:rPr>
      </w:pPr>
      <w:r w:rsidRPr="00E50224">
        <w:rPr>
          <w:rFonts w:ascii="Cambria" w:hAnsi="Cambria"/>
          <w:sz w:val="20"/>
        </w:rPr>
        <w:t>28</w:t>
      </w:r>
      <w:r w:rsidR="00E719FA" w:rsidRPr="00E50224">
        <w:rPr>
          <w:rFonts w:ascii="Cambria" w:hAnsi="Cambria"/>
          <w:sz w:val="20"/>
        </w:rPr>
        <w:t>.</w:t>
      </w:r>
      <w:r w:rsidR="00AA6388" w:rsidRPr="00E50224">
        <w:rPr>
          <w:rFonts w:ascii="Cambria" w:hAnsi="Cambria"/>
          <w:sz w:val="20"/>
        </w:rPr>
        <w:t xml:space="preserve"> </w:t>
      </w:r>
      <w:r w:rsidRPr="00E50224">
        <w:rPr>
          <w:rFonts w:ascii="Cambria" w:hAnsi="Cambria"/>
          <w:sz w:val="20"/>
        </w:rPr>
        <w:tab/>
      </w:r>
      <w:r w:rsidR="00E719FA" w:rsidRPr="00E50224">
        <w:rPr>
          <w:rFonts w:ascii="Cambria" w:hAnsi="Cambria"/>
          <w:sz w:val="20"/>
        </w:rPr>
        <w:t>L</w:t>
      </w:r>
      <w:r w:rsidR="00AA6388" w:rsidRPr="00E50224">
        <w:rPr>
          <w:rFonts w:ascii="Cambria" w:hAnsi="Cambria"/>
          <w:sz w:val="20"/>
        </w:rPr>
        <w:t>a Comisión revisará esta medida</w:t>
      </w:r>
      <w:r w:rsidR="00B91798" w:rsidRPr="00E50224">
        <w:rPr>
          <w:rFonts w:ascii="Cambria" w:hAnsi="Cambria"/>
          <w:sz w:val="20"/>
        </w:rPr>
        <w:t>, a más tardar en la reunión anual de 2024,</w:t>
      </w:r>
      <w:r w:rsidR="00AA6388" w:rsidRPr="00E50224">
        <w:rPr>
          <w:rFonts w:ascii="Cambria" w:hAnsi="Cambria"/>
          <w:sz w:val="20"/>
        </w:rPr>
        <w:t xml:space="preserve"> para considerar medidas adicionales para reducir la mortalidad por</w:t>
      </w:r>
      <w:r w:rsidR="00E719FA" w:rsidRPr="00E50224">
        <w:rPr>
          <w:rFonts w:ascii="Cambria" w:hAnsi="Cambria"/>
          <w:sz w:val="20"/>
        </w:rPr>
        <w:t xml:space="preserve"> </w:t>
      </w:r>
      <w:r w:rsidR="00AA6388" w:rsidRPr="00E50224">
        <w:rPr>
          <w:rFonts w:ascii="Cambria" w:hAnsi="Cambria"/>
          <w:sz w:val="20"/>
        </w:rPr>
        <w:t>pesca total.</w:t>
      </w:r>
    </w:p>
    <w:p w14:paraId="574B5050" w14:textId="35CC952A" w:rsidR="00E22DCB" w:rsidRPr="00E50224" w:rsidRDefault="00E22DCB">
      <w:pPr>
        <w:rPr>
          <w:rFonts w:cs="Times New Roman"/>
          <w:sz w:val="20"/>
          <w:szCs w:val="20"/>
        </w:rPr>
      </w:pPr>
      <w:r w:rsidRPr="00E50224">
        <w:br w:type="page"/>
      </w:r>
    </w:p>
    <w:p w14:paraId="56153397" w14:textId="77777777" w:rsidR="00E550B4" w:rsidRPr="00E50224" w:rsidRDefault="00E550B4" w:rsidP="00F60466">
      <w:pPr>
        <w:tabs>
          <w:tab w:val="left" w:pos="3080"/>
        </w:tabs>
        <w:rPr>
          <w:rFonts w:cs="Times New Roman"/>
          <w:sz w:val="22"/>
          <w:szCs w:val="22"/>
        </w:rPr>
        <w:sectPr w:rsidR="00E550B4" w:rsidRPr="00E50224" w:rsidSect="00A26357">
          <w:headerReference w:type="default" r:id="rId8"/>
          <w:footerReference w:type="default" r:id="rId9"/>
          <w:pgSz w:w="11906" w:h="16838" w:code="9"/>
          <w:pgMar w:top="1418" w:right="1418" w:bottom="1418" w:left="1418" w:header="851" w:footer="1134" w:gutter="0"/>
          <w:cols w:space="720"/>
        </w:sectPr>
      </w:pPr>
    </w:p>
    <w:p w14:paraId="721E4F82" w14:textId="77777777" w:rsidR="00CF52B5" w:rsidRPr="00E50224" w:rsidRDefault="00CF52B5" w:rsidP="00CF52B5">
      <w:pPr>
        <w:rPr>
          <w:rFonts w:ascii="Cambria" w:hAnsi="Cambria" w:cs="Times New Roman"/>
          <w:b/>
          <w:bCs/>
          <w:sz w:val="20"/>
          <w:szCs w:val="20"/>
        </w:rPr>
      </w:pPr>
    </w:p>
    <w:p w14:paraId="0FDD18A1" w14:textId="77777777" w:rsidR="00CF52B5" w:rsidRPr="00E50224" w:rsidRDefault="00CF52B5" w:rsidP="00CF52B5">
      <w:pPr>
        <w:rPr>
          <w:rFonts w:ascii="Cambria" w:hAnsi="Cambria" w:cs="Times New Roman"/>
          <w:b/>
          <w:bCs/>
          <w:sz w:val="20"/>
          <w:szCs w:val="20"/>
        </w:rPr>
      </w:pPr>
    </w:p>
    <w:p w14:paraId="30068945" w14:textId="77777777" w:rsidR="00CF52B5" w:rsidRPr="00E50224" w:rsidRDefault="00CF52B5" w:rsidP="00CF52B5">
      <w:pPr>
        <w:tabs>
          <w:tab w:val="left" w:pos="3080"/>
        </w:tabs>
        <w:jc w:val="right"/>
        <w:rPr>
          <w:rFonts w:ascii="Cambria" w:eastAsia="Times New Roman" w:hAnsi="Cambria" w:cs="Times New Roman"/>
          <w:b/>
          <w:sz w:val="20"/>
          <w:szCs w:val="20"/>
        </w:rPr>
      </w:pPr>
      <w:r w:rsidRPr="00E50224">
        <w:rPr>
          <w:rFonts w:ascii="Cambria" w:hAnsi="Cambria"/>
          <w:b/>
          <w:sz w:val="20"/>
        </w:rPr>
        <w:t xml:space="preserve">Anexo 1 </w:t>
      </w:r>
    </w:p>
    <w:p w14:paraId="05CCD910" w14:textId="77777777" w:rsidR="00CF52B5" w:rsidRPr="00E50224" w:rsidRDefault="00CF52B5" w:rsidP="00CF52B5">
      <w:pPr>
        <w:tabs>
          <w:tab w:val="left" w:pos="426"/>
        </w:tabs>
        <w:jc w:val="center"/>
        <w:rPr>
          <w:rFonts w:ascii="Cambria" w:eastAsia="Times New Roman" w:hAnsi="Cambria" w:cs="Times New Roman"/>
          <w:b/>
          <w:sz w:val="20"/>
          <w:szCs w:val="20"/>
        </w:rPr>
      </w:pPr>
      <w:r w:rsidRPr="00E50224">
        <w:rPr>
          <w:rFonts w:ascii="Cambria" w:hAnsi="Cambria"/>
          <w:b/>
          <w:sz w:val="20"/>
        </w:rPr>
        <w:t xml:space="preserve">Proceso para determinar una posible retención </w:t>
      </w:r>
    </w:p>
    <w:p w14:paraId="1EAFE8BF" w14:textId="77777777" w:rsidR="00CF52B5" w:rsidRPr="00E50224" w:rsidRDefault="00CF52B5" w:rsidP="00CF52B5">
      <w:pPr>
        <w:tabs>
          <w:tab w:val="left" w:pos="426"/>
        </w:tabs>
        <w:ind w:left="426" w:hanging="426"/>
        <w:jc w:val="center"/>
        <w:rPr>
          <w:rFonts w:ascii="Cambria" w:eastAsia="Times New Roman" w:hAnsi="Cambria" w:cs="Times New Roman"/>
          <w:sz w:val="20"/>
          <w:szCs w:val="20"/>
        </w:rPr>
      </w:pPr>
    </w:p>
    <w:p w14:paraId="2BBEAB11" w14:textId="77777777" w:rsidR="00CF52B5" w:rsidRPr="00E50224" w:rsidRDefault="00CF52B5" w:rsidP="00CF52B5">
      <w:pPr>
        <w:numPr>
          <w:ilvl w:val="0"/>
          <w:numId w:val="36"/>
        </w:numPr>
        <w:pBdr>
          <w:top w:val="nil"/>
          <w:left w:val="nil"/>
          <w:bottom w:val="nil"/>
          <w:right w:val="nil"/>
          <w:between w:val="nil"/>
        </w:pBdr>
        <w:spacing w:line="220" w:lineRule="auto"/>
        <w:ind w:left="360"/>
        <w:jc w:val="both"/>
        <w:rPr>
          <w:rFonts w:ascii="Cambria" w:eastAsia="Times New Roman" w:hAnsi="Cambria" w:cs="Times New Roman"/>
          <w:color w:val="000000"/>
          <w:sz w:val="20"/>
          <w:szCs w:val="20"/>
        </w:rPr>
      </w:pPr>
      <w:r w:rsidRPr="00E50224">
        <w:rPr>
          <w:rFonts w:ascii="Cambria" w:hAnsi="Cambria"/>
          <w:color w:val="000000"/>
          <w:sz w:val="20"/>
        </w:rPr>
        <w:t>Para determinar si una retención está permitida, se aplicarán las siguientes normas a la hora de tomar decisiones en materia de ordenación en el año Y:</w:t>
      </w:r>
    </w:p>
    <w:p w14:paraId="4CB5840A" w14:textId="77777777" w:rsidR="00CF52B5" w:rsidRPr="00E50224" w:rsidRDefault="00CF52B5" w:rsidP="00CF52B5">
      <w:pPr>
        <w:spacing w:line="220" w:lineRule="auto"/>
        <w:jc w:val="both"/>
        <w:rPr>
          <w:rFonts w:ascii="Cambria" w:eastAsia="Times New Roman" w:hAnsi="Cambria" w:cs="Times New Roman"/>
          <w:sz w:val="20"/>
          <w:szCs w:val="20"/>
        </w:rPr>
      </w:pPr>
    </w:p>
    <w:p w14:paraId="6A975DCE" w14:textId="77777777" w:rsidR="00CF52B5" w:rsidRPr="00E50224" w:rsidRDefault="00CF52B5" w:rsidP="00CF52B5">
      <w:pPr>
        <w:numPr>
          <w:ilvl w:val="0"/>
          <w:numId w:val="35"/>
        </w:numPr>
        <w:jc w:val="both"/>
        <w:rPr>
          <w:rFonts w:ascii="Cambria" w:eastAsia="Times New Roman" w:hAnsi="Cambria" w:cs="Times New Roman"/>
          <w:sz w:val="20"/>
          <w:szCs w:val="20"/>
        </w:rPr>
      </w:pPr>
      <w:r w:rsidRPr="00E50224">
        <w:rPr>
          <w:rFonts w:ascii="Cambria" w:hAnsi="Cambria"/>
          <w:sz w:val="20"/>
        </w:rPr>
        <w:t>Todas las fuentes de mortalidad por pesca para el año anterior (Y-1) serán estimadas por el SCRS basándose en los datos presentados por las CPC, así como en pruebas científicas actualizadas. En el caso de que no todas las CPC comuniquen todos los datos requeridos y conjuntos de datos completos para Y-1 (es decir, descartes de ejemplares muertos, liberaciones de ejemplares vivos y, cuando esté permitido, retenciones) o si el SCRS determina que los datos proporcionados por una CPC no están bien fundamentados desde el punto de vista científico, el SCRS proporcionará estimaciones, según proceda, para rellenar cualquier laguna de datos conocida.</w:t>
      </w:r>
    </w:p>
    <w:p w14:paraId="4BF6906F" w14:textId="77777777" w:rsidR="00CF52B5" w:rsidRPr="00E50224" w:rsidRDefault="00CF52B5" w:rsidP="00CF52B5">
      <w:pPr>
        <w:ind w:left="720"/>
        <w:jc w:val="both"/>
        <w:rPr>
          <w:rFonts w:ascii="Cambria" w:eastAsia="Times New Roman" w:hAnsi="Cambria" w:cs="Times New Roman"/>
          <w:sz w:val="20"/>
          <w:szCs w:val="20"/>
        </w:rPr>
      </w:pPr>
    </w:p>
    <w:p w14:paraId="4D0FE20B" w14:textId="311C7F35" w:rsidR="00CF52B5" w:rsidRPr="00E50224" w:rsidRDefault="00CF52B5" w:rsidP="00CF52B5">
      <w:pPr>
        <w:numPr>
          <w:ilvl w:val="0"/>
          <w:numId w:val="35"/>
        </w:numPr>
        <w:jc w:val="both"/>
        <w:rPr>
          <w:rFonts w:ascii="Cambria" w:eastAsia="Times New Roman" w:hAnsi="Cambria" w:cs="Times New Roman"/>
          <w:color w:val="000000"/>
          <w:sz w:val="20"/>
          <w:szCs w:val="20"/>
        </w:rPr>
      </w:pPr>
      <w:r w:rsidRPr="00E50224">
        <w:rPr>
          <w:rFonts w:ascii="Cambria" w:hAnsi="Cambria"/>
          <w:sz w:val="20"/>
        </w:rPr>
        <w:t xml:space="preserve">La mortalidad total por pesca de todas las fuentes para el año Y-1, calculada en el </w:t>
      </w:r>
      <w:r w:rsidR="00AE2FC9" w:rsidRPr="00E50224">
        <w:rPr>
          <w:rFonts w:ascii="Cambria" w:hAnsi="Cambria"/>
          <w:sz w:val="20"/>
        </w:rPr>
        <w:t>apartado</w:t>
      </w:r>
      <w:r w:rsidRPr="00E50224">
        <w:rPr>
          <w:rFonts w:ascii="Cambria" w:hAnsi="Cambria"/>
          <w:sz w:val="20"/>
        </w:rPr>
        <w:t xml:space="preserve"> 1(a) del </w:t>
      </w:r>
      <w:r w:rsidRPr="00E50224">
        <w:rPr>
          <w:rFonts w:ascii="Cambria" w:hAnsi="Cambria"/>
          <w:b/>
          <w:bCs/>
          <w:sz w:val="20"/>
        </w:rPr>
        <w:t>Anexo 1</w:t>
      </w:r>
      <w:r w:rsidRPr="00E50224">
        <w:rPr>
          <w:rFonts w:ascii="Cambria" w:hAnsi="Cambria"/>
          <w:sz w:val="20"/>
        </w:rPr>
        <w:t xml:space="preserve">, se resta de la cifra establecida en el párrafo </w:t>
      </w:r>
      <w:r w:rsidR="00296085" w:rsidRPr="00E50224">
        <w:rPr>
          <w:rFonts w:ascii="Cambria" w:hAnsi="Cambria"/>
          <w:sz w:val="20"/>
        </w:rPr>
        <w:t>4</w:t>
      </w:r>
      <w:r w:rsidRPr="00E50224">
        <w:rPr>
          <w:rFonts w:ascii="Cambria" w:hAnsi="Cambria"/>
          <w:sz w:val="20"/>
        </w:rPr>
        <w:t xml:space="preserve">. </w:t>
      </w:r>
      <w:r w:rsidR="00AE2FC9" w:rsidRPr="00E50224">
        <w:rPr>
          <w:rFonts w:ascii="Cambria" w:hAnsi="Cambria"/>
          <w:sz w:val="20"/>
        </w:rPr>
        <w:t xml:space="preserve">La cantidad </w:t>
      </w:r>
      <w:r w:rsidRPr="00E50224">
        <w:rPr>
          <w:rFonts w:ascii="Cambria" w:hAnsi="Cambria"/>
          <w:sz w:val="20"/>
        </w:rPr>
        <w:t xml:space="preserve">resultante se referenciará como la tolerancia de retención de captura fortuita muerta (en lo sucesivo, tolerancia de retención) para el año siguiente Y+1. </w:t>
      </w:r>
    </w:p>
    <w:p w14:paraId="755F932A" w14:textId="77777777" w:rsidR="00CF52B5" w:rsidRPr="00E50224" w:rsidRDefault="00CF52B5" w:rsidP="00CF52B5">
      <w:pPr>
        <w:spacing w:line="220" w:lineRule="auto"/>
        <w:jc w:val="both"/>
        <w:rPr>
          <w:rFonts w:ascii="Cambria" w:eastAsia="Times New Roman" w:hAnsi="Cambria" w:cs="Times New Roman"/>
          <w:sz w:val="20"/>
          <w:szCs w:val="20"/>
        </w:rPr>
      </w:pPr>
    </w:p>
    <w:p w14:paraId="6E9DA3EC" w14:textId="3AE11F36" w:rsidR="00CF52B5" w:rsidRPr="00E50224" w:rsidRDefault="00CF52B5" w:rsidP="00296085">
      <w:pPr>
        <w:numPr>
          <w:ilvl w:val="0"/>
          <w:numId w:val="35"/>
        </w:numPr>
        <w:pBdr>
          <w:top w:val="nil"/>
          <w:left w:val="nil"/>
          <w:bottom w:val="nil"/>
          <w:right w:val="nil"/>
          <w:between w:val="nil"/>
        </w:pBdr>
        <w:ind w:left="714" w:hanging="357"/>
        <w:jc w:val="both"/>
        <w:rPr>
          <w:rFonts w:ascii="Cambria" w:eastAsia="Times New Roman" w:hAnsi="Cambria" w:cs="Times New Roman"/>
          <w:sz w:val="20"/>
          <w:szCs w:val="20"/>
        </w:rPr>
      </w:pPr>
      <w:r w:rsidRPr="00E50224">
        <w:rPr>
          <w:rFonts w:ascii="Cambria" w:hAnsi="Cambria"/>
          <w:sz w:val="20"/>
        </w:rPr>
        <w:t xml:space="preserve">Si la tolerancia de retención establecida en el </w:t>
      </w:r>
      <w:r w:rsidR="00AE2FC9" w:rsidRPr="00E50224">
        <w:rPr>
          <w:rFonts w:ascii="Cambria" w:hAnsi="Cambria"/>
          <w:sz w:val="20"/>
        </w:rPr>
        <w:t xml:space="preserve">apartado </w:t>
      </w:r>
      <w:r w:rsidRPr="00E50224">
        <w:rPr>
          <w:rFonts w:ascii="Cambria" w:hAnsi="Cambria"/>
          <w:sz w:val="20"/>
        </w:rPr>
        <w:t xml:space="preserve">1(b) del </w:t>
      </w:r>
      <w:r w:rsidRPr="00E50224">
        <w:rPr>
          <w:rFonts w:ascii="Cambria" w:hAnsi="Cambria"/>
          <w:b/>
          <w:bCs/>
          <w:sz w:val="20"/>
        </w:rPr>
        <w:t>Anexo 1</w:t>
      </w:r>
      <w:r w:rsidRPr="00E50224">
        <w:rPr>
          <w:rFonts w:ascii="Cambria" w:hAnsi="Cambria"/>
          <w:sz w:val="20"/>
        </w:rPr>
        <w:t xml:space="preserve"> es igual o inferior a cero, las CPC prohibirán retener a bordo, transbordar y desembarcar, total o parcialmente, marrajo dientuso del Atlántico norte capturado en asociación con las pesquerías de ICCAT en el año Y+1.</w:t>
      </w:r>
    </w:p>
    <w:p w14:paraId="30A683B4" w14:textId="77777777" w:rsidR="00CF52B5" w:rsidRPr="00E50224" w:rsidRDefault="00CF52B5" w:rsidP="00CF52B5">
      <w:pPr>
        <w:pBdr>
          <w:top w:val="nil"/>
          <w:left w:val="nil"/>
          <w:bottom w:val="nil"/>
          <w:right w:val="nil"/>
          <w:between w:val="nil"/>
        </w:pBdr>
        <w:ind w:left="720"/>
        <w:rPr>
          <w:rFonts w:ascii="Cambria" w:eastAsia="Times New Roman" w:hAnsi="Cambria" w:cs="Times New Roman"/>
          <w:color w:val="000000"/>
          <w:sz w:val="20"/>
          <w:szCs w:val="20"/>
        </w:rPr>
      </w:pPr>
    </w:p>
    <w:p w14:paraId="7F176AAD" w14:textId="48434025" w:rsidR="00CF52B5" w:rsidRPr="00E50224" w:rsidRDefault="00CF52B5" w:rsidP="00CF52B5">
      <w:pPr>
        <w:numPr>
          <w:ilvl w:val="0"/>
          <w:numId w:val="35"/>
        </w:numPr>
        <w:pBdr>
          <w:top w:val="nil"/>
          <w:left w:val="nil"/>
          <w:bottom w:val="nil"/>
          <w:right w:val="nil"/>
          <w:between w:val="nil"/>
        </w:pBdr>
        <w:spacing w:line="220" w:lineRule="auto"/>
        <w:jc w:val="both"/>
        <w:rPr>
          <w:rFonts w:ascii="Cambria" w:eastAsia="Times New Roman" w:hAnsi="Cambria" w:cs="Times New Roman"/>
          <w:color w:val="000000"/>
          <w:sz w:val="20"/>
          <w:szCs w:val="20"/>
        </w:rPr>
      </w:pPr>
      <w:r w:rsidRPr="00E50224">
        <w:rPr>
          <w:rFonts w:ascii="Cambria" w:hAnsi="Cambria"/>
          <w:sz w:val="20"/>
        </w:rPr>
        <w:t xml:space="preserve">Si la tolerancia de retención establecida en el </w:t>
      </w:r>
      <w:r w:rsidR="00AE2FC9" w:rsidRPr="00E50224">
        <w:rPr>
          <w:rFonts w:ascii="Cambria" w:hAnsi="Cambria"/>
          <w:sz w:val="20"/>
        </w:rPr>
        <w:t>apartado</w:t>
      </w:r>
      <w:r w:rsidRPr="00E50224">
        <w:rPr>
          <w:rFonts w:ascii="Cambria" w:hAnsi="Cambria"/>
          <w:sz w:val="20"/>
        </w:rPr>
        <w:t xml:space="preserve"> 1(b) del </w:t>
      </w:r>
      <w:r w:rsidRPr="00E50224">
        <w:rPr>
          <w:rFonts w:ascii="Cambria" w:hAnsi="Cambria"/>
          <w:b/>
          <w:bCs/>
          <w:sz w:val="20"/>
        </w:rPr>
        <w:t>Anexo 1</w:t>
      </w:r>
      <w:r w:rsidRPr="00E50224">
        <w:rPr>
          <w:rFonts w:ascii="Cambria" w:hAnsi="Cambria"/>
          <w:sz w:val="20"/>
        </w:rPr>
        <w:t xml:space="preserve"> es superior a cero, las CPC podrán retener hasta la cantidad que resulte del párrafo 2 del </w:t>
      </w:r>
      <w:r w:rsidRPr="00E50224">
        <w:rPr>
          <w:rFonts w:ascii="Cambria" w:hAnsi="Cambria"/>
          <w:b/>
          <w:bCs/>
          <w:sz w:val="20"/>
        </w:rPr>
        <w:t>Anexo 1</w:t>
      </w:r>
      <w:r w:rsidRPr="00E50224">
        <w:rPr>
          <w:rFonts w:ascii="Cambria" w:hAnsi="Cambria"/>
          <w:sz w:val="20"/>
        </w:rPr>
        <w:t xml:space="preserve"> siguiente. </w:t>
      </w:r>
    </w:p>
    <w:p w14:paraId="40646A54" w14:textId="77777777" w:rsidR="00CF52B5" w:rsidRPr="00E50224" w:rsidRDefault="00CF52B5" w:rsidP="00CF52B5">
      <w:pPr>
        <w:pBdr>
          <w:top w:val="nil"/>
          <w:left w:val="nil"/>
          <w:bottom w:val="nil"/>
          <w:right w:val="nil"/>
          <w:between w:val="nil"/>
        </w:pBdr>
        <w:spacing w:line="220" w:lineRule="auto"/>
        <w:jc w:val="both"/>
        <w:rPr>
          <w:rFonts w:ascii="Cambria" w:eastAsia="Times New Roman" w:hAnsi="Cambria" w:cs="Times New Roman"/>
          <w:color w:val="000000"/>
          <w:sz w:val="20"/>
          <w:szCs w:val="20"/>
        </w:rPr>
      </w:pPr>
    </w:p>
    <w:p w14:paraId="674FFF8A" w14:textId="77777777" w:rsidR="00CF52B5" w:rsidRPr="00E50224" w:rsidRDefault="00CF52B5" w:rsidP="00CF52B5">
      <w:pPr>
        <w:spacing w:line="220" w:lineRule="auto"/>
        <w:jc w:val="both"/>
        <w:rPr>
          <w:rFonts w:ascii="Cambria" w:eastAsia="Times New Roman" w:hAnsi="Cambria" w:cs="Times New Roman"/>
          <w:b/>
          <w:sz w:val="20"/>
          <w:szCs w:val="20"/>
        </w:rPr>
      </w:pPr>
    </w:p>
    <w:p w14:paraId="030B47F9" w14:textId="77777777" w:rsidR="00CF52B5" w:rsidRPr="00E50224" w:rsidRDefault="00CF52B5" w:rsidP="00CF52B5">
      <w:pPr>
        <w:spacing w:line="220" w:lineRule="auto"/>
        <w:jc w:val="both"/>
        <w:rPr>
          <w:rFonts w:ascii="Cambria" w:eastAsia="Times New Roman" w:hAnsi="Cambria" w:cs="Times New Roman"/>
          <w:b/>
          <w:sz w:val="20"/>
          <w:szCs w:val="20"/>
        </w:rPr>
      </w:pPr>
      <w:r w:rsidRPr="00E50224">
        <w:rPr>
          <w:rFonts w:ascii="Cambria" w:hAnsi="Cambria"/>
          <w:b/>
          <w:bCs/>
          <w:sz w:val="20"/>
        </w:rPr>
        <w:t>Tolerancia</w:t>
      </w:r>
      <w:r w:rsidRPr="00E50224">
        <w:rPr>
          <w:rFonts w:ascii="Cambria" w:hAnsi="Cambria"/>
          <w:b/>
          <w:sz w:val="20"/>
        </w:rPr>
        <w:t xml:space="preserve"> de retención de las CPC</w:t>
      </w:r>
    </w:p>
    <w:p w14:paraId="62D4D214" w14:textId="77777777" w:rsidR="00CF52B5" w:rsidRPr="00E50224" w:rsidRDefault="00CF52B5" w:rsidP="00CF52B5">
      <w:pPr>
        <w:tabs>
          <w:tab w:val="left" w:pos="0"/>
        </w:tabs>
        <w:jc w:val="both"/>
        <w:rPr>
          <w:rFonts w:ascii="Cambria" w:eastAsia="Times New Roman" w:hAnsi="Cambria" w:cs="Times New Roman"/>
          <w:sz w:val="20"/>
          <w:szCs w:val="20"/>
        </w:rPr>
      </w:pPr>
    </w:p>
    <w:p w14:paraId="198C3312" w14:textId="7F9AA43D" w:rsidR="00CF52B5" w:rsidRPr="00E50224" w:rsidRDefault="00CF52B5" w:rsidP="00684368">
      <w:pPr>
        <w:numPr>
          <w:ilvl w:val="0"/>
          <w:numId w:val="36"/>
        </w:numPr>
        <w:pBdr>
          <w:top w:val="nil"/>
          <w:left w:val="nil"/>
          <w:bottom w:val="nil"/>
          <w:right w:val="nil"/>
          <w:between w:val="nil"/>
        </w:pBdr>
        <w:spacing w:line="220" w:lineRule="auto"/>
        <w:ind w:left="360"/>
        <w:jc w:val="both"/>
        <w:rPr>
          <w:rFonts w:ascii="Cambria" w:eastAsia="Times New Roman" w:hAnsi="Cambria" w:cs="Times New Roman"/>
          <w:sz w:val="20"/>
          <w:szCs w:val="20"/>
        </w:rPr>
      </w:pPr>
      <w:r w:rsidRPr="00E50224">
        <w:rPr>
          <w:rFonts w:ascii="Cambria" w:hAnsi="Cambria"/>
          <w:sz w:val="20"/>
        </w:rPr>
        <w:t xml:space="preserve">Si, </w:t>
      </w:r>
      <w:r w:rsidRPr="00E50224">
        <w:rPr>
          <w:rFonts w:ascii="Cambria" w:hAnsi="Cambria"/>
          <w:color w:val="000000"/>
          <w:sz w:val="20"/>
        </w:rPr>
        <w:t>conforme</w:t>
      </w:r>
      <w:r w:rsidRPr="00E50224">
        <w:rPr>
          <w:rFonts w:ascii="Cambria" w:hAnsi="Cambria"/>
          <w:sz w:val="20"/>
        </w:rPr>
        <w:t xml:space="preserve"> al </w:t>
      </w:r>
      <w:r w:rsidR="00AE2FC9" w:rsidRPr="00E50224">
        <w:rPr>
          <w:rFonts w:ascii="Cambria" w:hAnsi="Cambria"/>
          <w:sz w:val="20"/>
        </w:rPr>
        <w:t>apartado</w:t>
      </w:r>
      <w:r w:rsidRPr="00E50224">
        <w:rPr>
          <w:rFonts w:ascii="Cambria" w:hAnsi="Cambria"/>
          <w:sz w:val="20"/>
        </w:rPr>
        <w:t xml:space="preserve"> 1(d) del </w:t>
      </w:r>
      <w:r w:rsidRPr="00E50224">
        <w:rPr>
          <w:rFonts w:ascii="Cambria" w:hAnsi="Cambria"/>
          <w:b/>
          <w:bCs/>
          <w:sz w:val="20"/>
        </w:rPr>
        <w:t>Anexo 1,</w:t>
      </w:r>
      <w:r w:rsidRPr="00E50224">
        <w:rPr>
          <w:rFonts w:ascii="Cambria" w:hAnsi="Cambria"/>
          <w:sz w:val="20"/>
        </w:rPr>
        <w:t xml:space="preserve"> se permite la retención, la tolerancia de retención para cada CPC se calculará mediante la siguiente fórmula:</w:t>
      </w:r>
      <w:r w:rsidRPr="00E50224">
        <w:rPr>
          <w:rFonts w:ascii="Cambria" w:hAnsi="Cambria"/>
          <w:color w:val="000000"/>
          <w:sz w:val="20"/>
        </w:rPr>
        <w:t xml:space="preserve"> </w:t>
      </w:r>
    </w:p>
    <w:p w14:paraId="328FEFF0" w14:textId="77777777" w:rsidR="00CF52B5" w:rsidRPr="00E50224" w:rsidRDefault="00CF52B5" w:rsidP="00CF52B5">
      <w:pPr>
        <w:tabs>
          <w:tab w:val="left" w:pos="0"/>
        </w:tabs>
        <w:jc w:val="both"/>
        <w:rPr>
          <w:rFonts w:ascii="Cambria" w:eastAsia="Times New Roman" w:hAnsi="Cambria" w:cs="Times New Roman"/>
          <w:sz w:val="20"/>
          <w:szCs w:val="20"/>
        </w:rPr>
      </w:pPr>
    </w:p>
    <w:p w14:paraId="56F49F15" w14:textId="36757828" w:rsidR="00CF52B5" w:rsidRPr="00E50224" w:rsidRDefault="00CF52B5" w:rsidP="00BE3BE3">
      <w:pPr>
        <w:tabs>
          <w:tab w:val="left" w:pos="0"/>
        </w:tabs>
        <w:rPr>
          <w:rFonts w:ascii="Cambria" w:eastAsia="Times New Roman" w:hAnsi="Cambria" w:cs="Times New Roman"/>
          <w:sz w:val="17"/>
          <w:szCs w:val="17"/>
          <w:u w:val="single"/>
        </w:rPr>
      </w:pPr>
      <w:r w:rsidRPr="00E50224">
        <w:rPr>
          <w:rFonts w:ascii="Cambria" w:hAnsi="Cambria"/>
          <w:i/>
          <w:sz w:val="17"/>
          <w:szCs w:val="17"/>
        </w:rPr>
        <w:t xml:space="preserve">Tolerancia de retención de CPC individual (t) </w:t>
      </w:r>
      <w:r w:rsidRPr="00E50224">
        <w:rPr>
          <w:rFonts w:ascii="Cambria" w:hAnsi="Cambria"/>
          <w:sz w:val="17"/>
          <w:szCs w:val="17"/>
        </w:rPr>
        <w:t>= (</w:t>
      </w:r>
      <w:r w:rsidR="006E697C" w:rsidRPr="00E50224">
        <w:rPr>
          <w:rFonts w:ascii="Cambria" w:hAnsi="Cambria"/>
          <w:sz w:val="17"/>
          <w:szCs w:val="17"/>
          <w:u w:val="single"/>
        </w:rPr>
        <w:t>C</w:t>
      </w:r>
      <w:r w:rsidRPr="00E50224">
        <w:rPr>
          <w:rFonts w:ascii="Cambria" w:hAnsi="Cambria"/>
          <w:sz w:val="17"/>
          <w:szCs w:val="17"/>
          <w:u w:val="single"/>
        </w:rPr>
        <w:t>apturas anuales medias de la CPC de 2013-201</w:t>
      </w:r>
      <w:r w:rsidR="00214D2B" w:rsidRPr="00E50224">
        <w:rPr>
          <w:rFonts w:ascii="Cambria" w:hAnsi="Cambria"/>
          <w:sz w:val="17"/>
          <w:szCs w:val="17"/>
          <w:u w:val="single"/>
        </w:rPr>
        <w:t>6</w:t>
      </w:r>
      <w:r w:rsidRPr="00E50224">
        <w:rPr>
          <w:rFonts w:ascii="Cambria" w:hAnsi="Cambria"/>
          <w:sz w:val="17"/>
          <w:szCs w:val="17"/>
          <w:u w:val="single"/>
        </w:rPr>
        <w:t>) x (tolerancia de retención)</w:t>
      </w:r>
    </w:p>
    <w:p w14:paraId="0187BAC1" w14:textId="43D3CAE1" w:rsidR="00CF52B5" w:rsidRPr="00E50224" w:rsidRDefault="006E697C" w:rsidP="00CF52B5">
      <w:pPr>
        <w:tabs>
          <w:tab w:val="left" w:pos="0"/>
        </w:tabs>
        <w:jc w:val="center"/>
        <w:rPr>
          <w:rFonts w:ascii="Cambria" w:eastAsia="Times New Roman" w:hAnsi="Cambria" w:cs="Times New Roman"/>
          <w:sz w:val="20"/>
          <w:szCs w:val="20"/>
        </w:rPr>
      </w:pPr>
      <w:r w:rsidRPr="00E50224">
        <w:rPr>
          <w:rFonts w:ascii="Cambria" w:hAnsi="Cambria"/>
          <w:sz w:val="20"/>
        </w:rPr>
        <w:t xml:space="preserve">                                                                  </w:t>
      </w:r>
      <w:r w:rsidR="00CF52B5" w:rsidRPr="00E50224">
        <w:rPr>
          <w:rFonts w:ascii="Cambria" w:hAnsi="Cambria"/>
          <w:sz w:val="20"/>
        </w:rPr>
        <w:t>Capturas totales medias de ICCAT de 2013-</w:t>
      </w:r>
      <w:r w:rsidR="00632EC0" w:rsidRPr="00E50224">
        <w:rPr>
          <w:rFonts w:ascii="Cambria" w:hAnsi="Cambria"/>
          <w:sz w:val="20"/>
        </w:rPr>
        <w:t>2016.</w:t>
      </w:r>
    </w:p>
    <w:p w14:paraId="41957695" w14:textId="77777777" w:rsidR="00B162D3" w:rsidRPr="00E50224" w:rsidRDefault="00B162D3" w:rsidP="00C400C5">
      <w:pPr>
        <w:tabs>
          <w:tab w:val="left" w:pos="0"/>
        </w:tabs>
        <w:jc w:val="both"/>
        <w:rPr>
          <w:rFonts w:ascii="Cambria" w:hAnsi="Cambria"/>
          <w:sz w:val="20"/>
        </w:rPr>
      </w:pPr>
    </w:p>
    <w:p w14:paraId="21C2DE31" w14:textId="574A4006" w:rsidR="00C400C5" w:rsidRPr="00E50224" w:rsidRDefault="00C400C5" w:rsidP="00C400C5">
      <w:pPr>
        <w:tabs>
          <w:tab w:val="left" w:pos="0"/>
        </w:tabs>
        <w:jc w:val="both"/>
        <w:rPr>
          <w:rFonts w:ascii="Cambria" w:hAnsi="Cambria"/>
          <w:sz w:val="20"/>
        </w:rPr>
      </w:pPr>
      <w:r w:rsidRPr="00E50224">
        <w:rPr>
          <w:rFonts w:ascii="Cambria" w:hAnsi="Cambria"/>
          <w:sz w:val="20"/>
        </w:rPr>
        <w:t xml:space="preserve">Donde: Las </w:t>
      </w:r>
      <w:r w:rsidR="00684368" w:rsidRPr="00E50224">
        <w:rPr>
          <w:rFonts w:ascii="Cambria" w:hAnsi="Cambria"/>
          <w:sz w:val="20"/>
        </w:rPr>
        <w:t>“</w:t>
      </w:r>
      <w:r w:rsidRPr="00E50224">
        <w:rPr>
          <w:rFonts w:ascii="Cambria" w:hAnsi="Cambria"/>
          <w:sz w:val="20"/>
        </w:rPr>
        <w:t>capturas anuales medias de la</w:t>
      </w:r>
      <w:r w:rsidR="00B162D3" w:rsidRPr="00E50224">
        <w:rPr>
          <w:rFonts w:ascii="Cambria" w:hAnsi="Cambria"/>
          <w:sz w:val="20"/>
        </w:rPr>
        <w:t>s</w:t>
      </w:r>
      <w:r w:rsidRPr="00E50224">
        <w:rPr>
          <w:rFonts w:ascii="Cambria" w:hAnsi="Cambria"/>
          <w:sz w:val="20"/>
        </w:rPr>
        <w:t xml:space="preserve"> CPC de 2013-2016</w:t>
      </w:r>
      <w:r w:rsidR="00684368" w:rsidRPr="00E50224">
        <w:rPr>
          <w:rFonts w:ascii="Cambria" w:hAnsi="Cambria"/>
          <w:sz w:val="20"/>
        </w:rPr>
        <w:t>”</w:t>
      </w:r>
      <w:r w:rsidRPr="00E50224">
        <w:rPr>
          <w:rFonts w:ascii="Cambria" w:hAnsi="Cambria"/>
          <w:sz w:val="20"/>
        </w:rPr>
        <w:t xml:space="preserve"> son las capturas anuales medias (desembarques comunicados + descartes de ejemplares muertos, verificados por el SCRS de conformidad con los datos presentados y </w:t>
      </w:r>
      <w:r w:rsidR="00684368" w:rsidRPr="00E50224">
        <w:rPr>
          <w:rFonts w:ascii="Cambria" w:hAnsi="Cambria"/>
          <w:sz w:val="20"/>
        </w:rPr>
        <w:t xml:space="preserve">con </w:t>
      </w:r>
      <w:r w:rsidRPr="00E50224">
        <w:rPr>
          <w:rFonts w:ascii="Cambria" w:hAnsi="Cambria"/>
          <w:sz w:val="20"/>
        </w:rPr>
        <w:t xml:space="preserve">el análisis emprendido con arreglo a los </w:t>
      </w:r>
      <w:r w:rsidR="00072B49" w:rsidRPr="00E50224">
        <w:rPr>
          <w:rFonts w:ascii="Cambria" w:hAnsi="Cambria"/>
          <w:sz w:val="20"/>
        </w:rPr>
        <w:t>párrafos</w:t>
      </w:r>
      <w:r w:rsidRPr="00E50224">
        <w:rPr>
          <w:rFonts w:ascii="Cambria" w:hAnsi="Cambria"/>
          <w:sz w:val="20"/>
        </w:rPr>
        <w:t xml:space="preserve"> </w:t>
      </w:r>
      <w:r w:rsidR="004C088B" w:rsidRPr="00E50224">
        <w:rPr>
          <w:rFonts w:ascii="Cambria" w:hAnsi="Cambria"/>
          <w:sz w:val="20"/>
        </w:rPr>
        <w:t>13</w:t>
      </w:r>
      <w:r w:rsidR="00B162D3" w:rsidRPr="00E50224">
        <w:rPr>
          <w:rFonts w:ascii="Cambria" w:hAnsi="Cambria"/>
          <w:sz w:val="20"/>
        </w:rPr>
        <w:t xml:space="preserve"> </w:t>
      </w:r>
      <w:r w:rsidRPr="00E50224">
        <w:rPr>
          <w:rFonts w:ascii="Cambria" w:hAnsi="Cambria"/>
          <w:sz w:val="20"/>
        </w:rPr>
        <w:t xml:space="preserve">y </w:t>
      </w:r>
      <w:r w:rsidR="004C088B" w:rsidRPr="00E50224">
        <w:rPr>
          <w:rFonts w:ascii="Cambria" w:hAnsi="Cambria"/>
          <w:sz w:val="20"/>
        </w:rPr>
        <w:t>15</w:t>
      </w:r>
      <w:r w:rsidRPr="00E50224">
        <w:rPr>
          <w:rFonts w:ascii="Cambria" w:hAnsi="Cambria"/>
          <w:sz w:val="20"/>
        </w:rPr>
        <w:t xml:space="preserve">) para una CPC individual durante los cuatro años que abarcan 2013-2016; la </w:t>
      </w:r>
      <w:r w:rsidR="00684368" w:rsidRPr="00E50224">
        <w:rPr>
          <w:rFonts w:ascii="Cambria" w:hAnsi="Cambria"/>
          <w:sz w:val="20"/>
        </w:rPr>
        <w:t>“</w:t>
      </w:r>
      <w:r w:rsidRPr="00E50224">
        <w:rPr>
          <w:rFonts w:ascii="Cambria" w:hAnsi="Cambria"/>
          <w:sz w:val="20"/>
        </w:rPr>
        <w:t>tolerancia de retención</w:t>
      </w:r>
      <w:r w:rsidR="00684368" w:rsidRPr="00E50224">
        <w:rPr>
          <w:rFonts w:ascii="Cambria" w:hAnsi="Cambria"/>
          <w:sz w:val="20"/>
        </w:rPr>
        <w:t>”</w:t>
      </w:r>
      <w:r w:rsidRPr="00E50224">
        <w:rPr>
          <w:rFonts w:ascii="Cambria" w:hAnsi="Cambria"/>
          <w:sz w:val="20"/>
        </w:rPr>
        <w:t xml:space="preserve"> se define en el párrafo 1 del </w:t>
      </w:r>
      <w:r w:rsidRPr="00E50224">
        <w:rPr>
          <w:rFonts w:ascii="Cambria" w:hAnsi="Cambria"/>
          <w:b/>
          <w:bCs/>
          <w:sz w:val="20"/>
        </w:rPr>
        <w:t>Anexo 1</w:t>
      </w:r>
      <w:r w:rsidRPr="00E50224">
        <w:rPr>
          <w:rFonts w:ascii="Cambria" w:hAnsi="Cambria"/>
          <w:sz w:val="20"/>
        </w:rPr>
        <w:t xml:space="preserve">; y las </w:t>
      </w:r>
      <w:r w:rsidR="00684368" w:rsidRPr="00E50224">
        <w:rPr>
          <w:rFonts w:ascii="Cambria" w:hAnsi="Cambria"/>
          <w:sz w:val="20"/>
        </w:rPr>
        <w:t>“</w:t>
      </w:r>
      <w:r w:rsidRPr="00E50224">
        <w:rPr>
          <w:rFonts w:ascii="Cambria" w:hAnsi="Cambria"/>
          <w:sz w:val="20"/>
        </w:rPr>
        <w:t>capturas totales medias de ICCAT de 2013-2016</w:t>
      </w:r>
      <w:r w:rsidR="00684368" w:rsidRPr="00E50224">
        <w:rPr>
          <w:rFonts w:ascii="Cambria" w:hAnsi="Cambria"/>
          <w:sz w:val="20"/>
        </w:rPr>
        <w:t>”</w:t>
      </w:r>
      <w:r w:rsidRPr="00E50224">
        <w:rPr>
          <w:rFonts w:ascii="Cambria" w:hAnsi="Cambria"/>
          <w:sz w:val="20"/>
        </w:rPr>
        <w:t xml:space="preserve"> son las capturas anuales medias (desembarques comunicados + descartes de ejemplares muertos, verificados por el SCRS de conformidad con los datos presentados y el análisis emprendido con arreglo a los </w:t>
      </w:r>
      <w:r w:rsidR="00072B49" w:rsidRPr="00E50224">
        <w:rPr>
          <w:rFonts w:ascii="Cambria" w:hAnsi="Cambria"/>
          <w:sz w:val="20"/>
        </w:rPr>
        <w:t>párrafos 13 y 15</w:t>
      </w:r>
      <w:r w:rsidRPr="00E50224">
        <w:rPr>
          <w:rFonts w:ascii="Cambria" w:hAnsi="Cambria"/>
          <w:sz w:val="20"/>
        </w:rPr>
        <w:t>) de todas las CPC de 2013 a 2016.</w:t>
      </w:r>
    </w:p>
    <w:p w14:paraId="5C30954E" w14:textId="4BD2B0AD" w:rsidR="00C400C5" w:rsidRPr="00E50224" w:rsidRDefault="00C400C5" w:rsidP="00CF52B5">
      <w:pPr>
        <w:tabs>
          <w:tab w:val="left" w:pos="0"/>
        </w:tabs>
        <w:jc w:val="both"/>
        <w:rPr>
          <w:rFonts w:ascii="Cambria" w:hAnsi="Cambria"/>
          <w:sz w:val="20"/>
        </w:rPr>
      </w:pPr>
    </w:p>
    <w:p w14:paraId="21697FE0" w14:textId="70E5F195" w:rsidR="00CF52B5" w:rsidRPr="00E50224" w:rsidRDefault="00CF52B5" w:rsidP="00684368">
      <w:pPr>
        <w:numPr>
          <w:ilvl w:val="0"/>
          <w:numId w:val="36"/>
        </w:numPr>
        <w:pBdr>
          <w:top w:val="nil"/>
          <w:left w:val="nil"/>
          <w:bottom w:val="nil"/>
          <w:right w:val="nil"/>
          <w:between w:val="nil"/>
        </w:pBdr>
        <w:spacing w:line="220" w:lineRule="auto"/>
        <w:ind w:left="360"/>
        <w:jc w:val="both"/>
        <w:rPr>
          <w:rFonts w:ascii="Cambria" w:eastAsia="Times New Roman" w:hAnsi="Cambria" w:cs="Times New Roman"/>
          <w:color w:val="000000"/>
          <w:sz w:val="20"/>
          <w:szCs w:val="20"/>
        </w:rPr>
      </w:pPr>
      <w:r w:rsidRPr="00E50224">
        <w:rPr>
          <w:rFonts w:ascii="Cambria" w:hAnsi="Cambria"/>
          <w:sz w:val="20"/>
        </w:rPr>
        <w:t xml:space="preserve"> </w:t>
      </w:r>
      <w:r w:rsidRPr="00E50224">
        <w:rPr>
          <w:rFonts w:ascii="Cambria" w:hAnsi="Cambria"/>
          <w:color w:val="000000"/>
          <w:sz w:val="20"/>
        </w:rPr>
        <w:t xml:space="preserve">Las CPC deben cumplir todos los requisitos de esta medida para acceder a cualquier posible </w:t>
      </w:r>
      <w:r w:rsidRPr="00E50224">
        <w:rPr>
          <w:rFonts w:ascii="Cambria" w:hAnsi="Cambria"/>
          <w:sz w:val="20"/>
        </w:rPr>
        <w:t>tolerancia</w:t>
      </w:r>
      <w:r w:rsidRPr="00E50224">
        <w:rPr>
          <w:rFonts w:ascii="Cambria" w:hAnsi="Cambria"/>
          <w:color w:val="000000"/>
          <w:sz w:val="20"/>
        </w:rPr>
        <w:t xml:space="preserve"> de retención. </w:t>
      </w:r>
    </w:p>
    <w:p w14:paraId="675B7C02" w14:textId="77777777" w:rsidR="00CF52B5" w:rsidRPr="00E50224" w:rsidRDefault="00CF52B5" w:rsidP="00CF52B5">
      <w:pPr>
        <w:pBdr>
          <w:top w:val="nil"/>
          <w:left w:val="nil"/>
          <w:bottom w:val="nil"/>
          <w:right w:val="nil"/>
          <w:between w:val="nil"/>
        </w:pBdr>
        <w:rPr>
          <w:rFonts w:ascii="Cambria" w:eastAsia="Times New Roman" w:hAnsi="Cambria" w:cs="Times New Roman"/>
          <w:sz w:val="20"/>
          <w:szCs w:val="20"/>
        </w:rPr>
      </w:pPr>
    </w:p>
    <w:p w14:paraId="3BB13C15" w14:textId="6CBBA197" w:rsidR="00CF52B5" w:rsidRPr="00E50224" w:rsidRDefault="00CF52B5" w:rsidP="00684368">
      <w:pPr>
        <w:numPr>
          <w:ilvl w:val="0"/>
          <w:numId w:val="36"/>
        </w:numPr>
        <w:pBdr>
          <w:top w:val="nil"/>
          <w:left w:val="nil"/>
          <w:bottom w:val="nil"/>
          <w:right w:val="nil"/>
          <w:between w:val="nil"/>
        </w:pBdr>
        <w:spacing w:line="220" w:lineRule="auto"/>
        <w:ind w:left="360"/>
        <w:jc w:val="both"/>
        <w:rPr>
          <w:rFonts w:ascii="Cambria" w:eastAsia="Times New Roman" w:hAnsi="Cambria" w:cs="Times New Roman"/>
          <w:sz w:val="20"/>
          <w:szCs w:val="20"/>
        </w:rPr>
      </w:pPr>
      <w:r w:rsidRPr="00E50224">
        <w:rPr>
          <w:rFonts w:ascii="Cambria" w:hAnsi="Cambria"/>
          <w:sz w:val="20"/>
        </w:rPr>
        <w:t xml:space="preserve"> Una vez que la cantidad total retenida por una CPC en un año determinado alcance la tolerancia de retención de esa CPC, dicha CPC debe prohibir inmediatamente la retención, el transbordo y el desembarque durante el resto de ese año de pesca, y la CPC notificará inmediatamente a la Secretaría que ha alcanzado su tolerancia de retención y que ha implementado las prohibiciones requeridas. </w:t>
      </w:r>
    </w:p>
    <w:p w14:paraId="195AC5ED" w14:textId="77777777" w:rsidR="00CF52B5" w:rsidRPr="00E50224" w:rsidRDefault="00CF52B5" w:rsidP="00CF52B5">
      <w:pPr>
        <w:pBdr>
          <w:top w:val="nil"/>
          <w:left w:val="nil"/>
          <w:bottom w:val="nil"/>
          <w:right w:val="nil"/>
          <w:between w:val="nil"/>
        </w:pBdr>
        <w:rPr>
          <w:rFonts w:ascii="Cambria" w:eastAsia="Times New Roman" w:hAnsi="Cambria" w:cs="Times New Roman"/>
          <w:sz w:val="20"/>
          <w:szCs w:val="20"/>
        </w:rPr>
      </w:pPr>
    </w:p>
    <w:p w14:paraId="72A6F0D5" w14:textId="77777777" w:rsidR="00C400C5" w:rsidRPr="00E50224" w:rsidRDefault="00C400C5">
      <w:pPr>
        <w:rPr>
          <w:b/>
          <w:sz w:val="22"/>
        </w:rPr>
      </w:pPr>
      <w:r w:rsidRPr="00E50224">
        <w:rPr>
          <w:b/>
          <w:sz w:val="22"/>
        </w:rPr>
        <w:br w:type="page"/>
      </w:r>
    </w:p>
    <w:p w14:paraId="0668FD81" w14:textId="2354434F" w:rsidR="00E22DCB" w:rsidRPr="00E50224" w:rsidRDefault="00E22DCB" w:rsidP="00797E04">
      <w:pPr>
        <w:tabs>
          <w:tab w:val="left" w:pos="3080"/>
        </w:tabs>
        <w:jc w:val="right"/>
        <w:rPr>
          <w:rFonts w:cs="Times New Roman"/>
          <w:b/>
          <w:bCs/>
          <w:sz w:val="22"/>
          <w:szCs w:val="22"/>
        </w:rPr>
      </w:pPr>
      <w:r w:rsidRPr="00E50224">
        <w:rPr>
          <w:b/>
          <w:sz w:val="22"/>
        </w:rPr>
        <w:lastRenderedPageBreak/>
        <w:t>Anexo</w:t>
      </w:r>
      <w:r w:rsidR="000A251F" w:rsidRPr="00E50224">
        <w:rPr>
          <w:b/>
          <w:sz w:val="22"/>
        </w:rPr>
        <w:t xml:space="preserve"> </w:t>
      </w:r>
      <w:r w:rsidR="002A1BF8" w:rsidRPr="00E50224">
        <w:rPr>
          <w:rFonts w:ascii="Cambria" w:eastAsia="Yu Mincho" w:hAnsi="Cambria" w:cs="Times New Roman"/>
          <w:b/>
          <w:kern w:val="2"/>
          <w:sz w:val="20"/>
          <w:szCs w:val="22"/>
          <w:lang w:eastAsia="ja-JP"/>
        </w:rPr>
        <w:t>2</w:t>
      </w:r>
      <w:r w:rsidRPr="00E50224">
        <w:rPr>
          <w:rFonts w:ascii="Cambria" w:eastAsia="Yu Mincho" w:hAnsi="Cambria" w:cs="Times New Roman"/>
          <w:b/>
          <w:kern w:val="2"/>
          <w:sz w:val="20"/>
          <w:szCs w:val="22"/>
          <w:lang w:eastAsia="ja-JP"/>
        </w:rPr>
        <w:t xml:space="preserve"> </w:t>
      </w:r>
    </w:p>
    <w:p w14:paraId="7E913D8C" w14:textId="77777777" w:rsidR="004F40DC" w:rsidRPr="00E50224" w:rsidRDefault="004F40DC" w:rsidP="004F40DC">
      <w:pPr>
        <w:spacing w:after="160" w:line="259" w:lineRule="auto"/>
        <w:rPr>
          <w:rFonts w:ascii="Cambria" w:eastAsia="Calibri" w:hAnsi="Cambria" w:cs="Times New Roman"/>
          <w:b/>
          <w:sz w:val="20"/>
          <w:szCs w:val="22"/>
        </w:rPr>
      </w:pPr>
    </w:p>
    <w:p w14:paraId="3C5D6D83" w14:textId="1503B7FF" w:rsidR="00204D0F" w:rsidRPr="00E50224" w:rsidRDefault="004F40DC" w:rsidP="007E1A69">
      <w:pPr>
        <w:spacing w:after="160" w:line="259" w:lineRule="auto"/>
        <w:jc w:val="center"/>
        <w:rPr>
          <w:rFonts w:ascii="Cambria" w:eastAsia="Calibri" w:hAnsi="Cambria" w:cs="Times New Roman"/>
          <w:b/>
          <w:sz w:val="20"/>
          <w:szCs w:val="22"/>
        </w:rPr>
        <w:sectPr w:rsidR="00204D0F" w:rsidRPr="00E50224" w:rsidSect="00E0284F">
          <w:footnotePr>
            <w:numRestart w:val="eachPage"/>
          </w:footnotePr>
          <w:type w:val="continuous"/>
          <w:pgSz w:w="11906" w:h="16838" w:code="9"/>
          <w:pgMar w:top="1418" w:right="1418" w:bottom="1418" w:left="1418" w:header="851" w:footer="1134" w:gutter="0"/>
          <w:cols w:space="720"/>
        </w:sectPr>
      </w:pPr>
      <w:r w:rsidRPr="00E50224">
        <w:rPr>
          <w:rFonts w:ascii="Cambria" w:eastAsia="Calibri" w:hAnsi="Cambria" w:cs="Times New Roman"/>
          <w:b/>
          <w:sz w:val="20"/>
          <w:szCs w:val="22"/>
        </w:rPr>
        <w:t>Normas mínimas para l</w:t>
      </w:r>
      <w:r w:rsidR="007E1A69" w:rsidRPr="00E50224">
        <w:rPr>
          <w:rFonts w:ascii="Cambria" w:eastAsia="Calibri" w:hAnsi="Cambria" w:cs="Times New Roman"/>
          <w:b/>
          <w:sz w:val="20"/>
          <w:szCs w:val="22"/>
        </w:rPr>
        <w:t xml:space="preserve">os procedimientos de </w:t>
      </w:r>
      <w:r w:rsidRPr="00E50224">
        <w:rPr>
          <w:rFonts w:ascii="Cambria" w:eastAsia="Calibri" w:hAnsi="Cambria" w:cs="Times New Roman"/>
          <w:b/>
          <w:sz w:val="20"/>
          <w:szCs w:val="22"/>
        </w:rPr>
        <w:t xml:space="preserve">manipulación </w:t>
      </w:r>
      <w:r w:rsidR="007E1A69" w:rsidRPr="00E50224">
        <w:rPr>
          <w:rFonts w:ascii="Cambria" w:eastAsia="Calibri" w:hAnsi="Cambria" w:cs="Times New Roman"/>
          <w:b/>
          <w:sz w:val="20"/>
          <w:szCs w:val="22"/>
        </w:rPr>
        <w:t xml:space="preserve">y liberación </w:t>
      </w:r>
      <w:r w:rsidRPr="00E50224">
        <w:rPr>
          <w:rFonts w:ascii="Cambria" w:eastAsia="Calibri" w:hAnsi="Cambria" w:cs="Times New Roman"/>
          <w:b/>
          <w:sz w:val="20"/>
          <w:szCs w:val="22"/>
        </w:rPr>
        <w:t xml:space="preserve">seguras </w:t>
      </w:r>
    </w:p>
    <w:p w14:paraId="7648829E" w14:textId="51C8A903" w:rsidR="004F40DC" w:rsidRPr="00E50224" w:rsidRDefault="004F40DC" w:rsidP="004F40DC">
      <w:pPr>
        <w:contextualSpacing/>
        <w:jc w:val="both"/>
        <w:rPr>
          <w:rFonts w:ascii="Cambria" w:eastAsia="Calibri" w:hAnsi="Cambria" w:cs="Calibri"/>
          <w:sz w:val="20"/>
          <w:szCs w:val="20"/>
        </w:rPr>
      </w:pPr>
      <w:r w:rsidRPr="00E50224">
        <w:rPr>
          <w:rFonts w:ascii="Cambria" w:eastAsia="Calibri" w:hAnsi="Cambria" w:cs="Times New Roman"/>
          <w:sz w:val="20"/>
          <w:szCs w:val="22"/>
        </w:rPr>
        <w:t xml:space="preserve">A </w:t>
      </w:r>
      <w:r w:rsidR="009B3622" w:rsidRPr="00E50224">
        <w:rPr>
          <w:rFonts w:ascii="Cambria" w:eastAsia="Calibri" w:hAnsi="Cambria" w:cs="Times New Roman"/>
          <w:sz w:val="20"/>
          <w:szCs w:val="22"/>
        </w:rPr>
        <w:t>continuación,</w:t>
      </w:r>
      <w:r w:rsidRPr="00E50224">
        <w:rPr>
          <w:rFonts w:ascii="Cambria" w:eastAsia="Calibri" w:hAnsi="Cambria" w:cs="Times New Roman"/>
          <w:sz w:val="20"/>
          <w:szCs w:val="22"/>
        </w:rPr>
        <w:t xml:space="preserve"> se presentan normas mínimas para las prácticas de manipulación segura </w:t>
      </w:r>
      <w:r w:rsidR="00500FF7" w:rsidRPr="00E50224">
        <w:rPr>
          <w:rFonts w:ascii="Cambria" w:hAnsi="Cambria"/>
          <w:sz w:val="20"/>
          <w:szCs w:val="20"/>
        </w:rPr>
        <w:t>de marrajo dientuso del Atlántico norte (</w:t>
      </w:r>
      <w:proofErr w:type="spellStart"/>
      <w:r w:rsidR="00500FF7" w:rsidRPr="00E50224">
        <w:rPr>
          <w:rFonts w:ascii="Cambria" w:hAnsi="Cambria"/>
          <w:sz w:val="20"/>
          <w:szCs w:val="20"/>
        </w:rPr>
        <w:t>nSMA</w:t>
      </w:r>
      <w:proofErr w:type="spellEnd"/>
      <w:r w:rsidR="00500FF7" w:rsidRPr="00E50224">
        <w:rPr>
          <w:rFonts w:ascii="Cambria" w:hAnsi="Cambria"/>
          <w:sz w:val="20"/>
          <w:szCs w:val="20"/>
        </w:rPr>
        <w:t>) y se proporcionan</w:t>
      </w:r>
      <w:r w:rsidRPr="00E50224">
        <w:rPr>
          <w:rFonts w:ascii="Cambria" w:eastAsia="Calibri" w:hAnsi="Cambria" w:cs="Times New Roman"/>
          <w:sz w:val="20"/>
          <w:szCs w:val="22"/>
        </w:rPr>
        <w:t xml:space="preserve"> recomendaciones específicas para las pesquerías de palangre y de cerco. </w:t>
      </w:r>
    </w:p>
    <w:p w14:paraId="56C7E966" w14:textId="77777777" w:rsidR="004F40DC" w:rsidRPr="00E50224" w:rsidRDefault="004F40DC" w:rsidP="004F40DC">
      <w:pPr>
        <w:contextualSpacing/>
        <w:jc w:val="both"/>
        <w:rPr>
          <w:rFonts w:ascii="Cambria" w:eastAsia="Calibri" w:hAnsi="Cambria" w:cs="Calibri"/>
          <w:sz w:val="20"/>
          <w:szCs w:val="20"/>
        </w:rPr>
      </w:pPr>
    </w:p>
    <w:p w14:paraId="4E51CD96" w14:textId="5F7CB521" w:rsidR="004F40DC" w:rsidRPr="00E50224" w:rsidRDefault="004F40DC" w:rsidP="004F40DC">
      <w:pPr>
        <w:contextualSpacing/>
        <w:jc w:val="both"/>
        <w:rPr>
          <w:rFonts w:ascii="Cambria" w:eastAsia="Calibri" w:hAnsi="Cambria" w:cs="Calibri"/>
          <w:sz w:val="20"/>
          <w:szCs w:val="20"/>
        </w:rPr>
      </w:pPr>
      <w:r w:rsidRPr="00E50224">
        <w:rPr>
          <w:rFonts w:ascii="Cambria" w:eastAsia="Calibri" w:hAnsi="Cambria" w:cs="Times New Roman"/>
          <w:sz w:val="20"/>
          <w:szCs w:val="22"/>
        </w:rPr>
        <w:t xml:space="preserve">Estas normas mínimas son apropiadas </w:t>
      </w:r>
      <w:r w:rsidR="00500FF7" w:rsidRPr="00E50224">
        <w:rPr>
          <w:rFonts w:ascii="Cambria" w:eastAsia="Calibri" w:hAnsi="Cambria" w:cs="Times New Roman"/>
          <w:sz w:val="20"/>
          <w:szCs w:val="22"/>
        </w:rPr>
        <w:t>para los</w:t>
      </w:r>
      <w:r w:rsidRPr="00E50224">
        <w:rPr>
          <w:rFonts w:ascii="Cambria" w:eastAsia="Calibri" w:hAnsi="Cambria" w:cs="Times New Roman"/>
          <w:sz w:val="20"/>
          <w:szCs w:val="22"/>
        </w:rPr>
        <w:t xml:space="preserve"> marrajos dientusos vivos </w:t>
      </w:r>
      <w:r w:rsidR="00500FF7" w:rsidRPr="00E50224">
        <w:rPr>
          <w:rFonts w:ascii="Cambria" w:eastAsia="Calibri" w:hAnsi="Cambria" w:cs="Times New Roman"/>
          <w:sz w:val="20"/>
          <w:szCs w:val="22"/>
        </w:rPr>
        <w:t xml:space="preserve">cuando son liberados </w:t>
      </w:r>
      <w:r w:rsidRPr="00E50224">
        <w:rPr>
          <w:rFonts w:ascii="Cambria" w:eastAsia="Calibri" w:hAnsi="Cambria" w:cs="Times New Roman"/>
          <w:sz w:val="20"/>
          <w:szCs w:val="22"/>
        </w:rPr>
        <w:t>ya sea en virtud de políticas de no retención o de forma voluntaria. Estas directrices básicas no sustituyen a las normas de seguridad más estrictas que puedan haber establecido las autoridades nacionales de cada CPC.</w:t>
      </w:r>
    </w:p>
    <w:p w14:paraId="3348E409" w14:textId="77777777" w:rsidR="004F40DC" w:rsidRPr="00E50224" w:rsidRDefault="004F40DC" w:rsidP="004F40DC">
      <w:pPr>
        <w:contextualSpacing/>
        <w:jc w:val="both"/>
        <w:rPr>
          <w:rFonts w:ascii="Cambria" w:eastAsia="Calibri" w:hAnsi="Cambria" w:cs="Calibri"/>
          <w:sz w:val="20"/>
          <w:szCs w:val="20"/>
        </w:rPr>
      </w:pPr>
    </w:p>
    <w:p w14:paraId="0E61005E" w14:textId="3C12502F" w:rsidR="004F40DC" w:rsidRPr="00E50224" w:rsidRDefault="004F40DC" w:rsidP="004F40DC">
      <w:pPr>
        <w:contextualSpacing/>
        <w:jc w:val="both"/>
        <w:rPr>
          <w:rFonts w:ascii="Cambria" w:eastAsia="Calibri" w:hAnsi="Cambria" w:cs="Calibri"/>
          <w:sz w:val="20"/>
          <w:szCs w:val="20"/>
        </w:rPr>
      </w:pPr>
      <w:r w:rsidRPr="00E50224">
        <w:rPr>
          <w:rFonts w:ascii="Cambria" w:eastAsia="Calibri" w:hAnsi="Cambria" w:cs="Times New Roman"/>
          <w:sz w:val="20"/>
          <w:szCs w:val="22"/>
        </w:rPr>
        <w:t xml:space="preserve">La </w:t>
      </w:r>
      <w:r w:rsidR="00DC6287" w:rsidRPr="00E50224">
        <w:rPr>
          <w:rFonts w:ascii="Cambria" w:eastAsia="Calibri" w:hAnsi="Cambria" w:cs="Times New Roman"/>
          <w:sz w:val="20"/>
          <w:szCs w:val="22"/>
        </w:rPr>
        <w:t>seguridad,</w:t>
      </w:r>
      <w:r w:rsidRPr="00E50224">
        <w:rPr>
          <w:rFonts w:ascii="Cambria" w:eastAsia="Calibri" w:hAnsi="Cambria" w:cs="Times New Roman"/>
          <w:sz w:val="20"/>
          <w:szCs w:val="22"/>
        </w:rPr>
        <w:t xml:space="preserve"> ante todo: Estas normas mínimas deben considerarse a la luz de la seguridad y viabilidad para la tripulación. Ante </w:t>
      </w:r>
      <w:r w:rsidR="00DC6287" w:rsidRPr="00E50224">
        <w:rPr>
          <w:rFonts w:ascii="Cambria" w:eastAsia="Calibri" w:hAnsi="Cambria" w:cs="Times New Roman"/>
          <w:sz w:val="20"/>
          <w:szCs w:val="22"/>
        </w:rPr>
        <w:t>todo,</w:t>
      </w:r>
      <w:r w:rsidRPr="00E50224">
        <w:rPr>
          <w:rFonts w:ascii="Cambria" w:eastAsia="Calibri" w:hAnsi="Cambria" w:cs="Times New Roman"/>
          <w:sz w:val="20"/>
          <w:szCs w:val="22"/>
        </w:rPr>
        <w:t xml:space="preserve"> debe priorizarse la seguridad de la tripulación. Como mínimo, la tripulación debe llevar guantes adecuados y evitar trabajar cerca de la boca de los tiburones.</w:t>
      </w:r>
    </w:p>
    <w:p w14:paraId="3A57DA7C" w14:textId="77777777" w:rsidR="004F40DC" w:rsidRPr="00E50224" w:rsidRDefault="004F40DC" w:rsidP="004F40DC">
      <w:pPr>
        <w:contextualSpacing/>
        <w:jc w:val="both"/>
        <w:rPr>
          <w:rFonts w:ascii="Cambria" w:eastAsia="Calibri" w:hAnsi="Cambria" w:cs="Times New Roman"/>
          <w:sz w:val="20"/>
          <w:szCs w:val="20"/>
        </w:rPr>
      </w:pPr>
    </w:p>
    <w:p w14:paraId="576593B3" w14:textId="77777777" w:rsidR="004F40DC" w:rsidRPr="00E50224" w:rsidRDefault="004F40DC" w:rsidP="004F40DC">
      <w:pPr>
        <w:contextualSpacing/>
        <w:jc w:val="both"/>
        <w:rPr>
          <w:rFonts w:ascii="Cambria" w:eastAsia="Calibri" w:hAnsi="Cambria" w:cs="Times New Roman"/>
          <w:sz w:val="20"/>
          <w:szCs w:val="20"/>
        </w:rPr>
      </w:pPr>
      <w:r w:rsidRPr="00E50224">
        <w:rPr>
          <w:rFonts w:ascii="Cambria" w:eastAsia="Calibri" w:hAnsi="Cambria" w:cs="Times New Roman"/>
          <w:sz w:val="20"/>
          <w:szCs w:val="22"/>
        </w:rPr>
        <w:t xml:space="preserve">Formación: La Secretaría y el SCRS deberían desarrollar materiales para respaldar la formación de los operadores de pesca para implementar este protocolo de manipulación segura. Estos materiales deberían ponerse a disposición de las CPC en los tres idiomas oficiales de ICCAT. </w:t>
      </w:r>
    </w:p>
    <w:p w14:paraId="6EE00CE5" w14:textId="77777777" w:rsidR="004F40DC" w:rsidRPr="00E50224" w:rsidRDefault="004F40DC" w:rsidP="004F40DC">
      <w:pPr>
        <w:contextualSpacing/>
        <w:jc w:val="both"/>
        <w:rPr>
          <w:rFonts w:ascii="Cambria" w:eastAsia="Calibri" w:hAnsi="Cambria" w:cs="Times New Roman"/>
          <w:sz w:val="20"/>
          <w:szCs w:val="20"/>
        </w:rPr>
      </w:pPr>
    </w:p>
    <w:p w14:paraId="245BA959" w14:textId="3D06EC76" w:rsidR="004F40DC" w:rsidRPr="00E50224" w:rsidRDefault="004F40DC" w:rsidP="004F40DC">
      <w:pPr>
        <w:contextualSpacing/>
        <w:jc w:val="both"/>
        <w:rPr>
          <w:rFonts w:ascii="Cambria" w:eastAsia="Calibri" w:hAnsi="Cambria" w:cs="Times New Roman"/>
          <w:sz w:val="20"/>
          <w:szCs w:val="20"/>
        </w:rPr>
      </w:pPr>
      <w:r w:rsidRPr="00E50224">
        <w:rPr>
          <w:rFonts w:ascii="Cambria" w:eastAsia="Calibri" w:hAnsi="Cambria" w:cs="Times New Roman"/>
          <w:sz w:val="20"/>
          <w:szCs w:val="22"/>
        </w:rPr>
        <w:t>En la mayor medida posible, todos los tiburones liberados deberían permanecer en el agua en todo momento</w:t>
      </w:r>
      <w:r w:rsidR="00412F1A" w:rsidRPr="00E50224">
        <w:rPr>
          <w:rFonts w:ascii="Cambria" w:eastAsia="Calibri" w:hAnsi="Cambria" w:cs="Times New Roman"/>
          <w:sz w:val="20"/>
          <w:szCs w:val="22"/>
        </w:rPr>
        <w:t>,</w:t>
      </w:r>
      <w:r w:rsidR="003737E2" w:rsidRPr="00E50224">
        <w:rPr>
          <w:rFonts w:ascii="Cambria" w:eastAsia="Calibri" w:hAnsi="Cambria" w:cs="Times New Roman"/>
          <w:sz w:val="20"/>
          <w:szCs w:val="22"/>
        </w:rPr>
        <w:t xml:space="preserve"> a menos que sea necesario levantar al tiburón para identificar la especie</w:t>
      </w:r>
      <w:r w:rsidRPr="00E50224">
        <w:rPr>
          <w:rFonts w:ascii="Cambria" w:eastAsia="Calibri" w:hAnsi="Cambria" w:cs="Times New Roman"/>
          <w:sz w:val="20"/>
          <w:szCs w:val="22"/>
        </w:rPr>
        <w:t>. Esto incluye cortar la línea para liberar al tiburón mientras aún está en el agua, utilizar cortadores o dispositivos desanzueladores para quitar el anzuelo si es posible, o cortar la línea lo más cerca posible del anzuelo (y así dejar la menor cantidad posible de línea arrastrada por el animal).</w:t>
      </w:r>
    </w:p>
    <w:p w14:paraId="6B7C946B" w14:textId="77777777" w:rsidR="004F40DC" w:rsidRPr="00E50224" w:rsidRDefault="004F40DC" w:rsidP="004F40DC">
      <w:pPr>
        <w:contextualSpacing/>
        <w:jc w:val="both"/>
        <w:rPr>
          <w:rFonts w:ascii="Cambria" w:eastAsia="Calibri" w:hAnsi="Cambria" w:cs="Times New Roman"/>
          <w:sz w:val="20"/>
          <w:szCs w:val="20"/>
        </w:rPr>
      </w:pPr>
    </w:p>
    <w:p w14:paraId="2556CBF4" w14:textId="77777777" w:rsidR="004F40DC" w:rsidRPr="00E50224" w:rsidRDefault="004F40DC" w:rsidP="004F40DC">
      <w:pPr>
        <w:contextualSpacing/>
        <w:jc w:val="both"/>
        <w:rPr>
          <w:rFonts w:ascii="Cambria" w:eastAsia="Calibri" w:hAnsi="Cambria" w:cs="Times New Roman"/>
          <w:sz w:val="20"/>
          <w:szCs w:val="20"/>
        </w:rPr>
      </w:pPr>
      <w:r w:rsidRPr="00E50224">
        <w:rPr>
          <w:rFonts w:ascii="Cambria" w:eastAsia="Calibri" w:hAnsi="Cambria" w:cs="Times New Roman"/>
          <w:sz w:val="20"/>
          <w:szCs w:val="22"/>
        </w:rPr>
        <w:t>Estar preparado: los dispositivos deben estar preparados con antelación (por ejemplo, lonas o cabestrillos de red, camillas para transportar o levantar el animal, red o retícula con luz de malla grande para cubrir los copos en las pesquerías de cerco, cortadores con mango largo y desanzueladores en las pesquerías de palangre, etc. enumerados al final de este documento).</w:t>
      </w:r>
    </w:p>
    <w:p w14:paraId="0DDB0584" w14:textId="77777777" w:rsidR="004F40DC" w:rsidRPr="00E50224" w:rsidRDefault="004F40DC" w:rsidP="004F40DC">
      <w:pPr>
        <w:contextualSpacing/>
        <w:jc w:val="both"/>
        <w:rPr>
          <w:rFonts w:ascii="Cambria" w:eastAsia="Calibri" w:hAnsi="Cambria" w:cs="Times New Roman"/>
          <w:sz w:val="20"/>
          <w:szCs w:val="20"/>
        </w:rPr>
      </w:pPr>
    </w:p>
    <w:p w14:paraId="266F636F" w14:textId="77777777" w:rsidR="004F40DC" w:rsidRPr="00E50224" w:rsidRDefault="004F40DC" w:rsidP="004F40DC">
      <w:pPr>
        <w:contextualSpacing/>
        <w:jc w:val="both"/>
        <w:rPr>
          <w:rFonts w:ascii="Cambria" w:eastAsia="Calibri" w:hAnsi="Cambria" w:cs="Times New Roman"/>
          <w:b/>
          <w:sz w:val="20"/>
          <w:szCs w:val="20"/>
        </w:rPr>
      </w:pPr>
      <w:r w:rsidRPr="00E50224">
        <w:rPr>
          <w:rFonts w:ascii="Cambria" w:eastAsia="Calibri" w:hAnsi="Cambria" w:cs="Times New Roman"/>
          <w:b/>
          <w:sz w:val="20"/>
          <w:szCs w:val="22"/>
        </w:rPr>
        <w:t>Recomendaciones generales para todas las pesquerías:</w:t>
      </w:r>
    </w:p>
    <w:p w14:paraId="1A4661EF" w14:textId="77777777" w:rsidR="004F40DC" w:rsidRPr="00E50224" w:rsidRDefault="004F40DC" w:rsidP="004F40DC">
      <w:pPr>
        <w:contextualSpacing/>
        <w:jc w:val="both"/>
        <w:rPr>
          <w:rFonts w:ascii="Cambria" w:eastAsia="Calibri" w:hAnsi="Cambria" w:cs="Times New Roman"/>
          <w:b/>
          <w:sz w:val="16"/>
          <w:szCs w:val="16"/>
        </w:rPr>
      </w:pPr>
    </w:p>
    <w:p w14:paraId="1927C1AD" w14:textId="77777777" w:rsidR="004F40DC" w:rsidRPr="00E50224" w:rsidRDefault="004F40DC" w:rsidP="004F40DC">
      <w:pPr>
        <w:numPr>
          <w:ilvl w:val="0"/>
          <w:numId w:val="20"/>
        </w:numPr>
        <w:spacing w:after="160" w:line="259" w:lineRule="auto"/>
        <w:ind w:left="567" w:hanging="425"/>
        <w:contextualSpacing/>
        <w:jc w:val="both"/>
        <w:rPr>
          <w:rFonts w:ascii="Cambria" w:eastAsia="Calibri" w:hAnsi="Cambria" w:cs="Times New Roman"/>
          <w:sz w:val="20"/>
          <w:szCs w:val="20"/>
        </w:rPr>
      </w:pPr>
      <w:r w:rsidRPr="00E50224">
        <w:rPr>
          <w:rFonts w:ascii="Cambria" w:eastAsia="Calibri" w:hAnsi="Cambria" w:cs="Times New Roman"/>
          <w:sz w:val="20"/>
          <w:szCs w:val="22"/>
        </w:rPr>
        <w:t>Si es seguro desde el punto de vista operativo, se debería detener el buque o reducir en gran medida su velocidad.</w:t>
      </w:r>
    </w:p>
    <w:p w14:paraId="253DD800" w14:textId="77777777" w:rsidR="004F40DC" w:rsidRPr="00E50224" w:rsidRDefault="004F40DC" w:rsidP="004F40DC">
      <w:pPr>
        <w:numPr>
          <w:ilvl w:val="0"/>
          <w:numId w:val="20"/>
        </w:numPr>
        <w:spacing w:after="160" w:line="259" w:lineRule="auto"/>
        <w:ind w:left="567" w:hanging="425"/>
        <w:contextualSpacing/>
        <w:jc w:val="both"/>
        <w:rPr>
          <w:rFonts w:ascii="Cambria" w:eastAsia="Calibri" w:hAnsi="Cambria" w:cs="Times New Roman"/>
          <w:sz w:val="20"/>
          <w:szCs w:val="20"/>
        </w:rPr>
      </w:pPr>
      <w:r w:rsidRPr="00E50224">
        <w:rPr>
          <w:rFonts w:ascii="Cambria" w:eastAsia="Calibri" w:hAnsi="Cambria" w:cs="Times New Roman"/>
          <w:sz w:val="20"/>
          <w:szCs w:val="22"/>
        </w:rPr>
        <w:t xml:space="preserve">Cuando se produzcan enredos (en la red, liña de pesca, etc.), si se puede hacer de forma segura, se debería cortar cuidadosamente la red/liña apartándola del animal y liberando a este lo más rápidamente posible sin ningún elemento enredado en él. </w:t>
      </w:r>
    </w:p>
    <w:p w14:paraId="50943CC9" w14:textId="77777777" w:rsidR="004F40DC" w:rsidRPr="00E50224" w:rsidRDefault="004F40DC" w:rsidP="004F40DC">
      <w:pPr>
        <w:numPr>
          <w:ilvl w:val="0"/>
          <w:numId w:val="20"/>
        </w:numPr>
        <w:spacing w:after="160" w:line="259" w:lineRule="auto"/>
        <w:ind w:left="567" w:hanging="425"/>
        <w:contextualSpacing/>
        <w:jc w:val="both"/>
        <w:rPr>
          <w:rFonts w:ascii="Cambria" w:eastAsia="Calibri" w:hAnsi="Cambria" w:cs="Times New Roman"/>
          <w:sz w:val="20"/>
          <w:szCs w:val="20"/>
        </w:rPr>
      </w:pPr>
      <w:r w:rsidRPr="00E50224">
        <w:rPr>
          <w:rFonts w:ascii="Cambria" w:eastAsia="Calibri" w:hAnsi="Cambria" w:cs="Times New Roman"/>
          <w:sz w:val="20"/>
          <w:szCs w:val="22"/>
        </w:rPr>
        <w:t>Cuando sea posible, y mientras se mantiene el tiburón en el agua, se debería intentar medir la longitud del tiburón.</w:t>
      </w:r>
    </w:p>
    <w:p w14:paraId="61ECBB1E" w14:textId="77777777" w:rsidR="004F40DC" w:rsidRPr="00E50224" w:rsidRDefault="004F40DC" w:rsidP="004F40DC">
      <w:pPr>
        <w:numPr>
          <w:ilvl w:val="0"/>
          <w:numId w:val="20"/>
        </w:numPr>
        <w:spacing w:after="160" w:line="259" w:lineRule="auto"/>
        <w:ind w:left="567" w:hanging="425"/>
        <w:contextualSpacing/>
        <w:jc w:val="both"/>
        <w:rPr>
          <w:rFonts w:ascii="Cambria" w:eastAsia="Calibri" w:hAnsi="Cambria" w:cs="Times New Roman"/>
          <w:sz w:val="20"/>
          <w:szCs w:val="20"/>
        </w:rPr>
      </w:pPr>
      <w:r w:rsidRPr="00E50224">
        <w:rPr>
          <w:rFonts w:ascii="Cambria" w:eastAsia="Calibri" w:hAnsi="Cambria" w:cs="Times New Roman"/>
          <w:sz w:val="20"/>
          <w:szCs w:val="22"/>
        </w:rPr>
        <w:t xml:space="preserve">Para evitar mordeduras se debería colocar un objeto, un pez o un palo grande/estaca de madera, en la mandíbula del tiburón. </w:t>
      </w:r>
    </w:p>
    <w:p w14:paraId="51D34E68" w14:textId="77777777" w:rsidR="004F40DC" w:rsidRPr="00E50224" w:rsidRDefault="004F40DC" w:rsidP="004F40DC">
      <w:pPr>
        <w:numPr>
          <w:ilvl w:val="0"/>
          <w:numId w:val="20"/>
        </w:numPr>
        <w:spacing w:after="160" w:line="259" w:lineRule="auto"/>
        <w:ind w:left="567" w:hanging="425"/>
        <w:contextualSpacing/>
        <w:jc w:val="both"/>
        <w:rPr>
          <w:rFonts w:ascii="Cambria" w:eastAsia="Calibri" w:hAnsi="Cambria" w:cs="Times New Roman"/>
          <w:sz w:val="20"/>
          <w:szCs w:val="20"/>
        </w:rPr>
      </w:pPr>
      <w:r w:rsidRPr="00E50224">
        <w:rPr>
          <w:rFonts w:ascii="Cambria" w:eastAsia="Calibri" w:hAnsi="Cambria" w:cs="Times New Roman"/>
          <w:sz w:val="20"/>
          <w:szCs w:val="22"/>
        </w:rPr>
        <w:t>Si, por cualquier razón, se tiene que subir a cubierta un tiburón, entonces debería reducirse al mínimo el tiempo que se tarda en devolverlo al agua para incrementar sus posibilidades de supervivencia y reducir el riesgo para la tripulación.</w:t>
      </w:r>
    </w:p>
    <w:p w14:paraId="31A76DA7" w14:textId="77777777" w:rsidR="004F40DC" w:rsidRPr="00E50224" w:rsidRDefault="004F40DC" w:rsidP="004F40DC">
      <w:pPr>
        <w:jc w:val="both"/>
        <w:rPr>
          <w:rFonts w:ascii="Cambria" w:eastAsia="Calibri" w:hAnsi="Cambria" w:cs="Times New Roman"/>
          <w:sz w:val="14"/>
          <w:szCs w:val="14"/>
        </w:rPr>
      </w:pPr>
    </w:p>
    <w:p w14:paraId="7F266772" w14:textId="77777777" w:rsidR="004F40DC" w:rsidRPr="00E50224" w:rsidRDefault="004F40DC" w:rsidP="004F40DC">
      <w:pPr>
        <w:contextualSpacing/>
        <w:jc w:val="both"/>
        <w:rPr>
          <w:rFonts w:ascii="Cambria" w:eastAsia="Calibri" w:hAnsi="Cambria" w:cs="Times New Roman"/>
          <w:b/>
          <w:sz w:val="20"/>
          <w:szCs w:val="20"/>
        </w:rPr>
      </w:pPr>
      <w:r w:rsidRPr="00E50224">
        <w:rPr>
          <w:rFonts w:ascii="Cambria" w:eastAsia="Calibri" w:hAnsi="Cambria" w:cs="Times New Roman"/>
          <w:b/>
          <w:sz w:val="20"/>
          <w:szCs w:val="22"/>
        </w:rPr>
        <w:t>Prácticas de manipulación segura específicas de las pesquerías de palangre</w:t>
      </w:r>
    </w:p>
    <w:p w14:paraId="7F5B8110" w14:textId="77777777" w:rsidR="004F40DC" w:rsidRPr="00E50224" w:rsidRDefault="004F40DC" w:rsidP="004F40DC">
      <w:pPr>
        <w:contextualSpacing/>
        <w:jc w:val="both"/>
        <w:rPr>
          <w:rFonts w:ascii="Cambria" w:eastAsia="Calibri" w:hAnsi="Cambria" w:cs="Times New Roman"/>
          <w:b/>
          <w:sz w:val="16"/>
          <w:szCs w:val="16"/>
        </w:rPr>
      </w:pPr>
    </w:p>
    <w:p w14:paraId="74733E5E" w14:textId="77777777" w:rsidR="004F40DC" w:rsidRPr="00E50224" w:rsidRDefault="004F40DC" w:rsidP="004F40DC">
      <w:pPr>
        <w:numPr>
          <w:ilvl w:val="0"/>
          <w:numId w:val="20"/>
        </w:numPr>
        <w:spacing w:after="160" w:line="259" w:lineRule="auto"/>
        <w:ind w:left="851" w:hanging="425"/>
        <w:contextualSpacing/>
        <w:jc w:val="both"/>
        <w:rPr>
          <w:rFonts w:ascii="Cambria" w:eastAsia="Calibri" w:hAnsi="Cambria" w:cs="Times New Roman"/>
          <w:sz w:val="20"/>
          <w:szCs w:val="20"/>
        </w:rPr>
      </w:pPr>
      <w:r w:rsidRPr="00E50224">
        <w:rPr>
          <w:rFonts w:ascii="Cambria" w:eastAsia="Calibri" w:hAnsi="Cambria" w:cs="Times New Roman"/>
          <w:sz w:val="20"/>
          <w:szCs w:val="22"/>
        </w:rPr>
        <w:t xml:space="preserve">Se debería acercar al tiburón lo más posible al buque sin ejercer demasiada tensión en la brazolada para evitar que un anzuelo suelto o la brazolada se rompa y lance los anzuelos, los pesos u otras partes a gran velocidad hacia el buque y la tripulación </w:t>
      </w:r>
    </w:p>
    <w:p w14:paraId="042C8A39" w14:textId="77777777" w:rsidR="004F40DC" w:rsidRPr="00E50224" w:rsidRDefault="004F40DC" w:rsidP="004F40DC">
      <w:pPr>
        <w:numPr>
          <w:ilvl w:val="0"/>
          <w:numId w:val="20"/>
        </w:numPr>
        <w:spacing w:after="160" w:line="259" w:lineRule="auto"/>
        <w:ind w:left="851" w:hanging="425"/>
        <w:contextualSpacing/>
        <w:jc w:val="both"/>
        <w:rPr>
          <w:rFonts w:ascii="Cambria" w:eastAsia="Calibri" w:hAnsi="Cambria" w:cs="Times New Roman"/>
          <w:sz w:val="20"/>
          <w:szCs w:val="20"/>
        </w:rPr>
      </w:pPr>
      <w:r w:rsidRPr="00E50224">
        <w:rPr>
          <w:rFonts w:ascii="Cambria" w:eastAsia="Calibri" w:hAnsi="Cambria" w:cs="Times New Roman"/>
          <w:sz w:val="20"/>
          <w:szCs w:val="22"/>
        </w:rPr>
        <w:t>Se debería sujetar firmemente el lado alejado de la línea principal del palangre al buque para evitar que cualquier parte del arte que quede en el agua tire de la línea y del animal.</w:t>
      </w:r>
    </w:p>
    <w:p w14:paraId="3BBF59BD" w14:textId="77777777" w:rsidR="004F40DC" w:rsidRPr="00E50224" w:rsidRDefault="004F40DC" w:rsidP="004F40DC">
      <w:pPr>
        <w:numPr>
          <w:ilvl w:val="0"/>
          <w:numId w:val="20"/>
        </w:numPr>
        <w:spacing w:after="160" w:line="259" w:lineRule="auto"/>
        <w:ind w:left="851" w:hanging="425"/>
        <w:contextualSpacing/>
        <w:jc w:val="both"/>
        <w:rPr>
          <w:rFonts w:ascii="Cambria" w:eastAsia="Calibri" w:hAnsi="Cambria" w:cs="Times New Roman"/>
          <w:sz w:val="20"/>
          <w:szCs w:val="20"/>
        </w:rPr>
      </w:pPr>
      <w:r w:rsidRPr="00E50224">
        <w:rPr>
          <w:rFonts w:ascii="Cambria" w:eastAsia="Calibri" w:hAnsi="Cambria" w:cs="Times New Roman"/>
          <w:sz w:val="20"/>
          <w:szCs w:val="22"/>
        </w:rPr>
        <w:t>Si el animal está enganchado al anzuelo y el anzuelo puede verse en el cuerpo o en la boca, se debería utilizar un desanzuelador o un cortador de pernos de mango largo para quitar la barba del anzuelo y, a continuación, extraer el anzuelo.</w:t>
      </w:r>
    </w:p>
    <w:p w14:paraId="36E287DE" w14:textId="77777777" w:rsidR="004F40DC" w:rsidRPr="00E50224" w:rsidRDefault="004F40DC" w:rsidP="004F40DC">
      <w:pPr>
        <w:numPr>
          <w:ilvl w:val="0"/>
          <w:numId w:val="20"/>
        </w:numPr>
        <w:spacing w:after="160" w:line="259" w:lineRule="auto"/>
        <w:ind w:left="851" w:hanging="425"/>
        <w:contextualSpacing/>
        <w:jc w:val="both"/>
        <w:rPr>
          <w:rFonts w:ascii="Cambria" w:eastAsia="Calibri" w:hAnsi="Cambria" w:cs="Times New Roman"/>
          <w:b/>
          <w:sz w:val="20"/>
          <w:szCs w:val="20"/>
        </w:rPr>
      </w:pPr>
      <w:r w:rsidRPr="00E50224">
        <w:rPr>
          <w:rFonts w:ascii="Cambria" w:eastAsia="Calibri" w:hAnsi="Cambria" w:cs="Times New Roman"/>
          <w:sz w:val="20"/>
          <w:szCs w:val="22"/>
        </w:rPr>
        <w:lastRenderedPageBreak/>
        <w:t>Si no es posible retirar el anzuelo o no se puede ver el anzuelo, se debería cortar la línea principal (o brazolada o bajo de línea) tan cerca del anzuelo como sea posible (idealmente dejando la menor cantidad posible de material de la línea y/o del bajo de línea y sin pesos atados al animal).</w:t>
      </w:r>
      <w:r w:rsidRPr="00E50224">
        <w:rPr>
          <w:rFonts w:ascii="Cambria" w:eastAsia="Calibri" w:hAnsi="Cambria" w:cs="Times New Roman"/>
          <w:color w:val="FF0000"/>
          <w:sz w:val="20"/>
          <w:szCs w:val="22"/>
        </w:rPr>
        <w:t xml:space="preserve"> </w:t>
      </w:r>
    </w:p>
    <w:p w14:paraId="2B83322E" w14:textId="77777777" w:rsidR="004F40DC" w:rsidRPr="00E50224" w:rsidRDefault="004F40DC" w:rsidP="004F40DC">
      <w:pPr>
        <w:contextualSpacing/>
        <w:jc w:val="both"/>
        <w:rPr>
          <w:rFonts w:ascii="Cambria" w:eastAsia="Calibri" w:hAnsi="Cambria" w:cs="Times New Roman"/>
          <w:b/>
          <w:sz w:val="16"/>
          <w:szCs w:val="16"/>
        </w:rPr>
      </w:pPr>
    </w:p>
    <w:p w14:paraId="6328E314" w14:textId="77777777" w:rsidR="004F40DC" w:rsidRPr="00E50224" w:rsidRDefault="004F40DC" w:rsidP="004F40DC">
      <w:pPr>
        <w:contextualSpacing/>
        <w:jc w:val="both"/>
        <w:rPr>
          <w:rFonts w:ascii="Cambria" w:eastAsia="Calibri" w:hAnsi="Cambria" w:cs="Times New Roman"/>
          <w:b/>
          <w:sz w:val="20"/>
          <w:szCs w:val="20"/>
        </w:rPr>
      </w:pPr>
      <w:r w:rsidRPr="00E50224">
        <w:rPr>
          <w:rFonts w:ascii="Cambria" w:eastAsia="Calibri" w:hAnsi="Cambria" w:cs="Times New Roman"/>
          <w:b/>
          <w:sz w:val="20"/>
          <w:szCs w:val="22"/>
        </w:rPr>
        <w:t>Prácticas de manipulación seguras específicas de las pesquerías de cerco</w:t>
      </w:r>
    </w:p>
    <w:p w14:paraId="329C6456" w14:textId="77777777" w:rsidR="004F40DC" w:rsidRPr="00E50224" w:rsidRDefault="004F40DC" w:rsidP="004F40DC">
      <w:pPr>
        <w:contextualSpacing/>
        <w:jc w:val="both"/>
        <w:rPr>
          <w:rFonts w:ascii="Cambria" w:eastAsia="Calibri" w:hAnsi="Cambria" w:cs="Times New Roman"/>
          <w:b/>
          <w:sz w:val="16"/>
          <w:szCs w:val="16"/>
        </w:rPr>
      </w:pPr>
    </w:p>
    <w:p w14:paraId="34C20A90" w14:textId="77777777" w:rsidR="004F40DC" w:rsidRPr="00E50224" w:rsidRDefault="004F40DC" w:rsidP="004F40DC">
      <w:pPr>
        <w:numPr>
          <w:ilvl w:val="0"/>
          <w:numId w:val="20"/>
        </w:numPr>
        <w:spacing w:after="160" w:line="259" w:lineRule="auto"/>
        <w:ind w:left="851" w:hanging="425"/>
        <w:contextualSpacing/>
        <w:jc w:val="both"/>
        <w:rPr>
          <w:rFonts w:ascii="Cambria" w:eastAsia="Calibri" w:hAnsi="Cambria" w:cs="Times New Roman"/>
          <w:sz w:val="20"/>
          <w:szCs w:val="20"/>
        </w:rPr>
      </w:pPr>
      <w:r w:rsidRPr="00E50224">
        <w:rPr>
          <w:rFonts w:ascii="Cambria" w:eastAsia="Calibri" w:hAnsi="Cambria" w:cs="Times New Roman"/>
          <w:sz w:val="20"/>
          <w:szCs w:val="22"/>
        </w:rPr>
        <w:t>Si está en la red de cerco: se debería examinar detenidamente la red con la mayor antelación posible para detectar tiburones lo antes posible y poder reaccionar rápidamente. Se debería evitar izarlo con la red hacia el halador de la red. Se debería aminorar la velocidad para reducir la tensión de la red y permitir que el animal enredado pueda sacarse de la red. Si es necesario, pueden utilizarse cortadores para cortar la red.</w:t>
      </w:r>
    </w:p>
    <w:p w14:paraId="131C0F8E" w14:textId="77777777" w:rsidR="004F40DC" w:rsidRPr="00E50224" w:rsidRDefault="004F40DC" w:rsidP="004F40DC">
      <w:pPr>
        <w:ind w:left="1440"/>
        <w:contextualSpacing/>
        <w:jc w:val="both"/>
        <w:rPr>
          <w:rFonts w:ascii="Cambria" w:eastAsia="Calibri" w:hAnsi="Cambria" w:cs="Times New Roman"/>
          <w:sz w:val="20"/>
          <w:szCs w:val="20"/>
        </w:rPr>
      </w:pPr>
      <w:r w:rsidRPr="00E50224">
        <w:rPr>
          <w:rFonts w:ascii="Cambria" w:eastAsia="Calibri" w:hAnsi="Cambria" w:cs="Times New Roman"/>
          <w:sz w:val="20"/>
          <w:szCs w:val="22"/>
        </w:rPr>
        <w:t xml:space="preserve"> </w:t>
      </w:r>
    </w:p>
    <w:p w14:paraId="368D7AE0" w14:textId="5463797F" w:rsidR="004F40DC" w:rsidRPr="00E50224" w:rsidRDefault="004F40DC" w:rsidP="004F40DC">
      <w:pPr>
        <w:numPr>
          <w:ilvl w:val="0"/>
          <w:numId w:val="20"/>
        </w:numPr>
        <w:spacing w:after="160" w:line="259" w:lineRule="auto"/>
        <w:ind w:left="851" w:hanging="425"/>
        <w:contextualSpacing/>
        <w:jc w:val="both"/>
        <w:rPr>
          <w:rFonts w:ascii="Cambria" w:eastAsia="Calibri" w:hAnsi="Cambria" w:cs="Times New Roman"/>
          <w:sz w:val="20"/>
          <w:szCs w:val="20"/>
        </w:rPr>
      </w:pPr>
      <w:r w:rsidRPr="00E50224">
        <w:rPr>
          <w:rFonts w:ascii="Cambria" w:eastAsia="Calibri" w:hAnsi="Cambria" w:cs="Times New Roman"/>
          <w:sz w:val="20"/>
          <w:szCs w:val="22"/>
        </w:rPr>
        <w:t>Si está en el salabardo o en cubierta: se debería utilizar una red de carga de malla grande o una eslinga de lona o un dispositivo similar</w:t>
      </w:r>
      <w:r w:rsidR="00D6723D" w:rsidRPr="00E50224">
        <w:rPr>
          <w:rFonts w:ascii="Cambria" w:eastAsia="Calibri" w:hAnsi="Cambria" w:cs="Times New Roman"/>
          <w:sz w:val="20"/>
          <w:szCs w:val="22"/>
        </w:rPr>
        <w:t xml:space="preserve"> diseñado este efecto</w:t>
      </w:r>
      <w:r w:rsidRPr="00E50224">
        <w:rPr>
          <w:rFonts w:ascii="Cambria" w:eastAsia="Calibri" w:hAnsi="Cambria" w:cs="Times New Roman"/>
          <w:sz w:val="20"/>
          <w:szCs w:val="22"/>
        </w:rPr>
        <w:t>. Si el diseño del buque lo permite, el tiburón podría liberarse también vaciando directamente el salabardo en una tolva y rampa de liberación colocada en un ángulo que conecte con una apertura en la borda de la cubierta superior, sin que la tripulación tenga que levantarlo o manipularlo.</w:t>
      </w:r>
    </w:p>
    <w:p w14:paraId="6CAFB75E" w14:textId="77777777" w:rsidR="004F40DC" w:rsidRPr="00E50224" w:rsidRDefault="004F40DC" w:rsidP="004F40DC">
      <w:pPr>
        <w:jc w:val="both"/>
        <w:rPr>
          <w:rFonts w:ascii="Cambria" w:eastAsia="Calibri" w:hAnsi="Cambria" w:cs="Times New Roman"/>
          <w:sz w:val="16"/>
          <w:szCs w:val="16"/>
        </w:rPr>
      </w:pPr>
    </w:p>
    <w:p w14:paraId="2C1A82BE" w14:textId="77777777" w:rsidR="004F40DC" w:rsidRPr="00E50224" w:rsidRDefault="004F40DC" w:rsidP="004F40DC">
      <w:pPr>
        <w:contextualSpacing/>
        <w:jc w:val="both"/>
        <w:rPr>
          <w:rFonts w:ascii="Cambria" w:eastAsia="Calibri" w:hAnsi="Cambria" w:cs="Times New Roman"/>
          <w:b/>
          <w:sz w:val="20"/>
          <w:szCs w:val="20"/>
        </w:rPr>
      </w:pPr>
      <w:r w:rsidRPr="00E50224">
        <w:rPr>
          <w:rFonts w:ascii="Cambria" w:eastAsia="Calibri" w:hAnsi="Cambria" w:cs="Times New Roman"/>
          <w:b/>
          <w:sz w:val="20"/>
          <w:szCs w:val="22"/>
        </w:rPr>
        <w:t>EN NINGÚN CASO SE DEBE (en todas las pesquerías)</w:t>
      </w:r>
    </w:p>
    <w:p w14:paraId="10167497" w14:textId="77777777" w:rsidR="004F40DC" w:rsidRPr="00E50224" w:rsidRDefault="004F40DC" w:rsidP="004F40DC">
      <w:pPr>
        <w:contextualSpacing/>
        <w:jc w:val="both"/>
        <w:rPr>
          <w:rFonts w:ascii="Cambria" w:eastAsia="Calibri" w:hAnsi="Cambria" w:cs="Times New Roman"/>
          <w:b/>
          <w:sz w:val="16"/>
          <w:szCs w:val="16"/>
        </w:rPr>
      </w:pPr>
    </w:p>
    <w:p w14:paraId="488375DC" w14:textId="159102A8" w:rsidR="004F40DC" w:rsidRPr="00E50224" w:rsidRDefault="003737E2" w:rsidP="004F40DC">
      <w:pPr>
        <w:numPr>
          <w:ilvl w:val="0"/>
          <w:numId w:val="20"/>
        </w:numPr>
        <w:spacing w:after="160" w:line="259" w:lineRule="auto"/>
        <w:ind w:left="851" w:hanging="425"/>
        <w:contextualSpacing/>
        <w:jc w:val="both"/>
        <w:rPr>
          <w:rFonts w:ascii="Cambria" w:eastAsia="Calibri" w:hAnsi="Cambria" w:cs="Times New Roman"/>
          <w:sz w:val="20"/>
          <w:szCs w:val="20"/>
        </w:rPr>
      </w:pPr>
      <w:r w:rsidRPr="00E50224">
        <w:rPr>
          <w:rFonts w:ascii="Cambria" w:eastAsia="Calibri" w:hAnsi="Cambria" w:cs="Times New Roman"/>
          <w:sz w:val="20"/>
          <w:szCs w:val="22"/>
        </w:rPr>
        <w:t xml:space="preserve">En la medida en que sea viable, no </w:t>
      </w:r>
      <w:r w:rsidR="00412F1A" w:rsidRPr="00E50224">
        <w:rPr>
          <w:rFonts w:ascii="Cambria" w:eastAsia="Calibri" w:hAnsi="Cambria" w:cs="Times New Roman"/>
          <w:sz w:val="20"/>
          <w:szCs w:val="22"/>
        </w:rPr>
        <w:t>s</w:t>
      </w:r>
      <w:r w:rsidR="004F40DC" w:rsidRPr="00E50224">
        <w:rPr>
          <w:rFonts w:ascii="Cambria" w:eastAsia="Calibri" w:hAnsi="Cambria" w:cs="Times New Roman"/>
          <w:sz w:val="20"/>
          <w:szCs w:val="22"/>
        </w:rPr>
        <w:t>acar a los tiburones del agua utilizando la brazolada, especialmente si están enganchados</w:t>
      </w:r>
      <w:r w:rsidRPr="00E50224">
        <w:rPr>
          <w:rFonts w:ascii="Cambria" w:eastAsia="Calibri" w:hAnsi="Cambria" w:cs="Times New Roman"/>
          <w:sz w:val="20"/>
          <w:szCs w:val="22"/>
        </w:rPr>
        <w:t>, a menos que sea necesario levantar al tiburón para identificar la especie</w:t>
      </w:r>
      <w:r w:rsidR="004F40DC" w:rsidRPr="00E50224">
        <w:rPr>
          <w:rFonts w:ascii="Cambria" w:eastAsia="Calibri" w:hAnsi="Cambria" w:cs="Times New Roman"/>
          <w:sz w:val="20"/>
          <w:szCs w:val="22"/>
        </w:rPr>
        <w:t xml:space="preserve">. </w:t>
      </w:r>
    </w:p>
    <w:p w14:paraId="764D4AD1" w14:textId="77777777" w:rsidR="004F40DC" w:rsidRPr="00E50224" w:rsidRDefault="004F40DC" w:rsidP="004F40DC">
      <w:pPr>
        <w:numPr>
          <w:ilvl w:val="0"/>
          <w:numId w:val="20"/>
        </w:numPr>
        <w:spacing w:after="160" w:line="259" w:lineRule="auto"/>
        <w:ind w:left="851" w:hanging="425"/>
        <w:contextualSpacing/>
        <w:jc w:val="both"/>
        <w:rPr>
          <w:rFonts w:ascii="Cambria" w:eastAsia="Calibri" w:hAnsi="Cambria" w:cs="Times New Roman"/>
          <w:sz w:val="20"/>
          <w:szCs w:val="20"/>
        </w:rPr>
      </w:pPr>
      <w:r w:rsidRPr="00E50224">
        <w:rPr>
          <w:rFonts w:ascii="Cambria" w:eastAsia="Calibri" w:hAnsi="Cambria" w:cs="Times New Roman"/>
          <w:sz w:val="20"/>
          <w:szCs w:val="22"/>
        </w:rPr>
        <w:t>Levantar a los tiburones usando cables o alambres finos o solo por la cola.</w:t>
      </w:r>
    </w:p>
    <w:p w14:paraId="0E3C2239" w14:textId="77777777" w:rsidR="004F40DC" w:rsidRPr="00E50224" w:rsidRDefault="004F40DC" w:rsidP="004F40DC">
      <w:pPr>
        <w:numPr>
          <w:ilvl w:val="0"/>
          <w:numId w:val="20"/>
        </w:numPr>
        <w:spacing w:after="160" w:line="259" w:lineRule="auto"/>
        <w:ind w:left="851" w:hanging="425"/>
        <w:contextualSpacing/>
        <w:jc w:val="both"/>
        <w:rPr>
          <w:rFonts w:ascii="Cambria" w:eastAsia="Calibri" w:hAnsi="Cambria" w:cs="Times New Roman"/>
          <w:sz w:val="20"/>
          <w:szCs w:val="20"/>
        </w:rPr>
      </w:pPr>
      <w:r w:rsidRPr="00E50224">
        <w:rPr>
          <w:rFonts w:ascii="Cambria" w:eastAsia="Calibri" w:hAnsi="Cambria" w:cs="Times New Roman"/>
          <w:sz w:val="20"/>
          <w:szCs w:val="22"/>
        </w:rPr>
        <w:t>Golpear al tiburón contra cualquier superficie para liberarlo de la línea.</w:t>
      </w:r>
    </w:p>
    <w:p w14:paraId="33F9A692" w14:textId="77777777" w:rsidR="004F40DC" w:rsidRPr="00E50224" w:rsidRDefault="004F40DC" w:rsidP="004F40DC">
      <w:pPr>
        <w:numPr>
          <w:ilvl w:val="0"/>
          <w:numId w:val="20"/>
        </w:numPr>
        <w:spacing w:after="160" w:line="259" w:lineRule="auto"/>
        <w:ind w:left="851" w:hanging="425"/>
        <w:contextualSpacing/>
        <w:jc w:val="both"/>
        <w:rPr>
          <w:rFonts w:ascii="Cambria" w:eastAsia="Calibri" w:hAnsi="Cambria" w:cs="Times New Roman"/>
          <w:sz w:val="20"/>
          <w:szCs w:val="20"/>
        </w:rPr>
      </w:pPr>
      <w:r w:rsidRPr="00E50224">
        <w:rPr>
          <w:rFonts w:ascii="Cambria" w:eastAsia="Calibri" w:hAnsi="Cambria" w:cs="Times New Roman"/>
          <w:sz w:val="20"/>
          <w:szCs w:val="22"/>
        </w:rPr>
        <w:t xml:space="preserve">Tratar de extraer un anzuelo que se ha ingerido profundamente y que no puede verse. </w:t>
      </w:r>
    </w:p>
    <w:p w14:paraId="0B77FBEB" w14:textId="77777777" w:rsidR="004F40DC" w:rsidRPr="00E50224" w:rsidRDefault="004F40DC" w:rsidP="004F40DC">
      <w:pPr>
        <w:numPr>
          <w:ilvl w:val="0"/>
          <w:numId w:val="20"/>
        </w:numPr>
        <w:spacing w:after="160" w:line="259" w:lineRule="auto"/>
        <w:ind w:left="851" w:hanging="425"/>
        <w:contextualSpacing/>
        <w:jc w:val="both"/>
        <w:rPr>
          <w:rFonts w:ascii="Cambria" w:eastAsia="Calibri" w:hAnsi="Cambria" w:cs="Times New Roman"/>
          <w:sz w:val="20"/>
          <w:szCs w:val="20"/>
        </w:rPr>
      </w:pPr>
      <w:r w:rsidRPr="00E50224">
        <w:rPr>
          <w:rFonts w:ascii="Cambria" w:eastAsia="Calibri" w:hAnsi="Cambria" w:cs="Times New Roman"/>
          <w:sz w:val="20"/>
          <w:szCs w:val="22"/>
        </w:rPr>
        <w:t>Tratar de quitar el anzuelo tirando con fuerza de la brazolada.</w:t>
      </w:r>
    </w:p>
    <w:p w14:paraId="150827C9" w14:textId="77777777" w:rsidR="004F40DC" w:rsidRPr="00E50224" w:rsidRDefault="004F40DC" w:rsidP="004F40DC">
      <w:pPr>
        <w:numPr>
          <w:ilvl w:val="0"/>
          <w:numId w:val="20"/>
        </w:numPr>
        <w:spacing w:after="160" w:line="259" w:lineRule="auto"/>
        <w:ind w:left="851" w:hanging="425"/>
        <w:contextualSpacing/>
        <w:jc w:val="both"/>
        <w:rPr>
          <w:rFonts w:ascii="Cambria" w:eastAsia="Calibri" w:hAnsi="Cambria" w:cs="Times New Roman"/>
          <w:sz w:val="20"/>
          <w:szCs w:val="20"/>
        </w:rPr>
      </w:pPr>
      <w:r w:rsidRPr="00E50224">
        <w:rPr>
          <w:rFonts w:ascii="Cambria" w:eastAsia="Calibri" w:hAnsi="Cambria" w:cs="Times New Roman"/>
          <w:sz w:val="20"/>
          <w:szCs w:val="22"/>
        </w:rPr>
        <w:t>Cortar la cola o cualquier otra parte de su cuerpo.</w:t>
      </w:r>
    </w:p>
    <w:p w14:paraId="74EB1372" w14:textId="77777777" w:rsidR="004F40DC" w:rsidRPr="00E50224" w:rsidRDefault="004F40DC" w:rsidP="004F40DC">
      <w:pPr>
        <w:numPr>
          <w:ilvl w:val="0"/>
          <w:numId w:val="20"/>
        </w:numPr>
        <w:spacing w:after="160" w:line="259" w:lineRule="auto"/>
        <w:ind w:left="851" w:hanging="425"/>
        <w:contextualSpacing/>
        <w:jc w:val="both"/>
        <w:rPr>
          <w:rFonts w:ascii="Cambria" w:eastAsia="Calibri" w:hAnsi="Cambria" w:cs="Times New Roman"/>
          <w:sz w:val="20"/>
          <w:szCs w:val="20"/>
        </w:rPr>
      </w:pPr>
      <w:r w:rsidRPr="00E50224">
        <w:rPr>
          <w:rFonts w:ascii="Cambria" w:eastAsia="Calibri" w:hAnsi="Cambria" w:cs="Times New Roman"/>
          <w:sz w:val="20"/>
          <w:szCs w:val="22"/>
        </w:rPr>
        <w:t>Cortar o agujerear el cuerpo del tiburón.</w:t>
      </w:r>
    </w:p>
    <w:p w14:paraId="7955FCEA" w14:textId="77777777" w:rsidR="004F40DC" w:rsidRPr="00E50224" w:rsidRDefault="004F40DC" w:rsidP="004F40DC">
      <w:pPr>
        <w:numPr>
          <w:ilvl w:val="0"/>
          <w:numId w:val="20"/>
        </w:numPr>
        <w:spacing w:after="160" w:line="259" w:lineRule="auto"/>
        <w:ind w:left="851" w:hanging="425"/>
        <w:contextualSpacing/>
        <w:jc w:val="both"/>
        <w:rPr>
          <w:rFonts w:ascii="Cambria" w:eastAsia="Calibri" w:hAnsi="Cambria" w:cs="Times New Roman"/>
          <w:sz w:val="20"/>
          <w:szCs w:val="20"/>
        </w:rPr>
      </w:pPr>
      <w:r w:rsidRPr="00E50224">
        <w:rPr>
          <w:rFonts w:ascii="Cambria" w:eastAsia="Calibri" w:hAnsi="Cambria" w:cs="Times New Roman"/>
          <w:sz w:val="20"/>
          <w:szCs w:val="22"/>
        </w:rPr>
        <w:t>Golpear o patear a un tiburón, o introducir las manos en las hendiduras branquiales.</w:t>
      </w:r>
    </w:p>
    <w:p w14:paraId="72D48AA0" w14:textId="77777777" w:rsidR="004F40DC" w:rsidRPr="00E50224" w:rsidRDefault="004F40DC" w:rsidP="004F40DC">
      <w:pPr>
        <w:numPr>
          <w:ilvl w:val="0"/>
          <w:numId w:val="20"/>
        </w:numPr>
        <w:spacing w:after="160" w:line="259" w:lineRule="auto"/>
        <w:ind w:left="851" w:hanging="425"/>
        <w:contextualSpacing/>
        <w:jc w:val="both"/>
        <w:rPr>
          <w:rFonts w:ascii="Cambria" w:eastAsia="Calibri" w:hAnsi="Cambria" w:cs="Times New Roman"/>
          <w:sz w:val="20"/>
          <w:szCs w:val="20"/>
        </w:rPr>
      </w:pPr>
      <w:r w:rsidRPr="00E50224">
        <w:rPr>
          <w:rFonts w:ascii="Cambria" w:eastAsia="Calibri" w:hAnsi="Cambria" w:cs="Times New Roman"/>
          <w:sz w:val="20"/>
          <w:szCs w:val="22"/>
        </w:rPr>
        <w:t>Exponer al tiburón a los rayos solares durante mucho tiempo.</w:t>
      </w:r>
    </w:p>
    <w:p w14:paraId="5ED7126F" w14:textId="77777777" w:rsidR="004F40DC" w:rsidRPr="00E50224" w:rsidRDefault="004F40DC" w:rsidP="004F40DC">
      <w:pPr>
        <w:numPr>
          <w:ilvl w:val="0"/>
          <w:numId w:val="20"/>
        </w:numPr>
        <w:spacing w:after="160" w:line="259" w:lineRule="auto"/>
        <w:ind w:left="851" w:hanging="425"/>
        <w:contextualSpacing/>
        <w:jc w:val="both"/>
        <w:rPr>
          <w:rFonts w:ascii="Cambria" w:eastAsia="Calibri" w:hAnsi="Cambria" w:cs="Times New Roman"/>
          <w:sz w:val="20"/>
          <w:szCs w:val="20"/>
        </w:rPr>
      </w:pPr>
      <w:r w:rsidRPr="00E50224">
        <w:rPr>
          <w:rFonts w:ascii="Cambria" w:eastAsia="Calibri" w:hAnsi="Cambria" w:cs="Times New Roman"/>
          <w:sz w:val="20"/>
          <w:szCs w:val="22"/>
        </w:rPr>
        <w:t>Enrollar los dedos, las manos o los brazos en la línea al izar un tiburón o una raya (esto puede provocar lesiones graves).</w:t>
      </w:r>
    </w:p>
    <w:p w14:paraId="7BEB2554" w14:textId="77777777" w:rsidR="004F40DC" w:rsidRPr="00E50224" w:rsidRDefault="004F40DC" w:rsidP="004F40DC">
      <w:pPr>
        <w:ind w:left="720"/>
        <w:contextualSpacing/>
        <w:jc w:val="both"/>
        <w:rPr>
          <w:rFonts w:ascii="Cambria" w:eastAsia="Calibri" w:hAnsi="Cambria" w:cs="Times New Roman"/>
          <w:sz w:val="16"/>
          <w:szCs w:val="16"/>
        </w:rPr>
      </w:pPr>
    </w:p>
    <w:p w14:paraId="07041522" w14:textId="77777777" w:rsidR="004F40DC" w:rsidRPr="00E50224" w:rsidRDefault="004F40DC" w:rsidP="004F40DC">
      <w:pPr>
        <w:contextualSpacing/>
        <w:jc w:val="both"/>
        <w:rPr>
          <w:rFonts w:ascii="Cambria" w:eastAsia="Times New Roman" w:hAnsi="Cambria" w:cs="Segoe UI"/>
          <w:b/>
          <w:sz w:val="20"/>
          <w:szCs w:val="20"/>
        </w:rPr>
      </w:pPr>
      <w:r w:rsidRPr="00E50224">
        <w:rPr>
          <w:rFonts w:ascii="Cambria" w:eastAsia="Calibri" w:hAnsi="Cambria" w:cs="Times New Roman"/>
          <w:b/>
          <w:sz w:val="20"/>
          <w:szCs w:val="22"/>
        </w:rPr>
        <w:t xml:space="preserve">Dispositivos útiles para una manipulación y liberación seguras </w:t>
      </w:r>
    </w:p>
    <w:p w14:paraId="42AB7884" w14:textId="77777777" w:rsidR="004F40DC" w:rsidRPr="00E50224" w:rsidRDefault="004F40DC" w:rsidP="004F40DC">
      <w:pPr>
        <w:contextualSpacing/>
        <w:jc w:val="both"/>
        <w:rPr>
          <w:rFonts w:ascii="Cambria" w:eastAsia="Times New Roman" w:hAnsi="Cambria" w:cs="Segoe UI"/>
          <w:b/>
          <w:sz w:val="12"/>
          <w:szCs w:val="12"/>
        </w:rPr>
      </w:pPr>
    </w:p>
    <w:p w14:paraId="473B3E83" w14:textId="64A105B3" w:rsidR="004F40DC" w:rsidRPr="00E50224" w:rsidRDefault="004F40DC" w:rsidP="004F40DC">
      <w:pPr>
        <w:numPr>
          <w:ilvl w:val="0"/>
          <w:numId w:val="20"/>
        </w:numPr>
        <w:spacing w:after="160" w:line="259" w:lineRule="auto"/>
        <w:ind w:left="851" w:hanging="425"/>
        <w:contextualSpacing/>
        <w:jc w:val="both"/>
        <w:rPr>
          <w:rFonts w:ascii="Cambria" w:eastAsia="Calibri" w:hAnsi="Cambria" w:cs="Times New Roman"/>
          <w:sz w:val="20"/>
          <w:szCs w:val="20"/>
        </w:rPr>
      </w:pPr>
      <w:r w:rsidRPr="00E50224">
        <w:rPr>
          <w:rFonts w:ascii="Cambria" w:eastAsia="Calibri" w:hAnsi="Cambria" w:cs="Times New Roman"/>
          <w:sz w:val="20"/>
          <w:szCs w:val="22"/>
        </w:rPr>
        <w:t xml:space="preserve">Guantes (la piel del tiburón es áspera; </w:t>
      </w:r>
      <w:r w:rsidR="00231F52" w:rsidRPr="00E50224">
        <w:rPr>
          <w:rFonts w:ascii="Cambria" w:eastAsia="Calibri" w:hAnsi="Cambria" w:cs="Times New Roman"/>
          <w:sz w:val="20"/>
          <w:szCs w:val="22"/>
        </w:rPr>
        <w:t>esto garantiza</w:t>
      </w:r>
      <w:r w:rsidRPr="00E50224">
        <w:rPr>
          <w:rFonts w:ascii="Cambria" w:eastAsia="Calibri" w:hAnsi="Cambria" w:cs="Times New Roman"/>
          <w:sz w:val="20"/>
          <w:szCs w:val="22"/>
        </w:rPr>
        <w:t xml:space="preserve"> una manipulación segura del tiburón y protege las manos de la tripulación de las mordeduras)</w:t>
      </w:r>
      <w:r w:rsidR="00231F52" w:rsidRPr="00E50224">
        <w:rPr>
          <w:rFonts w:ascii="Cambria" w:eastAsia="Calibri" w:hAnsi="Cambria" w:cs="Times New Roman"/>
          <w:sz w:val="20"/>
          <w:szCs w:val="22"/>
        </w:rPr>
        <w:t>.</w:t>
      </w:r>
      <w:r w:rsidRPr="00E50224">
        <w:rPr>
          <w:rFonts w:ascii="Cambria" w:eastAsia="Calibri" w:hAnsi="Cambria" w:cs="Times New Roman"/>
          <w:sz w:val="20"/>
          <w:szCs w:val="22"/>
        </w:rPr>
        <w:t xml:space="preserve"> </w:t>
      </w:r>
    </w:p>
    <w:p w14:paraId="46DA0A45" w14:textId="7F1D0730" w:rsidR="004F40DC" w:rsidRPr="00E50224" w:rsidRDefault="004F40DC" w:rsidP="004F40DC">
      <w:pPr>
        <w:numPr>
          <w:ilvl w:val="0"/>
          <w:numId w:val="20"/>
        </w:numPr>
        <w:spacing w:after="160" w:line="259" w:lineRule="auto"/>
        <w:ind w:left="851" w:hanging="425"/>
        <w:contextualSpacing/>
        <w:jc w:val="both"/>
        <w:rPr>
          <w:rFonts w:ascii="Cambria" w:eastAsia="Calibri" w:hAnsi="Cambria" w:cs="Times New Roman"/>
          <w:sz w:val="20"/>
          <w:szCs w:val="20"/>
        </w:rPr>
      </w:pPr>
      <w:r w:rsidRPr="00E50224">
        <w:rPr>
          <w:rFonts w:ascii="Cambria" w:eastAsia="Calibri" w:hAnsi="Cambria" w:cs="Times New Roman"/>
          <w:sz w:val="20"/>
          <w:szCs w:val="22"/>
        </w:rPr>
        <w:t>Toalla o paño (se puede colocar una toalla o paño empapado en agua de mar sobre los ojos del tiburón; se utiliza para calmar a los tiburones)</w:t>
      </w:r>
      <w:r w:rsidR="00231F52" w:rsidRPr="00E50224">
        <w:rPr>
          <w:rFonts w:ascii="Cambria" w:eastAsia="Calibri" w:hAnsi="Cambria" w:cs="Times New Roman"/>
          <w:sz w:val="20"/>
          <w:szCs w:val="22"/>
        </w:rPr>
        <w:t>.</w:t>
      </w:r>
    </w:p>
    <w:p w14:paraId="35C8DB60" w14:textId="67D31902" w:rsidR="004F40DC" w:rsidRPr="00E50224" w:rsidRDefault="004F40DC" w:rsidP="004F40DC">
      <w:pPr>
        <w:numPr>
          <w:ilvl w:val="0"/>
          <w:numId w:val="20"/>
        </w:numPr>
        <w:spacing w:after="160" w:line="259" w:lineRule="auto"/>
        <w:ind w:left="851" w:hanging="425"/>
        <w:contextualSpacing/>
        <w:jc w:val="both"/>
        <w:rPr>
          <w:rFonts w:ascii="Cambria" w:eastAsia="Calibri" w:hAnsi="Cambria" w:cs="Times New Roman"/>
          <w:sz w:val="20"/>
          <w:szCs w:val="20"/>
        </w:rPr>
      </w:pPr>
      <w:r w:rsidRPr="00E50224">
        <w:rPr>
          <w:rFonts w:ascii="Cambria" w:eastAsia="Calibri" w:hAnsi="Cambria" w:cs="Times New Roman"/>
          <w:sz w:val="20"/>
          <w:szCs w:val="22"/>
        </w:rPr>
        <w:t>Dispositivos desanzueladores (por ejemplo, desanzueladores en forma de cola de cerdo, cortadores de pernos o pinzas)</w:t>
      </w:r>
      <w:r w:rsidR="00231F52" w:rsidRPr="00E50224">
        <w:rPr>
          <w:rFonts w:ascii="Cambria" w:eastAsia="Calibri" w:hAnsi="Cambria" w:cs="Times New Roman"/>
          <w:sz w:val="20"/>
          <w:szCs w:val="22"/>
        </w:rPr>
        <w:t>.</w:t>
      </w:r>
    </w:p>
    <w:p w14:paraId="7594B156" w14:textId="287360F5" w:rsidR="004F40DC" w:rsidRPr="00E50224" w:rsidRDefault="004F40DC" w:rsidP="004F40DC">
      <w:pPr>
        <w:numPr>
          <w:ilvl w:val="0"/>
          <w:numId w:val="20"/>
        </w:numPr>
        <w:spacing w:after="160" w:line="259" w:lineRule="auto"/>
        <w:ind w:left="851" w:hanging="425"/>
        <w:contextualSpacing/>
        <w:jc w:val="both"/>
        <w:rPr>
          <w:rFonts w:ascii="Cambria" w:eastAsia="Calibri" w:hAnsi="Cambria" w:cs="Times New Roman"/>
          <w:sz w:val="20"/>
          <w:szCs w:val="20"/>
        </w:rPr>
      </w:pPr>
      <w:r w:rsidRPr="00E50224">
        <w:rPr>
          <w:rFonts w:ascii="Cambria" w:eastAsia="Calibri" w:hAnsi="Cambria" w:cs="Times New Roman"/>
          <w:sz w:val="20"/>
          <w:szCs w:val="22"/>
        </w:rPr>
        <w:t>Arnés o camilla para tiburones (si es necesario)</w:t>
      </w:r>
      <w:r w:rsidR="00231F52" w:rsidRPr="00E50224">
        <w:rPr>
          <w:rFonts w:ascii="Cambria" w:eastAsia="Calibri" w:hAnsi="Cambria" w:cs="Times New Roman"/>
          <w:sz w:val="20"/>
          <w:szCs w:val="22"/>
        </w:rPr>
        <w:t>.</w:t>
      </w:r>
      <w:r w:rsidRPr="00E50224">
        <w:rPr>
          <w:rFonts w:ascii="Cambria" w:eastAsia="Calibri" w:hAnsi="Cambria" w:cs="Times New Roman"/>
          <w:sz w:val="20"/>
          <w:szCs w:val="22"/>
        </w:rPr>
        <w:t xml:space="preserve"> </w:t>
      </w:r>
    </w:p>
    <w:p w14:paraId="64642AAC" w14:textId="6D5B5AD0" w:rsidR="004F40DC" w:rsidRPr="00E50224" w:rsidRDefault="004F40DC" w:rsidP="004F40DC">
      <w:pPr>
        <w:numPr>
          <w:ilvl w:val="0"/>
          <w:numId w:val="20"/>
        </w:numPr>
        <w:spacing w:after="160" w:line="259" w:lineRule="auto"/>
        <w:ind w:left="851" w:hanging="425"/>
        <w:contextualSpacing/>
        <w:jc w:val="both"/>
        <w:rPr>
          <w:rFonts w:ascii="Cambria" w:eastAsia="Calibri" w:hAnsi="Cambria" w:cs="Times New Roman"/>
          <w:sz w:val="20"/>
          <w:szCs w:val="20"/>
        </w:rPr>
      </w:pPr>
      <w:r w:rsidRPr="00E50224">
        <w:rPr>
          <w:rFonts w:ascii="Cambria" w:eastAsia="Calibri" w:hAnsi="Cambria" w:cs="Times New Roman"/>
          <w:sz w:val="20"/>
          <w:szCs w:val="22"/>
        </w:rPr>
        <w:t>Soga de cola (para atar un tiburón enganchado si hay que sacarlo del agua)</w:t>
      </w:r>
      <w:r w:rsidR="00231F52" w:rsidRPr="00E50224">
        <w:rPr>
          <w:rFonts w:ascii="Cambria" w:eastAsia="Calibri" w:hAnsi="Cambria" w:cs="Times New Roman"/>
          <w:sz w:val="20"/>
          <w:szCs w:val="22"/>
        </w:rPr>
        <w:t>.</w:t>
      </w:r>
    </w:p>
    <w:p w14:paraId="71C60131" w14:textId="77777777" w:rsidR="004F40DC" w:rsidRPr="00E50224" w:rsidRDefault="004F40DC" w:rsidP="004F40DC">
      <w:pPr>
        <w:numPr>
          <w:ilvl w:val="0"/>
          <w:numId w:val="20"/>
        </w:numPr>
        <w:spacing w:after="160" w:line="259" w:lineRule="auto"/>
        <w:ind w:left="851" w:hanging="425"/>
        <w:contextualSpacing/>
        <w:jc w:val="both"/>
        <w:rPr>
          <w:rFonts w:ascii="Cambria" w:eastAsia="Calibri" w:hAnsi="Cambria" w:cs="Times New Roman"/>
          <w:sz w:val="20"/>
          <w:szCs w:val="20"/>
        </w:rPr>
      </w:pPr>
      <w:r w:rsidRPr="00E50224">
        <w:rPr>
          <w:rFonts w:ascii="Cambria" w:eastAsia="Calibri" w:hAnsi="Cambria" w:cs="Times New Roman"/>
          <w:sz w:val="20"/>
          <w:szCs w:val="22"/>
        </w:rPr>
        <w:t>Manguera de agua salada (si prevé que se necesitarán más de cinco minutos para liberar un tiburón, coloque una manguera en su boca para que vaya entrando una cantidad moderada de agua en ella. Asegúrese de que la bomba de cubierta ha estado funcionando varios minutos antes de colocarla en la boca de un tiburón).</w:t>
      </w:r>
    </w:p>
    <w:p w14:paraId="5428A68B" w14:textId="5CAB00B5" w:rsidR="004F40DC" w:rsidRPr="00E50224" w:rsidRDefault="004F40DC" w:rsidP="004F40DC">
      <w:pPr>
        <w:numPr>
          <w:ilvl w:val="0"/>
          <w:numId w:val="20"/>
        </w:numPr>
        <w:spacing w:after="160" w:line="259" w:lineRule="auto"/>
        <w:ind w:left="851" w:hanging="425"/>
        <w:contextualSpacing/>
        <w:jc w:val="both"/>
        <w:rPr>
          <w:rFonts w:ascii="Cambria" w:eastAsia="Calibri" w:hAnsi="Cambria" w:cs="Times New Roman"/>
          <w:sz w:val="20"/>
          <w:szCs w:val="20"/>
        </w:rPr>
      </w:pPr>
      <w:r w:rsidRPr="00E50224">
        <w:rPr>
          <w:rFonts w:ascii="Cambria" w:eastAsia="Calibri" w:hAnsi="Cambria" w:cs="Times New Roman"/>
          <w:sz w:val="20"/>
          <w:szCs w:val="22"/>
        </w:rPr>
        <w:t>Dispositivo de medición (por ejemplo, marcar un poste, cable o un flotador</w:t>
      </w:r>
      <w:r w:rsidR="00231F52" w:rsidRPr="00E50224">
        <w:rPr>
          <w:rFonts w:ascii="Cambria" w:eastAsia="Calibri" w:hAnsi="Cambria" w:cs="Times New Roman"/>
          <w:sz w:val="20"/>
          <w:szCs w:val="22"/>
        </w:rPr>
        <w:t xml:space="preserve"> </w:t>
      </w:r>
      <w:r w:rsidRPr="00E50224">
        <w:rPr>
          <w:rFonts w:ascii="Cambria" w:eastAsia="Calibri" w:hAnsi="Cambria" w:cs="Times New Roman"/>
          <w:sz w:val="20"/>
          <w:szCs w:val="22"/>
        </w:rPr>
        <w:t>o una cinta métrica)</w:t>
      </w:r>
      <w:r w:rsidR="00231F52" w:rsidRPr="00E50224">
        <w:rPr>
          <w:rFonts w:ascii="Cambria" w:eastAsia="Calibri" w:hAnsi="Cambria" w:cs="Times New Roman"/>
          <w:sz w:val="20"/>
          <w:szCs w:val="22"/>
        </w:rPr>
        <w:t>.</w:t>
      </w:r>
      <w:r w:rsidRPr="00E50224">
        <w:rPr>
          <w:rFonts w:ascii="Cambria" w:eastAsia="Calibri" w:hAnsi="Cambria" w:cs="Times New Roman"/>
          <w:sz w:val="20"/>
          <w:szCs w:val="22"/>
        </w:rPr>
        <w:t xml:space="preserve"> </w:t>
      </w:r>
    </w:p>
    <w:p w14:paraId="3689F225" w14:textId="77777777" w:rsidR="004F40DC" w:rsidRPr="00E50224" w:rsidRDefault="004F40DC" w:rsidP="004F40DC">
      <w:pPr>
        <w:numPr>
          <w:ilvl w:val="0"/>
          <w:numId w:val="20"/>
        </w:numPr>
        <w:spacing w:after="160" w:line="259" w:lineRule="auto"/>
        <w:ind w:left="851" w:hanging="425"/>
        <w:contextualSpacing/>
        <w:jc w:val="both"/>
        <w:rPr>
          <w:rFonts w:ascii="Cambria" w:eastAsia="Calibri" w:hAnsi="Cambria" w:cs="Times New Roman"/>
          <w:sz w:val="20"/>
          <w:szCs w:val="20"/>
        </w:rPr>
      </w:pPr>
      <w:r w:rsidRPr="00E50224">
        <w:rPr>
          <w:rFonts w:ascii="Cambria" w:eastAsia="Calibri" w:hAnsi="Cambria" w:cs="Times New Roman"/>
          <w:sz w:val="20"/>
          <w:szCs w:val="22"/>
        </w:rPr>
        <w:t xml:space="preserve">Hoja de datos para registrar todas las capturas. </w:t>
      </w:r>
    </w:p>
    <w:p w14:paraId="7C87971E" w14:textId="2FA6A0A8" w:rsidR="007657A2" w:rsidRPr="00E50224" w:rsidRDefault="004F40DC" w:rsidP="000E5CD7">
      <w:pPr>
        <w:numPr>
          <w:ilvl w:val="0"/>
          <w:numId w:val="20"/>
        </w:numPr>
        <w:spacing w:after="160" w:line="259" w:lineRule="auto"/>
        <w:ind w:left="851" w:hanging="425"/>
        <w:contextualSpacing/>
        <w:jc w:val="both"/>
        <w:rPr>
          <w:rFonts w:cs="Times New Roman"/>
          <w:sz w:val="20"/>
          <w:szCs w:val="20"/>
        </w:rPr>
      </w:pPr>
      <w:r w:rsidRPr="00E50224">
        <w:rPr>
          <w:rFonts w:ascii="Cambria" w:eastAsia="Calibri" w:hAnsi="Cambria" w:cs="Times New Roman"/>
          <w:sz w:val="20"/>
          <w:szCs w:val="22"/>
        </w:rPr>
        <w:t>Equipo de marcado (si procede).</w:t>
      </w:r>
    </w:p>
    <w:sectPr w:rsidR="007657A2" w:rsidRPr="00E50224" w:rsidSect="00E0284F">
      <w:type w:val="continuous"/>
      <w:pgSz w:w="11906" w:h="16838" w:code="9"/>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951C0" w14:textId="77777777" w:rsidR="00D85EA5" w:rsidRDefault="00D85EA5" w:rsidP="000E2849">
      <w:r>
        <w:separator/>
      </w:r>
    </w:p>
  </w:endnote>
  <w:endnote w:type="continuationSeparator" w:id="0">
    <w:p w14:paraId="59ACCDAE" w14:textId="77777777" w:rsidR="00D85EA5" w:rsidRDefault="00D85EA5" w:rsidP="000E2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DIN">
    <w:altName w:val="Calibri"/>
    <w:panose1 w:val="00000000000000000000"/>
    <w:charset w:val="00"/>
    <w:family w:val="swiss"/>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6513433"/>
      <w:docPartObj>
        <w:docPartGallery w:val="Page Numbers (Bottom of Page)"/>
        <w:docPartUnique/>
      </w:docPartObj>
    </w:sdtPr>
    <w:sdtEndPr>
      <w:rPr>
        <w:noProof/>
        <w:sz w:val="20"/>
        <w:szCs w:val="20"/>
      </w:rPr>
    </w:sdtEndPr>
    <w:sdtContent>
      <w:p w14:paraId="71A75918" w14:textId="1CBE75AC" w:rsidR="002576BF" w:rsidRPr="009D01F3" w:rsidRDefault="009D01F3" w:rsidP="009D01F3">
        <w:pPr>
          <w:pStyle w:val="Footer"/>
          <w:jc w:val="center"/>
          <w:rPr>
            <w:sz w:val="20"/>
            <w:szCs w:val="20"/>
          </w:rPr>
        </w:pPr>
        <w:r w:rsidRPr="009D01F3">
          <w:rPr>
            <w:sz w:val="20"/>
            <w:szCs w:val="20"/>
          </w:rPr>
          <w:fldChar w:fldCharType="begin"/>
        </w:r>
        <w:r w:rsidRPr="009D01F3">
          <w:rPr>
            <w:sz w:val="20"/>
            <w:szCs w:val="20"/>
          </w:rPr>
          <w:instrText xml:space="preserve"> PAGE   \* MERGEFORMAT </w:instrText>
        </w:r>
        <w:r w:rsidRPr="009D01F3">
          <w:rPr>
            <w:sz w:val="20"/>
            <w:szCs w:val="20"/>
          </w:rPr>
          <w:fldChar w:fldCharType="separate"/>
        </w:r>
        <w:r w:rsidRPr="009D01F3">
          <w:rPr>
            <w:noProof/>
            <w:sz w:val="20"/>
            <w:szCs w:val="20"/>
          </w:rPr>
          <w:t>2</w:t>
        </w:r>
        <w:r w:rsidRPr="009D01F3">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88B02" w14:textId="77777777" w:rsidR="00D85EA5" w:rsidRDefault="00D85EA5" w:rsidP="000E2849">
      <w:r>
        <w:separator/>
      </w:r>
    </w:p>
  </w:footnote>
  <w:footnote w:type="continuationSeparator" w:id="0">
    <w:p w14:paraId="57BD9A51" w14:textId="77777777" w:rsidR="00D85EA5" w:rsidRDefault="00D85EA5" w:rsidP="000E2849">
      <w:r>
        <w:continuationSeparator/>
      </w:r>
    </w:p>
  </w:footnote>
  <w:footnote w:id="1">
    <w:p w14:paraId="3AAC6E1B" w14:textId="68B7E120" w:rsidR="00E1155E" w:rsidRDefault="00E1155E" w:rsidP="00E1155E">
      <w:pPr>
        <w:pStyle w:val="FootnoteText"/>
      </w:pPr>
      <w:r>
        <w:rPr>
          <w:rStyle w:val="FootnoteReference"/>
        </w:rPr>
        <w:footnoteRef/>
      </w:r>
      <w:r>
        <w:t xml:space="preserve"> </w:t>
      </w:r>
      <w:r>
        <w:rPr>
          <w:rFonts w:ascii="Cambria" w:hAnsi="Cambria"/>
          <w:sz w:val="16"/>
        </w:rPr>
        <w:t xml:space="preserve">SSF es la fecundidad del stock reproductor, que se utilizó para la matriz de riesgo de Kobe </w:t>
      </w:r>
      <w:r w:rsidR="006E697C">
        <w:rPr>
          <w:rFonts w:ascii="Cambria" w:hAnsi="Cambria"/>
          <w:sz w:val="16"/>
        </w:rPr>
        <w:t xml:space="preserve">II </w:t>
      </w:r>
      <w:r>
        <w:rPr>
          <w:rFonts w:ascii="Cambria" w:hAnsi="Cambria"/>
          <w:sz w:val="16"/>
        </w:rPr>
        <w:t>para el marrajo dientuso del Atlántico norte.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813E8" w14:textId="622D53C4" w:rsidR="00BC4718" w:rsidRDefault="00AA6388" w:rsidP="00AA6388">
    <w:pPr>
      <w:pStyle w:val="Header"/>
      <w:tabs>
        <w:tab w:val="clear" w:pos="4252"/>
        <w:tab w:val="clear" w:pos="8504"/>
        <w:tab w:val="left" w:pos="772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403" w:hanging="285"/>
      </w:pPr>
      <w:rPr>
        <w:rFonts w:ascii="Cambria" w:hAnsi="Cambria" w:cs="Cambria"/>
        <w:b w:val="0"/>
        <w:bCs w:val="0"/>
        <w:spacing w:val="-1"/>
        <w:sz w:val="20"/>
        <w:szCs w:val="20"/>
      </w:rPr>
    </w:lvl>
    <w:lvl w:ilvl="1">
      <w:numFmt w:val="bullet"/>
      <w:lvlText w:val="•"/>
      <w:lvlJc w:val="left"/>
      <w:pPr>
        <w:ind w:left="1293" w:hanging="285"/>
      </w:pPr>
    </w:lvl>
    <w:lvl w:ilvl="2">
      <w:numFmt w:val="bullet"/>
      <w:lvlText w:val="•"/>
      <w:lvlJc w:val="left"/>
      <w:pPr>
        <w:ind w:left="2183" w:hanging="285"/>
      </w:pPr>
    </w:lvl>
    <w:lvl w:ilvl="3">
      <w:numFmt w:val="bullet"/>
      <w:lvlText w:val="•"/>
      <w:lvlJc w:val="left"/>
      <w:pPr>
        <w:ind w:left="3074" w:hanging="285"/>
      </w:pPr>
    </w:lvl>
    <w:lvl w:ilvl="4">
      <w:numFmt w:val="bullet"/>
      <w:lvlText w:val="•"/>
      <w:lvlJc w:val="left"/>
      <w:pPr>
        <w:ind w:left="3964" w:hanging="285"/>
      </w:pPr>
    </w:lvl>
    <w:lvl w:ilvl="5">
      <w:numFmt w:val="bullet"/>
      <w:lvlText w:val="•"/>
      <w:lvlJc w:val="left"/>
      <w:pPr>
        <w:ind w:left="4854" w:hanging="285"/>
      </w:pPr>
    </w:lvl>
    <w:lvl w:ilvl="6">
      <w:numFmt w:val="bullet"/>
      <w:lvlText w:val="•"/>
      <w:lvlJc w:val="left"/>
      <w:pPr>
        <w:ind w:left="5745" w:hanging="285"/>
      </w:pPr>
    </w:lvl>
    <w:lvl w:ilvl="7">
      <w:numFmt w:val="bullet"/>
      <w:lvlText w:val="•"/>
      <w:lvlJc w:val="left"/>
      <w:pPr>
        <w:ind w:left="6635" w:hanging="285"/>
      </w:pPr>
    </w:lvl>
    <w:lvl w:ilvl="8">
      <w:numFmt w:val="bullet"/>
      <w:lvlText w:val="•"/>
      <w:lvlJc w:val="left"/>
      <w:pPr>
        <w:ind w:left="7525" w:hanging="285"/>
      </w:pPr>
    </w:lvl>
  </w:abstractNum>
  <w:abstractNum w:abstractNumId="1" w15:restartNumberingAfterBreak="0">
    <w:nsid w:val="064C33B8"/>
    <w:multiLevelType w:val="hybridMultilevel"/>
    <w:tmpl w:val="68E0F7EC"/>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BD5B7C"/>
    <w:multiLevelType w:val="hybridMultilevel"/>
    <w:tmpl w:val="D6168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382ACE"/>
    <w:multiLevelType w:val="hybridMultilevel"/>
    <w:tmpl w:val="9484FE56"/>
    <w:lvl w:ilvl="0" w:tplc="655CEE32">
      <w:start w:val="1"/>
      <w:numFmt w:val="bullet"/>
      <w:lvlText w:val="-"/>
      <w:lvlJc w:val="left"/>
      <w:pPr>
        <w:ind w:left="720" w:hanging="360"/>
      </w:pPr>
      <w:rPr>
        <w:rFonts w:ascii="Franklin Gothic Medium" w:hAnsi="Franklin Gothic Medium"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013707"/>
    <w:multiLevelType w:val="hybridMultilevel"/>
    <w:tmpl w:val="7F8EF800"/>
    <w:lvl w:ilvl="0" w:tplc="2056FFC2">
      <w:start w:val="1"/>
      <w:numFmt w:val="decimal"/>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5" w15:restartNumberingAfterBreak="0">
    <w:nsid w:val="116C0098"/>
    <w:multiLevelType w:val="multilevel"/>
    <w:tmpl w:val="FDCC0012"/>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D992C9C"/>
    <w:multiLevelType w:val="hybridMultilevel"/>
    <w:tmpl w:val="6E3455DA"/>
    <w:lvl w:ilvl="0" w:tplc="08CA672A">
      <w:start w:val="1"/>
      <w:numFmt w:val="bullet"/>
      <w:lvlText w:val="­"/>
      <w:lvlJc w:val="left"/>
      <w:pPr>
        <w:ind w:left="928" w:hanging="360"/>
      </w:pPr>
      <w:rPr>
        <w:rFonts w:ascii="Courier New" w:hAnsi="Courier New"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7" w15:restartNumberingAfterBreak="0">
    <w:nsid w:val="24BC6CC3"/>
    <w:multiLevelType w:val="hybridMultilevel"/>
    <w:tmpl w:val="B8285460"/>
    <w:lvl w:ilvl="0" w:tplc="682CCE2E">
      <w:start w:val="3"/>
      <w:numFmt w:val="bullet"/>
      <w:lvlText w:val="-"/>
      <w:lvlJc w:val="left"/>
      <w:pPr>
        <w:ind w:left="-132" w:hanging="360"/>
      </w:pPr>
      <w:rPr>
        <w:rFonts w:ascii="Calibri" w:eastAsiaTheme="minorHAnsi" w:hAnsi="Calibri" w:cs="Calibri" w:hint="default"/>
        <w:color w:val="auto"/>
      </w:rPr>
    </w:lvl>
    <w:lvl w:ilvl="1" w:tplc="04090003">
      <w:start w:val="1"/>
      <w:numFmt w:val="bullet"/>
      <w:lvlText w:val="o"/>
      <w:lvlJc w:val="left"/>
      <w:pPr>
        <w:ind w:left="588" w:hanging="360"/>
      </w:pPr>
      <w:rPr>
        <w:rFonts w:ascii="Courier New" w:hAnsi="Courier New" w:cs="Courier New" w:hint="default"/>
      </w:rPr>
    </w:lvl>
    <w:lvl w:ilvl="2" w:tplc="04090005" w:tentative="1">
      <w:start w:val="1"/>
      <w:numFmt w:val="bullet"/>
      <w:lvlText w:val=""/>
      <w:lvlJc w:val="left"/>
      <w:pPr>
        <w:ind w:left="1308" w:hanging="360"/>
      </w:pPr>
      <w:rPr>
        <w:rFonts w:ascii="Wingdings" w:hAnsi="Wingdings" w:hint="default"/>
      </w:rPr>
    </w:lvl>
    <w:lvl w:ilvl="3" w:tplc="04090001" w:tentative="1">
      <w:start w:val="1"/>
      <w:numFmt w:val="bullet"/>
      <w:lvlText w:val=""/>
      <w:lvlJc w:val="left"/>
      <w:pPr>
        <w:ind w:left="2028" w:hanging="360"/>
      </w:pPr>
      <w:rPr>
        <w:rFonts w:ascii="Symbol" w:hAnsi="Symbol" w:hint="default"/>
      </w:rPr>
    </w:lvl>
    <w:lvl w:ilvl="4" w:tplc="04090003" w:tentative="1">
      <w:start w:val="1"/>
      <w:numFmt w:val="bullet"/>
      <w:lvlText w:val="o"/>
      <w:lvlJc w:val="left"/>
      <w:pPr>
        <w:ind w:left="2748" w:hanging="360"/>
      </w:pPr>
      <w:rPr>
        <w:rFonts w:ascii="Courier New" w:hAnsi="Courier New" w:cs="Courier New" w:hint="default"/>
      </w:rPr>
    </w:lvl>
    <w:lvl w:ilvl="5" w:tplc="04090005" w:tentative="1">
      <w:start w:val="1"/>
      <w:numFmt w:val="bullet"/>
      <w:lvlText w:val=""/>
      <w:lvlJc w:val="left"/>
      <w:pPr>
        <w:ind w:left="3468" w:hanging="360"/>
      </w:pPr>
      <w:rPr>
        <w:rFonts w:ascii="Wingdings" w:hAnsi="Wingdings" w:hint="default"/>
      </w:rPr>
    </w:lvl>
    <w:lvl w:ilvl="6" w:tplc="04090001" w:tentative="1">
      <w:start w:val="1"/>
      <w:numFmt w:val="bullet"/>
      <w:lvlText w:val=""/>
      <w:lvlJc w:val="left"/>
      <w:pPr>
        <w:ind w:left="4188" w:hanging="360"/>
      </w:pPr>
      <w:rPr>
        <w:rFonts w:ascii="Symbol" w:hAnsi="Symbol" w:hint="default"/>
      </w:rPr>
    </w:lvl>
    <w:lvl w:ilvl="7" w:tplc="04090003" w:tentative="1">
      <w:start w:val="1"/>
      <w:numFmt w:val="bullet"/>
      <w:lvlText w:val="o"/>
      <w:lvlJc w:val="left"/>
      <w:pPr>
        <w:ind w:left="4908" w:hanging="360"/>
      </w:pPr>
      <w:rPr>
        <w:rFonts w:ascii="Courier New" w:hAnsi="Courier New" w:cs="Courier New" w:hint="default"/>
      </w:rPr>
    </w:lvl>
    <w:lvl w:ilvl="8" w:tplc="04090005" w:tentative="1">
      <w:start w:val="1"/>
      <w:numFmt w:val="bullet"/>
      <w:lvlText w:val=""/>
      <w:lvlJc w:val="left"/>
      <w:pPr>
        <w:ind w:left="5628" w:hanging="360"/>
      </w:pPr>
      <w:rPr>
        <w:rFonts w:ascii="Wingdings" w:hAnsi="Wingdings" w:hint="default"/>
      </w:rPr>
    </w:lvl>
  </w:abstractNum>
  <w:abstractNum w:abstractNumId="8" w15:restartNumberingAfterBreak="0">
    <w:nsid w:val="2D2C328B"/>
    <w:multiLevelType w:val="hybridMultilevel"/>
    <w:tmpl w:val="7A5CB8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FD1F8B"/>
    <w:multiLevelType w:val="hybridMultilevel"/>
    <w:tmpl w:val="C76AD67C"/>
    <w:lvl w:ilvl="0" w:tplc="4CB648EA">
      <w:start w:val="13"/>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345D0D72"/>
    <w:multiLevelType w:val="multilevel"/>
    <w:tmpl w:val="7F8EF800"/>
    <w:lvl w:ilvl="0">
      <w:start w:val="1"/>
      <w:numFmt w:val="decimal"/>
      <w:lvlText w:val="%1."/>
      <w:lvlJc w:val="left"/>
      <w:pPr>
        <w:ind w:left="1146" w:hanging="360"/>
      </w:pPr>
      <w:rPr>
        <w:rFonts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1" w15:restartNumberingAfterBreak="0">
    <w:nsid w:val="34EA2356"/>
    <w:multiLevelType w:val="hybridMultilevel"/>
    <w:tmpl w:val="AEB4E00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3556589A"/>
    <w:multiLevelType w:val="hybridMultilevel"/>
    <w:tmpl w:val="488CA87A"/>
    <w:lvl w:ilvl="0" w:tplc="08090017">
      <w:start w:val="1"/>
      <w:numFmt w:val="lowerLetter"/>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360515F2"/>
    <w:multiLevelType w:val="multilevel"/>
    <w:tmpl w:val="3272A8B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5" w15:restartNumberingAfterBreak="0">
    <w:nsid w:val="3BC546A8"/>
    <w:multiLevelType w:val="hybridMultilevel"/>
    <w:tmpl w:val="1BE45D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3246B4"/>
    <w:multiLevelType w:val="hybridMultilevel"/>
    <w:tmpl w:val="17B83150"/>
    <w:lvl w:ilvl="0" w:tplc="2FF646A8">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1797B59"/>
    <w:multiLevelType w:val="hybridMultilevel"/>
    <w:tmpl w:val="F634B5C4"/>
    <w:lvl w:ilvl="0" w:tplc="DA188D7A">
      <w:start w:val="1"/>
      <w:numFmt w:val="lowerLetter"/>
      <w:lvlText w:val="%1)"/>
      <w:lvlJc w:val="left"/>
      <w:pPr>
        <w:ind w:left="720" w:hanging="360"/>
      </w:pPr>
      <w:rPr>
        <w:rFonts w:eastAsiaTheme="minorEastAsia"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D97353"/>
    <w:multiLevelType w:val="hybridMultilevel"/>
    <w:tmpl w:val="F294BC90"/>
    <w:lvl w:ilvl="0" w:tplc="08090017">
      <w:start w:val="1"/>
      <w:numFmt w:val="lowerLetter"/>
      <w:lvlText w:val="%1)"/>
      <w:lvlJc w:val="left"/>
      <w:pPr>
        <w:ind w:left="1069"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7752DA"/>
    <w:multiLevelType w:val="hybridMultilevel"/>
    <w:tmpl w:val="6B3EC7C2"/>
    <w:lvl w:ilvl="0" w:tplc="0C2EB8A6">
      <w:start w:val="1"/>
      <w:numFmt w:val="decimal"/>
      <w:lvlText w:val="%1."/>
      <w:lvlJc w:val="left"/>
      <w:pPr>
        <w:ind w:left="427"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1" w:tplc="5372B5D2">
      <w:start w:val="1"/>
      <w:numFmt w:val="lowerLetter"/>
      <w:lvlText w:val="%2"/>
      <w:lvlJc w:val="left"/>
      <w:pPr>
        <w:ind w:left="1081"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2" w:tplc="B674F4BA">
      <w:start w:val="1"/>
      <w:numFmt w:val="lowerRoman"/>
      <w:lvlText w:val="%3"/>
      <w:lvlJc w:val="left"/>
      <w:pPr>
        <w:ind w:left="1801"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3" w:tplc="27485C18">
      <w:start w:val="1"/>
      <w:numFmt w:val="decimal"/>
      <w:lvlText w:val="%4"/>
      <w:lvlJc w:val="left"/>
      <w:pPr>
        <w:ind w:left="2521"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4" w:tplc="5B764EA2">
      <w:start w:val="1"/>
      <w:numFmt w:val="lowerLetter"/>
      <w:lvlText w:val="%5"/>
      <w:lvlJc w:val="left"/>
      <w:pPr>
        <w:ind w:left="3241"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5" w:tplc="F886F016">
      <w:start w:val="1"/>
      <w:numFmt w:val="lowerRoman"/>
      <w:lvlText w:val="%6"/>
      <w:lvlJc w:val="left"/>
      <w:pPr>
        <w:ind w:left="3961"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6" w:tplc="FE9EB4B0">
      <w:start w:val="1"/>
      <w:numFmt w:val="decimal"/>
      <w:lvlText w:val="%7"/>
      <w:lvlJc w:val="left"/>
      <w:pPr>
        <w:ind w:left="4681"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7" w:tplc="3BDA8DAC">
      <w:start w:val="1"/>
      <w:numFmt w:val="lowerLetter"/>
      <w:lvlText w:val="%8"/>
      <w:lvlJc w:val="left"/>
      <w:pPr>
        <w:ind w:left="5401"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8" w:tplc="7E48FAAC">
      <w:start w:val="1"/>
      <w:numFmt w:val="lowerRoman"/>
      <w:lvlText w:val="%9"/>
      <w:lvlJc w:val="left"/>
      <w:pPr>
        <w:ind w:left="6121"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abstractNum>
  <w:abstractNum w:abstractNumId="20" w15:restartNumberingAfterBreak="0">
    <w:nsid w:val="487A2191"/>
    <w:multiLevelType w:val="hybridMultilevel"/>
    <w:tmpl w:val="3E70B3F8"/>
    <w:lvl w:ilvl="0" w:tplc="C0D675F8">
      <w:start w:val="1"/>
      <w:numFmt w:val="lowerLetter"/>
      <w:lvlText w:val="%1)"/>
      <w:lvlJc w:val="left"/>
      <w:pPr>
        <w:ind w:left="720" w:hanging="360"/>
      </w:pPr>
      <w:rPr>
        <w:sz w:val="20"/>
        <w:szCs w:val="20"/>
        <w:vertAlign w:val="baseli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49017E23"/>
    <w:multiLevelType w:val="hybridMultilevel"/>
    <w:tmpl w:val="963E5AB0"/>
    <w:lvl w:ilvl="0" w:tplc="63CC06D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A432656"/>
    <w:multiLevelType w:val="multilevel"/>
    <w:tmpl w:val="AC885D7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9D86CE0"/>
    <w:multiLevelType w:val="hybridMultilevel"/>
    <w:tmpl w:val="935A5ABE"/>
    <w:lvl w:ilvl="0" w:tplc="0C0A000F">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AD154DB"/>
    <w:multiLevelType w:val="hybridMultilevel"/>
    <w:tmpl w:val="19ECC08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5" w15:restartNumberingAfterBreak="0">
    <w:nsid w:val="5ECD2AD1"/>
    <w:multiLevelType w:val="hybridMultilevel"/>
    <w:tmpl w:val="D62E2084"/>
    <w:lvl w:ilvl="0" w:tplc="0409000F">
      <w:start w:val="4"/>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745A30"/>
    <w:multiLevelType w:val="hybridMultilevel"/>
    <w:tmpl w:val="0ED68AE6"/>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B85DE2"/>
    <w:multiLevelType w:val="hybridMultilevel"/>
    <w:tmpl w:val="E202298A"/>
    <w:lvl w:ilvl="0" w:tplc="08090017">
      <w:start w:val="1"/>
      <w:numFmt w:val="lowerLetter"/>
      <w:lvlText w:val="%1)"/>
      <w:lvlJc w:val="left"/>
      <w:pPr>
        <w:ind w:left="1070" w:hanging="360"/>
      </w:p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28" w15:restartNumberingAfterBreak="0">
    <w:nsid w:val="6412496B"/>
    <w:multiLevelType w:val="hybridMultilevel"/>
    <w:tmpl w:val="4C969022"/>
    <w:lvl w:ilvl="0" w:tplc="08CA672A">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522802"/>
    <w:multiLevelType w:val="hybridMultilevel"/>
    <w:tmpl w:val="93AA6202"/>
    <w:lvl w:ilvl="0" w:tplc="BFF4710E">
      <w:start w:val="1"/>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30" w15:restartNumberingAfterBreak="0">
    <w:nsid w:val="67D34B6B"/>
    <w:multiLevelType w:val="hybridMultilevel"/>
    <w:tmpl w:val="CC162668"/>
    <w:lvl w:ilvl="0" w:tplc="DEC02C4C">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1" w15:restartNumberingAfterBreak="0">
    <w:nsid w:val="68054A5C"/>
    <w:multiLevelType w:val="hybridMultilevel"/>
    <w:tmpl w:val="F112F5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510E4C"/>
    <w:multiLevelType w:val="hybridMultilevel"/>
    <w:tmpl w:val="92D0D84C"/>
    <w:lvl w:ilvl="0" w:tplc="5A0CE5AC">
      <w:start w:val="10"/>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3" w15:restartNumberingAfterBreak="0">
    <w:nsid w:val="72056FA5"/>
    <w:multiLevelType w:val="hybridMultilevel"/>
    <w:tmpl w:val="C8CCE4D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5F337B5"/>
    <w:multiLevelType w:val="hybridMultilevel"/>
    <w:tmpl w:val="B136E6B4"/>
    <w:lvl w:ilvl="0" w:tplc="08090017">
      <w:start w:val="1"/>
      <w:numFmt w:val="lowerLetter"/>
      <w:lvlText w:val="%1)"/>
      <w:lvlJc w:val="left"/>
      <w:pPr>
        <w:ind w:left="820" w:hanging="360"/>
      </w:pPr>
      <w:rPr>
        <w:rFonts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5" w15:restartNumberingAfterBreak="0">
    <w:nsid w:val="7BBA74D0"/>
    <w:multiLevelType w:val="hybridMultilevel"/>
    <w:tmpl w:val="A42CAFC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E82A46"/>
    <w:multiLevelType w:val="hybridMultilevel"/>
    <w:tmpl w:val="DA2A3E7E"/>
    <w:lvl w:ilvl="0" w:tplc="08090017">
      <w:start w:val="1"/>
      <w:numFmt w:val="lowerLetter"/>
      <w:lvlText w:val="%1)"/>
      <w:lvlJc w:val="left"/>
      <w:pPr>
        <w:ind w:left="1180" w:hanging="360"/>
      </w:pPr>
    </w:lvl>
    <w:lvl w:ilvl="1" w:tplc="08090019" w:tentative="1">
      <w:start w:val="1"/>
      <w:numFmt w:val="lowerLetter"/>
      <w:lvlText w:val="%2."/>
      <w:lvlJc w:val="left"/>
      <w:pPr>
        <w:ind w:left="1900" w:hanging="360"/>
      </w:pPr>
    </w:lvl>
    <w:lvl w:ilvl="2" w:tplc="0809001B" w:tentative="1">
      <w:start w:val="1"/>
      <w:numFmt w:val="lowerRoman"/>
      <w:lvlText w:val="%3."/>
      <w:lvlJc w:val="right"/>
      <w:pPr>
        <w:ind w:left="2620" w:hanging="180"/>
      </w:pPr>
    </w:lvl>
    <w:lvl w:ilvl="3" w:tplc="0809000F" w:tentative="1">
      <w:start w:val="1"/>
      <w:numFmt w:val="decimal"/>
      <w:lvlText w:val="%4."/>
      <w:lvlJc w:val="left"/>
      <w:pPr>
        <w:ind w:left="3340" w:hanging="360"/>
      </w:pPr>
    </w:lvl>
    <w:lvl w:ilvl="4" w:tplc="08090019" w:tentative="1">
      <w:start w:val="1"/>
      <w:numFmt w:val="lowerLetter"/>
      <w:lvlText w:val="%5."/>
      <w:lvlJc w:val="left"/>
      <w:pPr>
        <w:ind w:left="4060" w:hanging="360"/>
      </w:pPr>
    </w:lvl>
    <w:lvl w:ilvl="5" w:tplc="0809001B" w:tentative="1">
      <w:start w:val="1"/>
      <w:numFmt w:val="lowerRoman"/>
      <w:lvlText w:val="%6."/>
      <w:lvlJc w:val="right"/>
      <w:pPr>
        <w:ind w:left="4780" w:hanging="180"/>
      </w:pPr>
    </w:lvl>
    <w:lvl w:ilvl="6" w:tplc="0809000F" w:tentative="1">
      <w:start w:val="1"/>
      <w:numFmt w:val="decimal"/>
      <w:lvlText w:val="%7."/>
      <w:lvlJc w:val="left"/>
      <w:pPr>
        <w:ind w:left="5500" w:hanging="360"/>
      </w:pPr>
    </w:lvl>
    <w:lvl w:ilvl="7" w:tplc="08090019" w:tentative="1">
      <w:start w:val="1"/>
      <w:numFmt w:val="lowerLetter"/>
      <w:lvlText w:val="%8."/>
      <w:lvlJc w:val="left"/>
      <w:pPr>
        <w:ind w:left="6220" w:hanging="360"/>
      </w:pPr>
    </w:lvl>
    <w:lvl w:ilvl="8" w:tplc="0809001B" w:tentative="1">
      <w:start w:val="1"/>
      <w:numFmt w:val="lowerRoman"/>
      <w:lvlText w:val="%9."/>
      <w:lvlJc w:val="right"/>
      <w:pPr>
        <w:ind w:left="6940" w:hanging="180"/>
      </w:pPr>
    </w:lvl>
  </w:abstractNum>
  <w:num w:numId="1" w16cid:durableId="134761173">
    <w:abstractNumId w:val="22"/>
  </w:num>
  <w:num w:numId="2" w16cid:durableId="661545571">
    <w:abstractNumId w:val="14"/>
  </w:num>
  <w:num w:numId="3" w16cid:durableId="1750299890">
    <w:abstractNumId w:val="11"/>
  </w:num>
  <w:num w:numId="4" w16cid:durableId="698239772">
    <w:abstractNumId w:val="12"/>
  </w:num>
  <w:num w:numId="5" w16cid:durableId="4836220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35760472">
    <w:abstractNumId w:val="6"/>
  </w:num>
  <w:num w:numId="7" w16cid:durableId="1150319634">
    <w:abstractNumId w:val="24"/>
  </w:num>
  <w:num w:numId="8" w16cid:durableId="49041571">
    <w:abstractNumId w:val="28"/>
  </w:num>
  <w:num w:numId="9" w16cid:durableId="1585333660">
    <w:abstractNumId w:val="0"/>
  </w:num>
  <w:num w:numId="10" w16cid:durableId="924459409">
    <w:abstractNumId w:val="18"/>
  </w:num>
  <w:num w:numId="11" w16cid:durableId="353575367">
    <w:abstractNumId w:val="4"/>
  </w:num>
  <w:num w:numId="12" w16cid:durableId="1222130578">
    <w:abstractNumId w:val="34"/>
  </w:num>
  <w:num w:numId="13" w16cid:durableId="885918780">
    <w:abstractNumId w:val="36"/>
  </w:num>
  <w:num w:numId="14" w16cid:durableId="1155562453">
    <w:abstractNumId w:val="25"/>
  </w:num>
  <w:num w:numId="15" w16cid:durableId="614023247">
    <w:abstractNumId w:val="35"/>
  </w:num>
  <w:num w:numId="16" w16cid:durableId="940337687">
    <w:abstractNumId w:val="1"/>
  </w:num>
  <w:num w:numId="17" w16cid:durableId="521435210">
    <w:abstractNumId w:val="26"/>
  </w:num>
  <w:num w:numId="18" w16cid:durableId="954563170">
    <w:abstractNumId w:val="2"/>
  </w:num>
  <w:num w:numId="19" w16cid:durableId="2124224016">
    <w:abstractNumId w:val="3"/>
  </w:num>
  <w:num w:numId="20" w16cid:durableId="1076518559">
    <w:abstractNumId w:val="7"/>
  </w:num>
  <w:num w:numId="21" w16cid:durableId="214128201">
    <w:abstractNumId w:val="10"/>
  </w:num>
  <w:num w:numId="22" w16cid:durableId="1406340654">
    <w:abstractNumId w:val="21"/>
  </w:num>
  <w:num w:numId="23" w16cid:durableId="98834914">
    <w:abstractNumId w:val="29"/>
  </w:num>
  <w:num w:numId="24" w16cid:durableId="1176534483">
    <w:abstractNumId w:val="16"/>
  </w:num>
  <w:num w:numId="25" w16cid:durableId="1784423626">
    <w:abstractNumId w:val="23"/>
  </w:num>
  <w:num w:numId="26" w16cid:durableId="1015811268">
    <w:abstractNumId w:val="32"/>
  </w:num>
  <w:num w:numId="27" w16cid:durableId="1420907369">
    <w:abstractNumId w:val="9"/>
  </w:num>
  <w:num w:numId="28" w16cid:durableId="771316691">
    <w:abstractNumId w:val="33"/>
  </w:num>
  <w:num w:numId="29" w16cid:durableId="111772247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8038521">
    <w:abstractNumId w:val="27"/>
  </w:num>
  <w:num w:numId="31" w16cid:durableId="58331530">
    <w:abstractNumId w:val="15"/>
  </w:num>
  <w:num w:numId="32" w16cid:durableId="96604117">
    <w:abstractNumId w:val="17"/>
  </w:num>
  <w:num w:numId="33" w16cid:durableId="391467386">
    <w:abstractNumId w:val="31"/>
  </w:num>
  <w:num w:numId="34" w16cid:durableId="493843721">
    <w:abstractNumId w:val="8"/>
  </w:num>
  <w:num w:numId="35" w16cid:durableId="1525054464">
    <w:abstractNumId w:val="5"/>
  </w:num>
  <w:num w:numId="36" w16cid:durableId="1820263484">
    <w:abstractNumId w:val="13"/>
  </w:num>
  <w:num w:numId="37" w16cid:durableId="1057358833">
    <w:abstractNumId w:val="3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oNotTrackFormatting/>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97C"/>
    <w:rsid w:val="000006C1"/>
    <w:rsid w:val="00000D49"/>
    <w:rsid w:val="000059CF"/>
    <w:rsid w:val="00005DF8"/>
    <w:rsid w:val="00013B5F"/>
    <w:rsid w:val="00017DEB"/>
    <w:rsid w:val="00017F60"/>
    <w:rsid w:val="00027FDC"/>
    <w:rsid w:val="0003048D"/>
    <w:rsid w:val="000313AE"/>
    <w:rsid w:val="00033826"/>
    <w:rsid w:val="0003530E"/>
    <w:rsid w:val="00041EB5"/>
    <w:rsid w:val="00045512"/>
    <w:rsid w:val="00047C99"/>
    <w:rsid w:val="000504DF"/>
    <w:rsid w:val="00056BA0"/>
    <w:rsid w:val="00057C0F"/>
    <w:rsid w:val="00064845"/>
    <w:rsid w:val="00066D11"/>
    <w:rsid w:val="00070502"/>
    <w:rsid w:val="00072018"/>
    <w:rsid w:val="0007255C"/>
    <w:rsid w:val="00072B49"/>
    <w:rsid w:val="00076461"/>
    <w:rsid w:val="000771E5"/>
    <w:rsid w:val="000773C4"/>
    <w:rsid w:val="000805D9"/>
    <w:rsid w:val="0008134D"/>
    <w:rsid w:val="0008146C"/>
    <w:rsid w:val="00083400"/>
    <w:rsid w:val="0008428E"/>
    <w:rsid w:val="00084E78"/>
    <w:rsid w:val="00085E22"/>
    <w:rsid w:val="00086985"/>
    <w:rsid w:val="00090D61"/>
    <w:rsid w:val="00092FDC"/>
    <w:rsid w:val="00094D80"/>
    <w:rsid w:val="000963F5"/>
    <w:rsid w:val="000A0FC0"/>
    <w:rsid w:val="000A251F"/>
    <w:rsid w:val="000A34F3"/>
    <w:rsid w:val="000A362C"/>
    <w:rsid w:val="000A57A5"/>
    <w:rsid w:val="000A686F"/>
    <w:rsid w:val="000B0CD7"/>
    <w:rsid w:val="000B21AB"/>
    <w:rsid w:val="000B3690"/>
    <w:rsid w:val="000B375B"/>
    <w:rsid w:val="000B38D0"/>
    <w:rsid w:val="000B526E"/>
    <w:rsid w:val="000B5434"/>
    <w:rsid w:val="000C04B5"/>
    <w:rsid w:val="000C2256"/>
    <w:rsid w:val="000C41ED"/>
    <w:rsid w:val="000C49DB"/>
    <w:rsid w:val="000C7D17"/>
    <w:rsid w:val="000D2687"/>
    <w:rsid w:val="000D41BF"/>
    <w:rsid w:val="000E2849"/>
    <w:rsid w:val="000E463D"/>
    <w:rsid w:val="000E4F4E"/>
    <w:rsid w:val="000E7C38"/>
    <w:rsid w:val="000F09F1"/>
    <w:rsid w:val="000F0D56"/>
    <w:rsid w:val="000F2EEE"/>
    <w:rsid w:val="000F371C"/>
    <w:rsid w:val="000F59EB"/>
    <w:rsid w:val="000F729F"/>
    <w:rsid w:val="000F7A95"/>
    <w:rsid w:val="000F7F76"/>
    <w:rsid w:val="001044B6"/>
    <w:rsid w:val="001106FB"/>
    <w:rsid w:val="00111A68"/>
    <w:rsid w:val="00113577"/>
    <w:rsid w:val="00114653"/>
    <w:rsid w:val="00117F66"/>
    <w:rsid w:val="00120FC5"/>
    <w:rsid w:val="001226B7"/>
    <w:rsid w:val="00123939"/>
    <w:rsid w:val="0012486A"/>
    <w:rsid w:val="00126A76"/>
    <w:rsid w:val="00126E11"/>
    <w:rsid w:val="0013354C"/>
    <w:rsid w:val="00133F46"/>
    <w:rsid w:val="00141B92"/>
    <w:rsid w:val="0014422A"/>
    <w:rsid w:val="00153A2C"/>
    <w:rsid w:val="00154255"/>
    <w:rsid w:val="00155433"/>
    <w:rsid w:val="00156D18"/>
    <w:rsid w:val="001621A3"/>
    <w:rsid w:val="00165612"/>
    <w:rsid w:val="0016718F"/>
    <w:rsid w:val="0017701D"/>
    <w:rsid w:val="00177B78"/>
    <w:rsid w:val="001821FF"/>
    <w:rsid w:val="00182331"/>
    <w:rsid w:val="00182D0B"/>
    <w:rsid w:val="0019209A"/>
    <w:rsid w:val="00193C42"/>
    <w:rsid w:val="001A3C66"/>
    <w:rsid w:val="001A49A3"/>
    <w:rsid w:val="001A5540"/>
    <w:rsid w:val="001B0EFD"/>
    <w:rsid w:val="001B1F15"/>
    <w:rsid w:val="001B4ED7"/>
    <w:rsid w:val="001B7264"/>
    <w:rsid w:val="001C2292"/>
    <w:rsid w:val="001C29C1"/>
    <w:rsid w:val="001C475C"/>
    <w:rsid w:val="001C774E"/>
    <w:rsid w:val="001D1088"/>
    <w:rsid w:val="001D2A55"/>
    <w:rsid w:val="001D43FF"/>
    <w:rsid w:val="001D4A60"/>
    <w:rsid w:val="001D7B4C"/>
    <w:rsid w:val="001E4A8A"/>
    <w:rsid w:val="001E61E9"/>
    <w:rsid w:val="001E6EA7"/>
    <w:rsid w:val="001F1233"/>
    <w:rsid w:val="001F1619"/>
    <w:rsid w:val="001F733E"/>
    <w:rsid w:val="001F7BE5"/>
    <w:rsid w:val="00200017"/>
    <w:rsid w:val="002041D6"/>
    <w:rsid w:val="00204D0F"/>
    <w:rsid w:val="00205648"/>
    <w:rsid w:val="00206038"/>
    <w:rsid w:val="00210231"/>
    <w:rsid w:val="00210515"/>
    <w:rsid w:val="0021330E"/>
    <w:rsid w:val="00214D2B"/>
    <w:rsid w:val="002152B0"/>
    <w:rsid w:val="00215976"/>
    <w:rsid w:val="00216017"/>
    <w:rsid w:val="00216053"/>
    <w:rsid w:val="002201B5"/>
    <w:rsid w:val="002204B6"/>
    <w:rsid w:val="0022056B"/>
    <w:rsid w:val="00223D5E"/>
    <w:rsid w:val="00225EE8"/>
    <w:rsid w:val="00227ABD"/>
    <w:rsid w:val="00227B35"/>
    <w:rsid w:val="00231F52"/>
    <w:rsid w:val="0023351B"/>
    <w:rsid w:val="002347D1"/>
    <w:rsid w:val="002348DC"/>
    <w:rsid w:val="00236A30"/>
    <w:rsid w:val="00236C2F"/>
    <w:rsid w:val="00242427"/>
    <w:rsid w:val="00242BAB"/>
    <w:rsid w:val="00243810"/>
    <w:rsid w:val="00243C53"/>
    <w:rsid w:val="00253633"/>
    <w:rsid w:val="00253EEA"/>
    <w:rsid w:val="002549F8"/>
    <w:rsid w:val="00256B72"/>
    <w:rsid w:val="00256CAC"/>
    <w:rsid w:val="002570AD"/>
    <w:rsid w:val="002576BF"/>
    <w:rsid w:val="00263047"/>
    <w:rsid w:val="00267A1B"/>
    <w:rsid w:val="00270B70"/>
    <w:rsid w:val="00271677"/>
    <w:rsid w:val="002738E9"/>
    <w:rsid w:val="00275F64"/>
    <w:rsid w:val="00276A3C"/>
    <w:rsid w:val="002818AB"/>
    <w:rsid w:val="002827C2"/>
    <w:rsid w:val="00283DE5"/>
    <w:rsid w:val="002904FB"/>
    <w:rsid w:val="00293220"/>
    <w:rsid w:val="00294A37"/>
    <w:rsid w:val="00296085"/>
    <w:rsid w:val="002965A4"/>
    <w:rsid w:val="002A0F44"/>
    <w:rsid w:val="002A1BF8"/>
    <w:rsid w:val="002A6301"/>
    <w:rsid w:val="002A660D"/>
    <w:rsid w:val="002A7DD4"/>
    <w:rsid w:val="002A7E17"/>
    <w:rsid w:val="002B16F1"/>
    <w:rsid w:val="002B1E32"/>
    <w:rsid w:val="002B2AAC"/>
    <w:rsid w:val="002B44C8"/>
    <w:rsid w:val="002B6C62"/>
    <w:rsid w:val="002C0148"/>
    <w:rsid w:val="002C293F"/>
    <w:rsid w:val="002C6224"/>
    <w:rsid w:val="002C6B9E"/>
    <w:rsid w:val="002C7638"/>
    <w:rsid w:val="002D6F04"/>
    <w:rsid w:val="002D70A8"/>
    <w:rsid w:val="002E45C4"/>
    <w:rsid w:val="002F0C8C"/>
    <w:rsid w:val="002F2BC0"/>
    <w:rsid w:val="002F72B8"/>
    <w:rsid w:val="00302026"/>
    <w:rsid w:val="00304966"/>
    <w:rsid w:val="0030691A"/>
    <w:rsid w:val="003070BA"/>
    <w:rsid w:val="003105BA"/>
    <w:rsid w:val="00311160"/>
    <w:rsid w:val="00311F15"/>
    <w:rsid w:val="00312806"/>
    <w:rsid w:val="00313C87"/>
    <w:rsid w:val="003148EA"/>
    <w:rsid w:val="00314A3D"/>
    <w:rsid w:val="00315212"/>
    <w:rsid w:val="003158BD"/>
    <w:rsid w:val="00316E8A"/>
    <w:rsid w:val="003218A2"/>
    <w:rsid w:val="00323E21"/>
    <w:rsid w:val="00324B62"/>
    <w:rsid w:val="00324C95"/>
    <w:rsid w:val="00326A5D"/>
    <w:rsid w:val="00327F24"/>
    <w:rsid w:val="0033326E"/>
    <w:rsid w:val="00335BFE"/>
    <w:rsid w:val="0033711F"/>
    <w:rsid w:val="00341129"/>
    <w:rsid w:val="003461CD"/>
    <w:rsid w:val="003504F5"/>
    <w:rsid w:val="00350C6C"/>
    <w:rsid w:val="003551AA"/>
    <w:rsid w:val="00355FCA"/>
    <w:rsid w:val="00356E34"/>
    <w:rsid w:val="00363CD9"/>
    <w:rsid w:val="00367C14"/>
    <w:rsid w:val="0037036B"/>
    <w:rsid w:val="003737E2"/>
    <w:rsid w:val="00373FC8"/>
    <w:rsid w:val="0037599E"/>
    <w:rsid w:val="003763B9"/>
    <w:rsid w:val="00376D54"/>
    <w:rsid w:val="003774A9"/>
    <w:rsid w:val="003801B4"/>
    <w:rsid w:val="00381FBF"/>
    <w:rsid w:val="00382CCE"/>
    <w:rsid w:val="00383568"/>
    <w:rsid w:val="00383F3C"/>
    <w:rsid w:val="00387420"/>
    <w:rsid w:val="003922E9"/>
    <w:rsid w:val="00396A73"/>
    <w:rsid w:val="003A210C"/>
    <w:rsid w:val="003A3C33"/>
    <w:rsid w:val="003A5342"/>
    <w:rsid w:val="003A63EA"/>
    <w:rsid w:val="003B1DE9"/>
    <w:rsid w:val="003B3072"/>
    <w:rsid w:val="003B4226"/>
    <w:rsid w:val="003B4246"/>
    <w:rsid w:val="003B61DB"/>
    <w:rsid w:val="003B65D2"/>
    <w:rsid w:val="003C029C"/>
    <w:rsid w:val="003C2914"/>
    <w:rsid w:val="003C2E65"/>
    <w:rsid w:val="003C3D30"/>
    <w:rsid w:val="003C458B"/>
    <w:rsid w:val="003C48A5"/>
    <w:rsid w:val="003C7CC9"/>
    <w:rsid w:val="003D566B"/>
    <w:rsid w:val="003D70DE"/>
    <w:rsid w:val="003E05EC"/>
    <w:rsid w:val="003E4192"/>
    <w:rsid w:val="003E5B18"/>
    <w:rsid w:val="003E794C"/>
    <w:rsid w:val="004011C3"/>
    <w:rsid w:val="00403304"/>
    <w:rsid w:val="00407FF9"/>
    <w:rsid w:val="00410DC2"/>
    <w:rsid w:val="00411C6B"/>
    <w:rsid w:val="004127B3"/>
    <w:rsid w:val="00412F1A"/>
    <w:rsid w:val="00413A33"/>
    <w:rsid w:val="00413D99"/>
    <w:rsid w:val="004140D7"/>
    <w:rsid w:val="00414611"/>
    <w:rsid w:val="00414C24"/>
    <w:rsid w:val="00414E2B"/>
    <w:rsid w:val="00416644"/>
    <w:rsid w:val="004221B5"/>
    <w:rsid w:val="004250FA"/>
    <w:rsid w:val="00425E48"/>
    <w:rsid w:val="004263E5"/>
    <w:rsid w:val="00427D9A"/>
    <w:rsid w:val="004409B0"/>
    <w:rsid w:val="0044364A"/>
    <w:rsid w:val="00445DDB"/>
    <w:rsid w:val="00447645"/>
    <w:rsid w:val="0044798A"/>
    <w:rsid w:val="00451F86"/>
    <w:rsid w:val="00453267"/>
    <w:rsid w:val="00457EAB"/>
    <w:rsid w:val="00460FB6"/>
    <w:rsid w:val="00461B06"/>
    <w:rsid w:val="00462A19"/>
    <w:rsid w:val="00463D40"/>
    <w:rsid w:val="00464C27"/>
    <w:rsid w:val="004658EC"/>
    <w:rsid w:val="00477543"/>
    <w:rsid w:val="004777B4"/>
    <w:rsid w:val="00477E1F"/>
    <w:rsid w:val="00480039"/>
    <w:rsid w:val="00481955"/>
    <w:rsid w:val="0048410B"/>
    <w:rsid w:val="00484B6F"/>
    <w:rsid w:val="004919E1"/>
    <w:rsid w:val="0049406D"/>
    <w:rsid w:val="00494DC3"/>
    <w:rsid w:val="0049634E"/>
    <w:rsid w:val="00496806"/>
    <w:rsid w:val="004A04D7"/>
    <w:rsid w:val="004A0802"/>
    <w:rsid w:val="004A32CC"/>
    <w:rsid w:val="004A32F6"/>
    <w:rsid w:val="004A50F8"/>
    <w:rsid w:val="004A5717"/>
    <w:rsid w:val="004A7C45"/>
    <w:rsid w:val="004B1D3B"/>
    <w:rsid w:val="004B294A"/>
    <w:rsid w:val="004C088B"/>
    <w:rsid w:val="004C255E"/>
    <w:rsid w:val="004C278E"/>
    <w:rsid w:val="004C6C32"/>
    <w:rsid w:val="004C742D"/>
    <w:rsid w:val="004C7999"/>
    <w:rsid w:val="004D440E"/>
    <w:rsid w:val="004D48D8"/>
    <w:rsid w:val="004D643B"/>
    <w:rsid w:val="004D72B7"/>
    <w:rsid w:val="004D7603"/>
    <w:rsid w:val="004E08E9"/>
    <w:rsid w:val="004E18A5"/>
    <w:rsid w:val="004E18D8"/>
    <w:rsid w:val="004E3F67"/>
    <w:rsid w:val="004E4609"/>
    <w:rsid w:val="004E54C6"/>
    <w:rsid w:val="004E625B"/>
    <w:rsid w:val="004F219C"/>
    <w:rsid w:val="004F2598"/>
    <w:rsid w:val="004F3279"/>
    <w:rsid w:val="004F40DC"/>
    <w:rsid w:val="0050049C"/>
    <w:rsid w:val="00500541"/>
    <w:rsid w:val="005008A5"/>
    <w:rsid w:val="00500A47"/>
    <w:rsid w:val="00500FF7"/>
    <w:rsid w:val="0051182B"/>
    <w:rsid w:val="005148D2"/>
    <w:rsid w:val="00515C03"/>
    <w:rsid w:val="00516A87"/>
    <w:rsid w:val="00516AF6"/>
    <w:rsid w:val="00520674"/>
    <w:rsid w:val="00523CA1"/>
    <w:rsid w:val="0053179E"/>
    <w:rsid w:val="00531E3E"/>
    <w:rsid w:val="005353FF"/>
    <w:rsid w:val="00535E94"/>
    <w:rsid w:val="00540058"/>
    <w:rsid w:val="005455D2"/>
    <w:rsid w:val="0054677A"/>
    <w:rsid w:val="00546C67"/>
    <w:rsid w:val="005473AC"/>
    <w:rsid w:val="005500DF"/>
    <w:rsid w:val="00551030"/>
    <w:rsid w:val="00553F93"/>
    <w:rsid w:val="005602CD"/>
    <w:rsid w:val="005616E3"/>
    <w:rsid w:val="00563F18"/>
    <w:rsid w:val="005668FB"/>
    <w:rsid w:val="005702A8"/>
    <w:rsid w:val="00574877"/>
    <w:rsid w:val="00580B5D"/>
    <w:rsid w:val="00580E26"/>
    <w:rsid w:val="00583A59"/>
    <w:rsid w:val="00583FB3"/>
    <w:rsid w:val="00590E59"/>
    <w:rsid w:val="0059210A"/>
    <w:rsid w:val="00592D12"/>
    <w:rsid w:val="00592D98"/>
    <w:rsid w:val="00594088"/>
    <w:rsid w:val="00595E83"/>
    <w:rsid w:val="0059708A"/>
    <w:rsid w:val="005A1456"/>
    <w:rsid w:val="005A227F"/>
    <w:rsid w:val="005B0F51"/>
    <w:rsid w:val="005B170C"/>
    <w:rsid w:val="005B27A3"/>
    <w:rsid w:val="005B2EE1"/>
    <w:rsid w:val="005B56B5"/>
    <w:rsid w:val="005B681E"/>
    <w:rsid w:val="005B71A9"/>
    <w:rsid w:val="005C166B"/>
    <w:rsid w:val="005C4E44"/>
    <w:rsid w:val="005C5C0E"/>
    <w:rsid w:val="005D0324"/>
    <w:rsid w:val="005D547D"/>
    <w:rsid w:val="005F129F"/>
    <w:rsid w:val="005F1770"/>
    <w:rsid w:val="005F20BA"/>
    <w:rsid w:val="005F320F"/>
    <w:rsid w:val="005F3FCF"/>
    <w:rsid w:val="005F501A"/>
    <w:rsid w:val="005F581F"/>
    <w:rsid w:val="005F79FE"/>
    <w:rsid w:val="005F7A9F"/>
    <w:rsid w:val="005F7E20"/>
    <w:rsid w:val="00601CDC"/>
    <w:rsid w:val="00602255"/>
    <w:rsid w:val="00602D6A"/>
    <w:rsid w:val="006042F6"/>
    <w:rsid w:val="00610211"/>
    <w:rsid w:val="0061188E"/>
    <w:rsid w:val="0061388E"/>
    <w:rsid w:val="00613DB3"/>
    <w:rsid w:val="006152F0"/>
    <w:rsid w:val="00620BF3"/>
    <w:rsid w:val="00622952"/>
    <w:rsid w:val="006307B1"/>
    <w:rsid w:val="0063242C"/>
    <w:rsid w:val="00632EC0"/>
    <w:rsid w:val="00637D20"/>
    <w:rsid w:val="00642D74"/>
    <w:rsid w:val="00642EDA"/>
    <w:rsid w:val="00643F16"/>
    <w:rsid w:val="00646A2F"/>
    <w:rsid w:val="00652CC0"/>
    <w:rsid w:val="00654A55"/>
    <w:rsid w:val="00655480"/>
    <w:rsid w:val="00656674"/>
    <w:rsid w:val="00665A5C"/>
    <w:rsid w:val="00671008"/>
    <w:rsid w:val="00671759"/>
    <w:rsid w:val="00673D72"/>
    <w:rsid w:val="0067468A"/>
    <w:rsid w:val="0067494D"/>
    <w:rsid w:val="00676E3A"/>
    <w:rsid w:val="006771DD"/>
    <w:rsid w:val="00680CCC"/>
    <w:rsid w:val="00680EEB"/>
    <w:rsid w:val="006813BA"/>
    <w:rsid w:val="00681CD1"/>
    <w:rsid w:val="00682E5F"/>
    <w:rsid w:val="00684368"/>
    <w:rsid w:val="006856AE"/>
    <w:rsid w:val="006869BB"/>
    <w:rsid w:val="0069445C"/>
    <w:rsid w:val="006953CC"/>
    <w:rsid w:val="00695D49"/>
    <w:rsid w:val="00695FC7"/>
    <w:rsid w:val="006A00C1"/>
    <w:rsid w:val="006A0FBD"/>
    <w:rsid w:val="006A2252"/>
    <w:rsid w:val="006A22D3"/>
    <w:rsid w:val="006A28BE"/>
    <w:rsid w:val="006A2A1F"/>
    <w:rsid w:val="006A3DD2"/>
    <w:rsid w:val="006A46FB"/>
    <w:rsid w:val="006A71C1"/>
    <w:rsid w:val="006A7DDD"/>
    <w:rsid w:val="006B1C7C"/>
    <w:rsid w:val="006B1D9F"/>
    <w:rsid w:val="006B416F"/>
    <w:rsid w:val="006C29B8"/>
    <w:rsid w:val="006C4960"/>
    <w:rsid w:val="006C54FC"/>
    <w:rsid w:val="006C713D"/>
    <w:rsid w:val="006C7B17"/>
    <w:rsid w:val="006C7FD4"/>
    <w:rsid w:val="006D03D8"/>
    <w:rsid w:val="006D0DF6"/>
    <w:rsid w:val="006D2B19"/>
    <w:rsid w:val="006D2D34"/>
    <w:rsid w:val="006D3D06"/>
    <w:rsid w:val="006D42FF"/>
    <w:rsid w:val="006D44FA"/>
    <w:rsid w:val="006D65B2"/>
    <w:rsid w:val="006D7F52"/>
    <w:rsid w:val="006E490B"/>
    <w:rsid w:val="006E53ED"/>
    <w:rsid w:val="006E697C"/>
    <w:rsid w:val="006F19B1"/>
    <w:rsid w:val="006F4CA4"/>
    <w:rsid w:val="006F68E1"/>
    <w:rsid w:val="006F6DFD"/>
    <w:rsid w:val="006F6E92"/>
    <w:rsid w:val="006F70C7"/>
    <w:rsid w:val="007003F2"/>
    <w:rsid w:val="00701EBE"/>
    <w:rsid w:val="00710053"/>
    <w:rsid w:val="007101F7"/>
    <w:rsid w:val="0071276D"/>
    <w:rsid w:val="00712E7E"/>
    <w:rsid w:val="0071337B"/>
    <w:rsid w:val="0071432B"/>
    <w:rsid w:val="0071651A"/>
    <w:rsid w:val="007170D6"/>
    <w:rsid w:val="007208A1"/>
    <w:rsid w:val="00721B81"/>
    <w:rsid w:val="00721F84"/>
    <w:rsid w:val="00722AEF"/>
    <w:rsid w:val="0072497C"/>
    <w:rsid w:val="007254CB"/>
    <w:rsid w:val="0072779D"/>
    <w:rsid w:val="00727EF9"/>
    <w:rsid w:val="00730674"/>
    <w:rsid w:val="00737853"/>
    <w:rsid w:val="00737D8A"/>
    <w:rsid w:val="007409D6"/>
    <w:rsid w:val="00742B8E"/>
    <w:rsid w:val="0074484F"/>
    <w:rsid w:val="00744B3B"/>
    <w:rsid w:val="0075044E"/>
    <w:rsid w:val="00751294"/>
    <w:rsid w:val="007512DA"/>
    <w:rsid w:val="00753F0C"/>
    <w:rsid w:val="00755386"/>
    <w:rsid w:val="00755EEC"/>
    <w:rsid w:val="007569C6"/>
    <w:rsid w:val="00760080"/>
    <w:rsid w:val="00760B41"/>
    <w:rsid w:val="0076116D"/>
    <w:rsid w:val="007657A2"/>
    <w:rsid w:val="00766D1B"/>
    <w:rsid w:val="0077130C"/>
    <w:rsid w:val="007738F1"/>
    <w:rsid w:val="00775B2B"/>
    <w:rsid w:val="00776089"/>
    <w:rsid w:val="00780C6A"/>
    <w:rsid w:val="00781B08"/>
    <w:rsid w:val="007830B6"/>
    <w:rsid w:val="007924C8"/>
    <w:rsid w:val="00797E04"/>
    <w:rsid w:val="007A146B"/>
    <w:rsid w:val="007A1B9C"/>
    <w:rsid w:val="007A6A88"/>
    <w:rsid w:val="007B1172"/>
    <w:rsid w:val="007B1C5C"/>
    <w:rsid w:val="007B655C"/>
    <w:rsid w:val="007C0805"/>
    <w:rsid w:val="007C13CA"/>
    <w:rsid w:val="007C1D90"/>
    <w:rsid w:val="007C61D8"/>
    <w:rsid w:val="007D2285"/>
    <w:rsid w:val="007D2781"/>
    <w:rsid w:val="007D35DB"/>
    <w:rsid w:val="007E0D1A"/>
    <w:rsid w:val="007E10AB"/>
    <w:rsid w:val="007E10C6"/>
    <w:rsid w:val="007E13B0"/>
    <w:rsid w:val="007E1A69"/>
    <w:rsid w:val="007E282D"/>
    <w:rsid w:val="007E4C9C"/>
    <w:rsid w:val="007E7949"/>
    <w:rsid w:val="007E7993"/>
    <w:rsid w:val="007F0C0A"/>
    <w:rsid w:val="007F7DCF"/>
    <w:rsid w:val="008025B7"/>
    <w:rsid w:val="008030FB"/>
    <w:rsid w:val="00803813"/>
    <w:rsid w:val="00804432"/>
    <w:rsid w:val="00807FC6"/>
    <w:rsid w:val="008127D9"/>
    <w:rsid w:val="008138C8"/>
    <w:rsid w:val="00815C35"/>
    <w:rsid w:val="008174D7"/>
    <w:rsid w:val="00820986"/>
    <w:rsid w:val="00831B91"/>
    <w:rsid w:val="008323DA"/>
    <w:rsid w:val="00832CCE"/>
    <w:rsid w:val="0083334A"/>
    <w:rsid w:val="008454C4"/>
    <w:rsid w:val="00850403"/>
    <w:rsid w:val="0085196C"/>
    <w:rsid w:val="00860807"/>
    <w:rsid w:val="00860E65"/>
    <w:rsid w:val="00861068"/>
    <w:rsid w:val="00874F0F"/>
    <w:rsid w:val="008775A2"/>
    <w:rsid w:val="008776DC"/>
    <w:rsid w:val="0088140E"/>
    <w:rsid w:val="00881D0A"/>
    <w:rsid w:val="00883966"/>
    <w:rsid w:val="00883DB7"/>
    <w:rsid w:val="00885257"/>
    <w:rsid w:val="008859E7"/>
    <w:rsid w:val="0088743F"/>
    <w:rsid w:val="00891016"/>
    <w:rsid w:val="00893796"/>
    <w:rsid w:val="00895A04"/>
    <w:rsid w:val="00897842"/>
    <w:rsid w:val="008A1522"/>
    <w:rsid w:val="008A1E0F"/>
    <w:rsid w:val="008A29D9"/>
    <w:rsid w:val="008A36A7"/>
    <w:rsid w:val="008A7E83"/>
    <w:rsid w:val="008B06DB"/>
    <w:rsid w:val="008B22CD"/>
    <w:rsid w:val="008B6F51"/>
    <w:rsid w:val="008C05F6"/>
    <w:rsid w:val="008D1099"/>
    <w:rsid w:val="008D12AE"/>
    <w:rsid w:val="008D4E78"/>
    <w:rsid w:val="008D5503"/>
    <w:rsid w:val="008E01FA"/>
    <w:rsid w:val="008E0424"/>
    <w:rsid w:val="008E0846"/>
    <w:rsid w:val="008E134F"/>
    <w:rsid w:val="008E20CD"/>
    <w:rsid w:val="008E28BC"/>
    <w:rsid w:val="008E34A3"/>
    <w:rsid w:val="008E42BD"/>
    <w:rsid w:val="008E6B18"/>
    <w:rsid w:val="008F1367"/>
    <w:rsid w:val="008F5930"/>
    <w:rsid w:val="009010FC"/>
    <w:rsid w:val="009029E4"/>
    <w:rsid w:val="00904E4A"/>
    <w:rsid w:val="00905FB4"/>
    <w:rsid w:val="009231F9"/>
    <w:rsid w:val="00924691"/>
    <w:rsid w:val="00924C7F"/>
    <w:rsid w:val="009269CA"/>
    <w:rsid w:val="00927505"/>
    <w:rsid w:val="009337B0"/>
    <w:rsid w:val="00946578"/>
    <w:rsid w:val="00947E06"/>
    <w:rsid w:val="0095149D"/>
    <w:rsid w:val="00952467"/>
    <w:rsid w:val="00954DEE"/>
    <w:rsid w:val="009616D1"/>
    <w:rsid w:val="00961893"/>
    <w:rsid w:val="0096329E"/>
    <w:rsid w:val="00965BED"/>
    <w:rsid w:val="00967B4F"/>
    <w:rsid w:val="009708B0"/>
    <w:rsid w:val="00975AA1"/>
    <w:rsid w:val="00976506"/>
    <w:rsid w:val="009776B6"/>
    <w:rsid w:val="00994F38"/>
    <w:rsid w:val="009952AD"/>
    <w:rsid w:val="009A10B7"/>
    <w:rsid w:val="009A484B"/>
    <w:rsid w:val="009A4C31"/>
    <w:rsid w:val="009A57F5"/>
    <w:rsid w:val="009A73DA"/>
    <w:rsid w:val="009B04C9"/>
    <w:rsid w:val="009B3622"/>
    <w:rsid w:val="009B513D"/>
    <w:rsid w:val="009B733E"/>
    <w:rsid w:val="009C16D6"/>
    <w:rsid w:val="009C3AFE"/>
    <w:rsid w:val="009C3C66"/>
    <w:rsid w:val="009C4DD6"/>
    <w:rsid w:val="009C6E46"/>
    <w:rsid w:val="009D01F3"/>
    <w:rsid w:val="009E1244"/>
    <w:rsid w:val="009E16AA"/>
    <w:rsid w:val="009E3105"/>
    <w:rsid w:val="009F2E6D"/>
    <w:rsid w:val="009F5104"/>
    <w:rsid w:val="009F542F"/>
    <w:rsid w:val="009F6B84"/>
    <w:rsid w:val="009F6CC0"/>
    <w:rsid w:val="00A00820"/>
    <w:rsid w:val="00A01D0C"/>
    <w:rsid w:val="00A033AA"/>
    <w:rsid w:val="00A03F1E"/>
    <w:rsid w:val="00A07A16"/>
    <w:rsid w:val="00A102C8"/>
    <w:rsid w:val="00A10893"/>
    <w:rsid w:val="00A12078"/>
    <w:rsid w:val="00A13A75"/>
    <w:rsid w:val="00A14CC8"/>
    <w:rsid w:val="00A17274"/>
    <w:rsid w:val="00A21608"/>
    <w:rsid w:val="00A22BC4"/>
    <w:rsid w:val="00A22CE4"/>
    <w:rsid w:val="00A22F30"/>
    <w:rsid w:val="00A24253"/>
    <w:rsid w:val="00A26357"/>
    <w:rsid w:val="00A2691A"/>
    <w:rsid w:val="00A311D9"/>
    <w:rsid w:val="00A3274C"/>
    <w:rsid w:val="00A32B74"/>
    <w:rsid w:val="00A33503"/>
    <w:rsid w:val="00A36460"/>
    <w:rsid w:val="00A376B1"/>
    <w:rsid w:val="00A3776E"/>
    <w:rsid w:val="00A41945"/>
    <w:rsid w:val="00A4316F"/>
    <w:rsid w:val="00A4793B"/>
    <w:rsid w:val="00A4799B"/>
    <w:rsid w:val="00A509FD"/>
    <w:rsid w:val="00A50E8A"/>
    <w:rsid w:val="00A52EAD"/>
    <w:rsid w:val="00A54CAC"/>
    <w:rsid w:val="00A5534E"/>
    <w:rsid w:val="00A641C1"/>
    <w:rsid w:val="00A66C7B"/>
    <w:rsid w:val="00A67B1E"/>
    <w:rsid w:val="00A706AF"/>
    <w:rsid w:val="00A70A91"/>
    <w:rsid w:val="00A74CF7"/>
    <w:rsid w:val="00A7562E"/>
    <w:rsid w:val="00A75AF8"/>
    <w:rsid w:val="00A77B1F"/>
    <w:rsid w:val="00A81465"/>
    <w:rsid w:val="00A84760"/>
    <w:rsid w:val="00A9111A"/>
    <w:rsid w:val="00A92C79"/>
    <w:rsid w:val="00A95EF0"/>
    <w:rsid w:val="00AA2133"/>
    <w:rsid w:val="00AA39A1"/>
    <w:rsid w:val="00AA6388"/>
    <w:rsid w:val="00AA7109"/>
    <w:rsid w:val="00AB1F3F"/>
    <w:rsid w:val="00AB25A5"/>
    <w:rsid w:val="00AB3C89"/>
    <w:rsid w:val="00AB3F52"/>
    <w:rsid w:val="00AB5BDC"/>
    <w:rsid w:val="00AC0139"/>
    <w:rsid w:val="00AC0FC2"/>
    <w:rsid w:val="00AC213B"/>
    <w:rsid w:val="00AC4CE6"/>
    <w:rsid w:val="00AC7020"/>
    <w:rsid w:val="00AC74CF"/>
    <w:rsid w:val="00AC79CE"/>
    <w:rsid w:val="00AD2244"/>
    <w:rsid w:val="00AD238A"/>
    <w:rsid w:val="00AD2F9E"/>
    <w:rsid w:val="00AD36D1"/>
    <w:rsid w:val="00AD42C3"/>
    <w:rsid w:val="00AD512C"/>
    <w:rsid w:val="00AE2FC9"/>
    <w:rsid w:val="00AE32EA"/>
    <w:rsid w:val="00AE5088"/>
    <w:rsid w:val="00AF3E87"/>
    <w:rsid w:val="00AF6564"/>
    <w:rsid w:val="00AF6568"/>
    <w:rsid w:val="00AF7400"/>
    <w:rsid w:val="00AF7F31"/>
    <w:rsid w:val="00B02EEB"/>
    <w:rsid w:val="00B04D02"/>
    <w:rsid w:val="00B04E29"/>
    <w:rsid w:val="00B078B7"/>
    <w:rsid w:val="00B14A57"/>
    <w:rsid w:val="00B162D3"/>
    <w:rsid w:val="00B164DF"/>
    <w:rsid w:val="00B175E4"/>
    <w:rsid w:val="00B22886"/>
    <w:rsid w:val="00B268BB"/>
    <w:rsid w:val="00B27FBD"/>
    <w:rsid w:val="00B3019C"/>
    <w:rsid w:val="00B31743"/>
    <w:rsid w:val="00B32B2D"/>
    <w:rsid w:val="00B346A0"/>
    <w:rsid w:val="00B357D6"/>
    <w:rsid w:val="00B47197"/>
    <w:rsid w:val="00B50B4E"/>
    <w:rsid w:val="00B50CD0"/>
    <w:rsid w:val="00B5162F"/>
    <w:rsid w:val="00B5200C"/>
    <w:rsid w:val="00B5335D"/>
    <w:rsid w:val="00B542A8"/>
    <w:rsid w:val="00B54607"/>
    <w:rsid w:val="00B56F8F"/>
    <w:rsid w:val="00B613E4"/>
    <w:rsid w:val="00B62A7A"/>
    <w:rsid w:val="00B6357C"/>
    <w:rsid w:val="00B63D1E"/>
    <w:rsid w:val="00B77F7F"/>
    <w:rsid w:val="00B81C35"/>
    <w:rsid w:val="00B8223C"/>
    <w:rsid w:val="00B83E61"/>
    <w:rsid w:val="00B84135"/>
    <w:rsid w:val="00B91798"/>
    <w:rsid w:val="00B92F1C"/>
    <w:rsid w:val="00B92F40"/>
    <w:rsid w:val="00BA01B1"/>
    <w:rsid w:val="00BA4E1B"/>
    <w:rsid w:val="00BB0F38"/>
    <w:rsid w:val="00BB2B93"/>
    <w:rsid w:val="00BB3455"/>
    <w:rsid w:val="00BB38F8"/>
    <w:rsid w:val="00BB3C2B"/>
    <w:rsid w:val="00BB5516"/>
    <w:rsid w:val="00BC11CA"/>
    <w:rsid w:val="00BC1284"/>
    <w:rsid w:val="00BC144B"/>
    <w:rsid w:val="00BC2698"/>
    <w:rsid w:val="00BC2FA2"/>
    <w:rsid w:val="00BC40EC"/>
    <w:rsid w:val="00BC4718"/>
    <w:rsid w:val="00BD2F4B"/>
    <w:rsid w:val="00BD574C"/>
    <w:rsid w:val="00BD5A31"/>
    <w:rsid w:val="00BD650F"/>
    <w:rsid w:val="00BE3BE3"/>
    <w:rsid w:val="00BF04B5"/>
    <w:rsid w:val="00BF0614"/>
    <w:rsid w:val="00BF3334"/>
    <w:rsid w:val="00BF6B86"/>
    <w:rsid w:val="00C00931"/>
    <w:rsid w:val="00C0216E"/>
    <w:rsid w:val="00C038CD"/>
    <w:rsid w:val="00C04D24"/>
    <w:rsid w:val="00C05743"/>
    <w:rsid w:val="00C06F7E"/>
    <w:rsid w:val="00C14CB6"/>
    <w:rsid w:val="00C152FF"/>
    <w:rsid w:val="00C16F0A"/>
    <w:rsid w:val="00C2016B"/>
    <w:rsid w:val="00C21EEF"/>
    <w:rsid w:val="00C2351F"/>
    <w:rsid w:val="00C24061"/>
    <w:rsid w:val="00C26450"/>
    <w:rsid w:val="00C26517"/>
    <w:rsid w:val="00C30C22"/>
    <w:rsid w:val="00C318AD"/>
    <w:rsid w:val="00C358FA"/>
    <w:rsid w:val="00C400C5"/>
    <w:rsid w:val="00C41559"/>
    <w:rsid w:val="00C42F06"/>
    <w:rsid w:val="00C43CC4"/>
    <w:rsid w:val="00C44408"/>
    <w:rsid w:val="00C46869"/>
    <w:rsid w:val="00C51D9F"/>
    <w:rsid w:val="00C53F58"/>
    <w:rsid w:val="00C60ED9"/>
    <w:rsid w:val="00C624B0"/>
    <w:rsid w:val="00C710D7"/>
    <w:rsid w:val="00C7187B"/>
    <w:rsid w:val="00C71BC9"/>
    <w:rsid w:val="00C75C08"/>
    <w:rsid w:val="00C81BB9"/>
    <w:rsid w:val="00C844B8"/>
    <w:rsid w:val="00C8498D"/>
    <w:rsid w:val="00C84CFE"/>
    <w:rsid w:val="00C856C9"/>
    <w:rsid w:val="00C86AA1"/>
    <w:rsid w:val="00C929B7"/>
    <w:rsid w:val="00C93BF7"/>
    <w:rsid w:val="00C94769"/>
    <w:rsid w:val="00C9497A"/>
    <w:rsid w:val="00C967DE"/>
    <w:rsid w:val="00CA1427"/>
    <w:rsid w:val="00CA544E"/>
    <w:rsid w:val="00CA5EC2"/>
    <w:rsid w:val="00CB2075"/>
    <w:rsid w:val="00CB425C"/>
    <w:rsid w:val="00CB5E6E"/>
    <w:rsid w:val="00CB7E21"/>
    <w:rsid w:val="00CC370A"/>
    <w:rsid w:val="00CC3749"/>
    <w:rsid w:val="00CC4154"/>
    <w:rsid w:val="00CC56C7"/>
    <w:rsid w:val="00CD2A02"/>
    <w:rsid w:val="00CD2DEB"/>
    <w:rsid w:val="00CE09A1"/>
    <w:rsid w:val="00CE1EDB"/>
    <w:rsid w:val="00CE2512"/>
    <w:rsid w:val="00CE26C5"/>
    <w:rsid w:val="00CE2A62"/>
    <w:rsid w:val="00CE4126"/>
    <w:rsid w:val="00CE6039"/>
    <w:rsid w:val="00CE6ED9"/>
    <w:rsid w:val="00CF52B5"/>
    <w:rsid w:val="00D00103"/>
    <w:rsid w:val="00D00874"/>
    <w:rsid w:val="00D01B7C"/>
    <w:rsid w:val="00D0653B"/>
    <w:rsid w:val="00D07447"/>
    <w:rsid w:val="00D12572"/>
    <w:rsid w:val="00D14553"/>
    <w:rsid w:val="00D16396"/>
    <w:rsid w:val="00D201C2"/>
    <w:rsid w:val="00D20208"/>
    <w:rsid w:val="00D2454B"/>
    <w:rsid w:val="00D2553F"/>
    <w:rsid w:val="00D319F3"/>
    <w:rsid w:val="00D32CB8"/>
    <w:rsid w:val="00D33117"/>
    <w:rsid w:val="00D34AE8"/>
    <w:rsid w:val="00D43ED8"/>
    <w:rsid w:val="00D44A21"/>
    <w:rsid w:val="00D450E7"/>
    <w:rsid w:val="00D47D60"/>
    <w:rsid w:val="00D50375"/>
    <w:rsid w:val="00D511F5"/>
    <w:rsid w:val="00D521C9"/>
    <w:rsid w:val="00D60A8D"/>
    <w:rsid w:val="00D61FE0"/>
    <w:rsid w:val="00D641DE"/>
    <w:rsid w:val="00D647DA"/>
    <w:rsid w:val="00D66F63"/>
    <w:rsid w:val="00D6723D"/>
    <w:rsid w:val="00D709CC"/>
    <w:rsid w:val="00D70BE3"/>
    <w:rsid w:val="00D73394"/>
    <w:rsid w:val="00D7370F"/>
    <w:rsid w:val="00D80333"/>
    <w:rsid w:val="00D828C4"/>
    <w:rsid w:val="00D83035"/>
    <w:rsid w:val="00D84B18"/>
    <w:rsid w:val="00D84FD2"/>
    <w:rsid w:val="00D85EA5"/>
    <w:rsid w:val="00D92A1E"/>
    <w:rsid w:val="00D94B04"/>
    <w:rsid w:val="00D959F5"/>
    <w:rsid w:val="00D97603"/>
    <w:rsid w:val="00DA14A9"/>
    <w:rsid w:val="00DA683F"/>
    <w:rsid w:val="00DA74AF"/>
    <w:rsid w:val="00DB1692"/>
    <w:rsid w:val="00DB2146"/>
    <w:rsid w:val="00DB2188"/>
    <w:rsid w:val="00DB2E20"/>
    <w:rsid w:val="00DB37C1"/>
    <w:rsid w:val="00DB4EE7"/>
    <w:rsid w:val="00DC1245"/>
    <w:rsid w:val="00DC4DE9"/>
    <w:rsid w:val="00DC6287"/>
    <w:rsid w:val="00DC788B"/>
    <w:rsid w:val="00DD1EFB"/>
    <w:rsid w:val="00DD45A2"/>
    <w:rsid w:val="00DE268D"/>
    <w:rsid w:val="00DE4145"/>
    <w:rsid w:val="00DE4CBF"/>
    <w:rsid w:val="00DE5598"/>
    <w:rsid w:val="00DE66C1"/>
    <w:rsid w:val="00DE7559"/>
    <w:rsid w:val="00DF01EB"/>
    <w:rsid w:val="00DF05EC"/>
    <w:rsid w:val="00DF31D1"/>
    <w:rsid w:val="00DF6167"/>
    <w:rsid w:val="00E0068E"/>
    <w:rsid w:val="00E01D74"/>
    <w:rsid w:val="00E0200A"/>
    <w:rsid w:val="00E0284F"/>
    <w:rsid w:val="00E06FAE"/>
    <w:rsid w:val="00E1155E"/>
    <w:rsid w:val="00E11BB2"/>
    <w:rsid w:val="00E13B2D"/>
    <w:rsid w:val="00E15303"/>
    <w:rsid w:val="00E16D9D"/>
    <w:rsid w:val="00E202C6"/>
    <w:rsid w:val="00E226BC"/>
    <w:rsid w:val="00E22DCB"/>
    <w:rsid w:val="00E234B6"/>
    <w:rsid w:val="00E2708A"/>
    <w:rsid w:val="00E3016F"/>
    <w:rsid w:val="00E34440"/>
    <w:rsid w:val="00E35EDC"/>
    <w:rsid w:val="00E3618D"/>
    <w:rsid w:val="00E36B02"/>
    <w:rsid w:val="00E372CC"/>
    <w:rsid w:val="00E4206D"/>
    <w:rsid w:val="00E4317C"/>
    <w:rsid w:val="00E43489"/>
    <w:rsid w:val="00E44560"/>
    <w:rsid w:val="00E455C6"/>
    <w:rsid w:val="00E50224"/>
    <w:rsid w:val="00E5033F"/>
    <w:rsid w:val="00E505B4"/>
    <w:rsid w:val="00E5381E"/>
    <w:rsid w:val="00E54B1B"/>
    <w:rsid w:val="00E54FC4"/>
    <w:rsid w:val="00E550B4"/>
    <w:rsid w:val="00E6082A"/>
    <w:rsid w:val="00E61964"/>
    <w:rsid w:val="00E61A17"/>
    <w:rsid w:val="00E61DDE"/>
    <w:rsid w:val="00E62146"/>
    <w:rsid w:val="00E627DB"/>
    <w:rsid w:val="00E639FF"/>
    <w:rsid w:val="00E6770F"/>
    <w:rsid w:val="00E7022B"/>
    <w:rsid w:val="00E719FA"/>
    <w:rsid w:val="00E7261C"/>
    <w:rsid w:val="00E73910"/>
    <w:rsid w:val="00E75B23"/>
    <w:rsid w:val="00E770BE"/>
    <w:rsid w:val="00E77AAB"/>
    <w:rsid w:val="00E80E48"/>
    <w:rsid w:val="00E81BDE"/>
    <w:rsid w:val="00E81D19"/>
    <w:rsid w:val="00E83247"/>
    <w:rsid w:val="00E8650A"/>
    <w:rsid w:val="00E8707C"/>
    <w:rsid w:val="00E87D3A"/>
    <w:rsid w:val="00E9043A"/>
    <w:rsid w:val="00E9277A"/>
    <w:rsid w:val="00E94865"/>
    <w:rsid w:val="00E9517E"/>
    <w:rsid w:val="00E95EBC"/>
    <w:rsid w:val="00E95FF1"/>
    <w:rsid w:val="00EA038A"/>
    <w:rsid w:val="00EA5772"/>
    <w:rsid w:val="00EA7678"/>
    <w:rsid w:val="00EB3775"/>
    <w:rsid w:val="00EB3F3D"/>
    <w:rsid w:val="00EC01EA"/>
    <w:rsid w:val="00EC0A26"/>
    <w:rsid w:val="00EC239F"/>
    <w:rsid w:val="00EC3974"/>
    <w:rsid w:val="00EC7055"/>
    <w:rsid w:val="00ED0205"/>
    <w:rsid w:val="00ED04E0"/>
    <w:rsid w:val="00ED0E66"/>
    <w:rsid w:val="00ED1C72"/>
    <w:rsid w:val="00ED3575"/>
    <w:rsid w:val="00ED3955"/>
    <w:rsid w:val="00ED574B"/>
    <w:rsid w:val="00ED5F1F"/>
    <w:rsid w:val="00ED6376"/>
    <w:rsid w:val="00EE4686"/>
    <w:rsid w:val="00EE4B57"/>
    <w:rsid w:val="00EE6052"/>
    <w:rsid w:val="00EE6C81"/>
    <w:rsid w:val="00EE7925"/>
    <w:rsid w:val="00EF3ADE"/>
    <w:rsid w:val="00EF439B"/>
    <w:rsid w:val="00EF4DDA"/>
    <w:rsid w:val="00EF537B"/>
    <w:rsid w:val="00F00E5B"/>
    <w:rsid w:val="00F00F7F"/>
    <w:rsid w:val="00F01F58"/>
    <w:rsid w:val="00F02082"/>
    <w:rsid w:val="00F034EA"/>
    <w:rsid w:val="00F06139"/>
    <w:rsid w:val="00F1049F"/>
    <w:rsid w:val="00F12601"/>
    <w:rsid w:val="00F14941"/>
    <w:rsid w:val="00F1562D"/>
    <w:rsid w:val="00F17567"/>
    <w:rsid w:val="00F2165F"/>
    <w:rsid w:val="00F21C10"/>
    <w:rsid w:val="00F222A1"/>
    <w:rsid w:val="00F255B9"/>
    <w:rsid w:val="00F25628"/>
    <w:rsid w:val="00F26CF4"/>
    <w:rsid w:val="00F2740D"/>
    <w:rsid w:val="00F27593"/>
    <w:rsid w:val="00F3372E"/>
    <w:rsid w:val="00F33734"/>
    <w:rsid w:val="00F352D6"/>
    <w:rsid w:val="00F435E3"/>
    <w:rsid w:val="00F466DA"/>
    <w:rsid w:val="00F50B44"/>
    <w:rsid w:val="00F5297C"/>
    <w:rsid w:val="00F52F4B"/>
    <w:rsid w:val="00F554C7"/>
    <w:rsid w:val="00F560B1"/>
    <w:rsid w:val="00F60466"/>
    <w:rsid w:val="00F60822"/>
    <w:rsid w:val="00F6104D"/>
    <w:rsid w:val="00F62194"/>
    <w:rsid w:val="00F6250F"/>
    <w:rsid w:val="00F63501"/>
    <w:rsid w:val="00F63797"/>
    <w:rsid w:val="00F64755"/>
    <w:rsid w:val="00F71FA5"/>
    <w:rsid w:val="00F72064"/>
    <w:rsid w:val="00F74D98"/>
    <w:rsid w:val="00F837DC"/>
    <w:rsid w:val="00F8604F"/>
    <w:rsid w:val="00F91808"/>
    <w:rsid w:val="00F9347D"/>
    <w:rsid w:val="00F93B4E"/>
    <w:rsid w:val="00F9443D"/>
    <w:rsid w:val="00FB41A1"/>
    <w:rsid w:val="00FC050A"/>
    <w:rsid w:val="00FC05AE"/>
    <w:rsid w:val="00FC0F0F"/>
    <w:rsid w:val="00FC106B"/>
    <w:rsid w:val="00FC4722"/>
    <w:rsid w:val="00FC53A4"/>
    <w:rsid w:val="00FC6092"/>
    <w:rsid w:val="00FC640D"/>
    <w:rsid w:val="00FC7A3C"/>
    <w:rsid w:val="00FD0437"/>
    <w:rsid w:val="00FD28AF"/>
    <w:rsid w:val="00FD2DAD"/>
    <w:rsid w:val="00FE38F1"/>
    <w:rsid w:val="00FE4D30"/>
    <w:rsid w:val="00FF1047"/>
    <w:rsid w:val="00FF1664"/>
    <w:rsid w:val="00FF3DDF"/>
    <w:rsid w:val="00FF41ED"/>
    <w:rsid w:val="00FF6B2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CBF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F52"/>
  </w:style>
  <w:style w:type="paragraph" w:styleId="Heading1">
    <w:name w:val="heading 1"/>
    <w:basedOn w:val="Normal"/>
    <w:next w:val="Text1"/>
    <w:link w:val="Heading1Char"/>
    <w:qFormat/>
    <w:rsid w:val="00F27593"/>
    <w:pPr>
      <w:keepNext/>
      <w:numPr>
        <w:numId w:val="1"/>
      </w:numPr>
      <w:spacing w:before="240" w:after="240"/>
      <w:jc w:val="both"/>
      <w:outlineLvl w:val="0"/>
    </w:pPr>
    <w:rPr>
      <w:rFonts w:ascii="Times New Roman" w:eastAsia="Times New Roman" w:hAnsi="Times New Roman" w:cs="Times New Roman"/>
      <w:b/>
      <w:smallCaps/>
      <w:szCs w:val="20"/>
    </w:rPr>
  </w:style>
  <w:style w:type="paragraph" w:styleId="Heading2">
    <w:name w:val="heading 2"/>
    <w:basedOn w:val="Normal"/>
    <w:next w:val="Normal"/>
    <w:link w:val="Heading2Char"/>
    <w:qFormat/>
    <w:rsid w:val="00F27593"/>
    <w:pPr>
      <w:keepNext/>
      <w:numPr>
        <w:ilvl w:val="1"/>
        <w:numId w:val="1"/>
      </w:numPr>
      <w:spacing w:after="240"/>
      <w:jc w:val="both"/>
      <w:outlineLvl w:val="1"/>
    </w:pPr>
    <w:rPr>
      <w:rFonts w:ascii="Times New Roman" w:eastAsia="Times New Roman" w:hAnsi="Times New Roman" w:cs="Times New Roman"/>
      <w:b/>
      <w:szCs w:val="20"/>
    </w:rPr>
  </w:style>
  <w:style w:type="paragraph" w:styleId="Heading3">
    <w:name w:val="heading 3"/>
    <w:basedOn w:val="Normal"/>
    <w:next w:val="Normal"/>
    <w:link w:val="Heading3Char"/>
    <w:qFormat/>
    <w:rsid w:val="00F27593"/>
    <w:pPr>
      <w:keepNext/>
      <w:numPr>
        <w:ilvl w:val="2"/>
        <w:numId w:val="1"/>
      </w:numPr>
      <w:spacing w:after="240"/>
      <w:jc w:val="both"/>
      <w:outlineLvl w:val="2"/>
    </w:pPr>
    <w:rPr>
      <w:rFonts w:ascii="Times New Roman" w:eastAsia="Times New Roman" w:hAnsi="Times New Roman" w:cs="Times New Roman"/>
      <w:i/>
      <w:szCs w:val="20"/>
    </w:rPr>
  </w:style>
  <w:style w:type="paragraph" w:styleId="Heading4">
    <w:name w:val="heading 4"/>
    <w:basedOn w:val="Normal"/>
    <w:next w:val="Normal"/>
    <w:link w:val="Heading4Char"/>
    <w:qFormat/>
    <w:rsid w:val="00F27593"/>
    <w:pPr>
      <w:keepNext/>
      <w:numPr>
        <w:ilvl w:val="3"/>
        <w:numId w:val="1"/>
      </w:numPr>
      <w:spacing w:after="240"/>
      <w:jc w:val="both"/>
      <w:outlineLvl w:val="3"/>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22886"/>
    <w:rPr>
      <w:sz w:val="18"/>
      <w:szCs w:val="18"/>
    </w:rPr>
  </w:style>
  <w:style w:type="paragraph" w:styleId="CommentText">
    <w:name w:val="annotation text"/>
    <w:basedOn w:val="Normal"/>
    <w:link w:val="CommentTextChar"/>
    <w:uiPriority w:val="99"/>
    <w:unhideWhenUsed/>
    <w:rsid w:val="00B22886"/>
  </w:style>
  <w:style w:type="character" w:customStyle="1" w:styleId="CommentTextChar">
    <w:name w:val="Comment Text Char"/>
    <w:basedOn w:val="DefaultParagraphFont"/>
    <w:link w:val="CommentText"/>
    <w:uiPriority w:val="99"/>
    <w:rsid w:val="00B22886"/>
  </w:style>
  <w:style w:type="paragraph" w:styleId="CommentSubject">
    <w:name w:val="annotation subject"/>
    <w:basedOn w:val="CommentText"/>
    <w:next w:val="CommentText"/>
    <w:link w:val="CommentSubjectChar"/>
    <w:uiPriority w:val="99"/>
    <w:semiHidden/>
    <w:unhideWhenUsed/>
    <w:rsid w:val="00B22886"/>
    <w:rPr>
      <w:b/>
      <w:bCs/>
      <w:sz w:val="20"/>
      <w:szCs w:val="20"/>
    </w:rPr>
  </w:style>
  <w:style w:type="character" w:customStyle="1" w:styleId="CommentSubjectChar">
    <w:name w:val="Comment Subject Char"/>
    <w:basedOn w:val="CommentTextChar"/>
    <w:link w:val="CommentSubject"/>
    <w:uiPriority w:val="99"/>
    <w:semiHidden/>
    <w:rsid w:val="00B22886"/>
    <w:rPr>
      <w:b/>
      <w:bCs/>
      <w:sz w:val="20"/>
      <w:szCs w:val="20"/>
    </w:rPr>
  </w:style>
  <w:style w:type="paragraph" w:styleId="BalloonText">
    <w:name w:val="Balloon Text"/>
    <w:basedOn w:val="Normal"/>
    <w:link w:val="BalloonTextChar"/>
    <w:uiPriority w:val="99"/>
    <w:semiHidden/>
    <w:unhideWhenUsed/>
    <w:rsid w:val="00B22886"/>
    <w:rPr>
      <w:rFonts w:ascii="Lucida Grande" w:hAnsi="Lucida Grande"/>
      <w:sz w:val="18"/>
      <w:szCs w:val="18"/>
    </w:rPr>
  </w:style>
  <w:style w:type="character" w:customStyle="1" w:styleId="BalloonTextChar">
    <w:name w:val="Balloon Text Char"/>
    <w:basedOn w:val="DefaultParagraphFont"/>
    <w:link w:val="BalloonText"/>
    <w:uiPriority w:val="99"/>
    <w:semiHidden/>
    <w:rsid w:val="00B22886"/>
    <w:rPr>
      <w:rFonts w:ascii="Lucida Grande" w:hAnsi="Lucida Grande"/>
      <w:sz w:val="18"/>
      <w:szCs w:val="18"/>
    </w:rPr>
  </w:style>
  <w:style w:type="paragraph" w:styleId="ListParagraph">
    <w:name w:val="List Paragraph"/>
    <w:basedOn w:val="Normal"/>
    <w:uiPriority w:val="34"/>
    <w:qFormat/>
    <w:rsid w:val="001D1088"/>
    <w:pPr>
      <w:ind w:left="720"/>
      <w:contextualSpacing/>
    </w:pPr>
  </w:style>
  <w:style w:type="paragraph" w:styleId="Header">
    <w:name w:val="header"/>
    <w:basedOn w:val="Normal"/>
    <w:link w:val="HeaderChar"/>
    <w:uiPriority w:val="99"/>
    <w:unhideWhenUsed/>
    <w:rsid w:val="000E2849"/>
    <w:pPr>
      <w:tabs>
        <w:tab w:val="center" w:pos="4252"/>
        <w:tab w:val="right" w:pos="8504"/>
      </w:tabs>
      <w:snapToGrid w:val="0"/>
    </w:pPr>
  </w:style>
  <w:style w:type="character" w:customStyle="1" w:styleId="HeaderChar">
    <w:name w:val="Header Char"/>
    <w:basedOn w:val="DefaultParagraphFont"/>
    <w:link w:val="Header"/>
    <w:uiPriority w:val="99"/>
    <w:rsid w:val="000E2849"/>
  </w:style>
  <w:style w:type="paragraph" w:styleId="Footer">
    <w:name w:val="footer"/>
    <w:basedOn w:val="Normal"/>
    <w:link w:val="FooterChar"/>
    <w:uiPriority w:val="99"/>
    <w:unhideWhenUsed/>
    <w:rsid w:val="000E2849"/>
    <w:pPr>
      <w:tabs>
        <w:tab w:val="center" w:pos="4252"/>
        <w:tab w:val="right" w:pos="8504"/>
      </w:tabs>
      <w:snapToGrid w:val="0"/>
    </w:pPr>
  </w:style>
  <w:style w:type="character" w:customStyle="1" w:styleId="FooterChar">
    <w:name w:val="Footer Char"/>
    <w:basedOn w:val="DefaultParagraphFont"/>
    <w:link w:val="Footer"/>
    <w:uiPriority w:val="99"/>
    <w:rsid w:val="000E2849"/>
  </w:style>
  <w:style w:type="character" w:styleId="Hyperlink">
    <w:name w:val="Hyperlink"/>
    <w:basedOn w:val="DefaultParagraphFont"/>
    <w:uiPriority w:val="99"/>
    <w:unhideWhenUsed/>
    <w:rsid w:val="000F7F76"/>
    <w:rPr>
      <w:rFonts w:cs="Times New Roman"/>
      <w:color w:val="0000FF" w:themeColor="hyperlink"/>
      <w:u w:val="single"/>
    </w:rPr>
  </w:style>
  <w:style w:type="paragraph" w:styleId="Title">
    <w:name w:val="Title"/>
    <w:basedOn w:val="Normal"/>
    <w:link w:val="TitleChar"/>
    <w:qFormat/>
    <w:rsid w:val="00516A87"/>
    <w:pPr>
      <w:ind w:right="-142"/>
      <w:jc w:val="center"/>
    </w:pPr>
    <w:rPr>
      <w:rFonts w:ascii="Times New Roman" w:eastAsia="Times New Roman" w:hAnsi="Times New Roman" w:cs="Times New Roman"/>
      <w:b/>
      <w:szCs w:val="20"/>
    </w:rPr>
  </w:style>
  <w:style w:type="character" w:customStyle="1" w:styleId="TitleChar">
    <w:name w:val="Title Char"/>
    <w:basedOn w:val="DefaultParagraphFont"/>
    <w:link w:val="Title"/>
    <w:rsid w:val="00516A87"/>
    <w:rPr>
      <w:rFonts w:ascii="Times New Roman" w:eastAsia="Times New Roman" w:hAnsi="Times New Roman" w:cs="Times New Roman"/>
      <w:b/>
      <w:szCs w:val="20"/>
      <w:lang w:val="es-ES"/>
    </w:rPr>
  </w:style>
  <w:style w:type="paragraph" w:styleId="Revision">
    <w:name w:val="Revision"/>
    <w:hidden/>
    <w:uiPriority w:val="99"/>
    <w:semiHidden/>
    <w:rsid w:val="002A660D"/>
  </w:style>
  <w:style w:type="table" w:styleId="TableGrid">
    <w:name w:val="Table Grid"/>
    <w:basedOn w:val="TableNormal"/>
    <w:uiPriority w:val="59"/>
    <w:rsid w:val="0019209A"/>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19209A"/>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E81BDE"/>
    <w:rPr>
      <w:sz w:val="20"/>
      <w:szCs w:val="20"/>
    </w:rPr>
  </w:style>
  <w:style w:type="character" w:customStyle="1" w:styleId="FootnoteTextChar">
    <w:name w:val="Footnote Text Char"/>
    <w:basedOn w:val="DefaultParagraphFont"/>
    <w:link w:val="FootnoteText"/>
    <w:rsid w:val="00E81BDE"/>
    <w:rPr>
      <w:sz w:val="20"/>
      <w:szCs w:val="20"/>
    </w:rPr>
  </w:style>
  <w:style w:type="character" w:styleId="FootnoteReference">
    <w:name w:val="footnote reference"/>
    <w:uiPriority w:val="99"/>
    <w:semiHidden/>
    <w:rsid w:val="00E81BDE"/>
    <w:rPr>
      <w:vertAlign w:val="superscript"/>
    </w:rPr>
  </w:style>
  <w:style w:type="character" w:customStyle="1" w:styleId="Heading1Char">
    <w:name w:val="Heading 1 Char"/>
    <w:basedOn w:val="DefaultParagraphFont"/>
    <w:link w:val="Heading1"/>
    <w:rsid w:val="00F27593"/>
    <w:rPr>
      <w:rFonts w:ascii="Times New Roman" w:eastAsia="Times New Roman" w:hAnsi="Times New Roman" w:cs="Times New Roman"/>
      <w:b/>
      <w:smallCaps/>
      <w:szCs w:val="20"/>
      <w:lang w:val="es-ES"/>
    </w:rPr>
  </w:style>
  <w:style w:type="character" w:customStyle="1" w:styleId="Heading2Char">
    <w:name w:val="Heading 2 Char"/>
    <w:basedOn w:val="DefaultParagraphFont"/>
    <w:link w:val="Heading2"/>
    <w:rsid w:val="00F27593"/>
    <w:rPr>
      <w:rFonts w:ascii="Times New Roman" w:eastAsia="Times New Roman" w:hAnsi="Times New Roman" w:cs="Times New Roman"/>
      <w:b/>
      <w:szCs w:val="20"/>
      <w:lang w:val="es-ES"/>
    </w:rPr>
  </w:style>
  <w:style w:type="character" w:customStyle="1" w:styleId="Heading3Char">
    <w:name w:val="Heading 3 Char"/>
    <w:basedOn w:val="DefaultParagraphFont"/>
    <w:link w:val="Heading3"/>
    <w:rsid w:val="00F27593"/>
    <w:rPr>
      <w:rFonts w:ascii="Times New Roman" w:eastAsia="Times New Roman" w:hAnsi="Times New Roman" w:cs="Times New Roman"/>
      <w:i/>
      <w:szCs w:val="20"/>
      <w:lang w:val="es-ES"/>
    </w:rPr>
  </w:style>
  <w:style w:type="character" w:customStyle="1" w:styleId="Heading4Char">
    <w:name w:val="Heading 4 Char"/>
    <w:basedOn w:val="DefaultParagraphFont"/>
    <w:link w:val="Heading4"/>
    <w:rsid w:val="00F27593"/>
    <w:rPr>
      <w:rFonts w:ascii="Times New Roman" w:eastAsia="Times New Roman" w:hAnsi="Times New Roman" w:cs="Times New Roman"/>
      <w:szCs w:val="20"/>
      <w:lang w:val="es-ES"/>
    </w:rPr>
  </w:style>
  <w:style w:type="numbering" w:customStyle="1" w:styleId="NoList1">
    <w:name w:val="No List1"/>
    <w:next w:val="NoList"/>
    <w:uiPriority w:val="99"/>
    <w:semiHidden/>
    <w:unhideWhenUsed/>
    <w:rsid w:val="00F27593"/>
  </w:style>
  <w:style w:type="paragraph" w:customStyle="1" w:styleId="Text1">
    <w:name w:val="Text 1"/>
    <w:basedOn w:val="Normal"/>
    <w:rsid w:val="00F27593"/>
    <w:pPr>
      <w:spacing w:after="240"/>
      <w:ind w:left="482"/>
      <w:jc w:val="both"/>
    </w:pPr>
    <w:rPr>
      <w:rFonts w:ascii="Times New Roman" w:eastAsia="Times New Roman" w:hAnsi="Times New Roman" w:cs="Times New Roman"/>
      <w:szCs w:val="20"/>
    </w:rPr>
  </w:style>
  <w:style w:type="paragraph" w:customStyle="1" w:styleId="ListBullet1">
    <w:name w:val="List Bullet 1"/>
    <w:basedOn w:val="Text1"/>
    <w:rsid w:val="00F27593"/>
    <w:pPr>
      <w:numPr>
        <w:numId w:val="2"/>
      </w:numPr>
    </w:pPr>
  </w:style>
  <w:style w:type="paragraph" w:customStyle="1" w:styleId="TableParagraph">
    <w:name w:val="Table Paragraph"/>
    <w:basedOn w:val="Normal"/>
    <w:uiPriority w:val="1"/>
    <w:qFormat/>
    <w:rsid w:val="00F27593"/>
    <w:pPr>
      <w:widowControl w:val="0"/>
    </w:pPr>
    <w:rPr>
      <w:rFonts w:eastAsia="Calibri"/>
      <w:sz w:val="22"/>
      <w:szCs w:val="22"/>
    </w:rPr>
  </w:style>
  <w:style w:type="paragraph" w:styleId="BodyText">
    <w:name w:val="Body Text"/>
    <w:basedOn w:val="Normal"/>
    <w:link w:val="BodyTextChar"/>
    <w:rsid w:val="00F27593"/>
    <w:pPr>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rsid w:val="00F27593"/>
    <w:rPr>
      <w:rFonts w:ascii="Times New Roman" w:eastAsia="Times New Roman" w:hAnsi="Times New Roman" w:cs="Times New Roman"/>
      <w:szCs w:val="20"/>
    </w:rPr>
  </w:style>
  <w:style w:type="character" w:customStyle="1" w:styleId="hps">
    <w:name w:val="hps"/>
    <w:basedOn w:val="DefaultParagraphFont"/>
    <w:rsid w:val="00F27593"/>
  </w:style>
  <w:style w:type="character" w:customStyle="1" w:styleId="alt-edited">
    <w:name w:val="alt-edited"/>
    <w:basedOn w:val="DefaultParagraphFont"/>
    <w:rsid w:val="00F27593"/>
  </w:style>
  <w:style w:type="table" w:customStyle="1" w:styleId="TableGrid2">
    <w:name w:val="Table Grid2"/>
    <w:basedOn w:val="TableNormal"/>
    <w:next w:val="TableGrid"/>
    <w:uiPriority w:val="59"/>
    <w:rsid w:val="00F27593"/>
    <w:rPr>
      <w:rFonts w:eastAsia="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ineNumber">
    <w:name w:val="line number"/>
    <w:basedOn w:val="DefaultParagraphFont"/>
    <w:uiPriority w:val="99"/>
    <w:semiHidden/>
    <w:unhideWhenUsed/>
    <w:rsid w:val="00F27593"/>
  </w:style>
  <w:style w:type="table" w:customStyle="1" w:styleId="TableGrid3">
    <w:name w:val="Table Grid3"/>
    <w:basedOn w:val="TableNormal"/>
    <w:next w:val="TableGrid"/>
    <w:uiPriority w:val="59"/>
    <w:rsid w:val="00133F46"/>
    <w:rPr>
      <w:rFonts w:eastAsia="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7F0C0A"/>
  </w:style>
  <w:style w:type="table" w:customStyle="1" w:styleId="TableGrid4">
    <w:name w:val="Table Grid4"/>
    <w:basedOn w:val="TableNormal"/>
    <w:next w:val="TableGrid"/>
    <w:uiPriority w:val="59"/>
    <w:rsid w:val="007F0C0A"/>
    <w:rPr>
      <w:rFonts w:eastAsia="Calibri"/>
      <w:sz w:val="22"/>
      <w:szCs w:val="22"/>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7F0C0A"/>
    <w:rPr>
      <w:rFonts w:eastAsia="Calibri"/>
      <w:sz w:val="22"/>
      <w:szCs w:val="22"/>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7F0C0A"/>
    <w:rPr>
      <w:rFonts w:eastAsia="Calibri"/>
      <w:sz w:val="22"/>
      <w:szCs w:val="22"/>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rsid w:val="007D35DB"/>
    <w:rPr>
      <w:rFonts w:ascii="Times New Roman" w:eastAsia="Times New Roman" w:hAnsi="Times New Roman" w:cs="Times New Roman"/>
      <w:szCs w:val="20"/>
    </w:rPr>
  </w:style>
  <w:style w:type="paragraph" w:styleId="Date">
    <w:name w:val="Date"/>
    <w:basedOn w:val="Normal"/>
    <w:next w:val="Normal"/>
    <w:link w:val="DateChar"/>
    <w:uiPriority w:val="99"/>
    <w:rsid w:val="007D35DB"/>
    <w:pPr>
      <w:ind w:left="5103" w:right="-567"/>
    </w:pPr>
    <w:rPr>
      <w:rFonts w:ascii="Times New Roman" w:eastAsia="Times New Roman" w:hAnsi="Times New Roman" w:cs="Times New Roman"/>
      <w:szCs w:val="20"/>
    </w:rPr>
  </w:style>
  <w:style w:type="character" w:customStyle="1" w:styleId="DateChar">
    <w:name w:val="Date Char"/>
    <w:basedOn w:val="DefaultParagraphFont"/>
    <w:link w:val="Date"/>
    <w:uiPriority w:val="99"/>
    <w:rsid w:val="007D35DB"/>
    <w:rPr>
      <w:rFonts w:ascii="Times New Roman" w:eastAsia="Times New Roman" w:hAnsi="Times New Roman" w:cs="Times New Roman"/>
      <w:szCs w:val="20"/>
      <w:lang w:val="es-ES"/>
    </w:rPr>
  </w:style>
  <w:style w:type="paragraph" w:customStyle="1" w:styleId="Subject">
    <w:name w:val="Subject"/>
    <w:basedOn w:val="Normal"/>
    <w:next w:val="Normal"/>
    <w:rsid w:val="007D35DB"/>
    <w:pPr>
      <w:spacing w:after="480"/>
      <w:ind w:left="1531" w:hanging="1531"/>
    </w:pPr>
    <w:rPr>
      <w:rFonts w:ascii="Times New Roman" w:eastAsia="Times New Roman" w:hAnsi="Times New Roman" w:cs="Times New Roman"/>
      <w:b/>
      <w:szCs w:val="20"/>
    </w:rPr>
  </w:style>
  <w:style w:type="paragraph" w:customStyle="1" w:styleId="ZCom">
    <w:name w:val="Z_Com"/>
    <w:basedOn w:val="Normal"/>
    <w:next w:val="ZDGName"/>
    <w:uiPriority w:val="99"/>
    <w:rsid w:val="007D35DB"/>
    <w:pPr>
      <w:widowControl w:val="0"/>
      <w:autoSpaceDE w:val="0"/>
      <w:autoSpaceDN w:val="0"/>
      <w:ind w:right="85"/>
      <w:jc w:val="both"/>
    </w:pPr>
    <w:rPr>
      <w:rFonts w:ascii="Arial" w:eastAsia="Times New Roman" w:hAnsi="Arial" w:cs="Arial"/>
      <w:lang w:eastAsia="en-GB"/>
    </w:rPr>
  </w:style>
  <w:style w:type="paragraph" w:customStyle="1" w:styleId="ZDGName">
    <w:name w:val="Z_DGName"/>
    <w:basedOn w:val="Normal"/>
    <w:uiPriority w:val="99"/>
    <w:rsid w:val="007D35DB"/>
    <w:pPr>
      <w:widowControl w:val="0"/>
      <w:autoSpaceDE w:val="0"/>
      <w:autoSpaceDN w:val="0"/>
      <w:ind w:right="85"/>
    </w:pPr>
    <w:rPr>
      <w:rFonts w:ascii="Arial" w:eastAsia="Times New Roman" w:hAnsi="Arial" w:cs="Arial"/>
      <w:sz w:val="16"/>
      <w:szCs w:val="16"/>
      <w:lang w:eastAsia="en-GB"/>
    </w:rPr>
  </w:style>
  <w:style w:type="paragraph" w:customStyle="1" w:styleId="Default">
    <w:name w:val="Default"/>
    <w:rsid w:val="000C49DB"/>
    <w:pPr>
      <w:autoSpaceDE w:val="0"/>
      <w:autoSpaceDN w:val="0"/>
      <w:adjustRightInd w:val="0"/>
    </w:pPr>
    <w:rPr>
      <w:rFonts w:ascii="Cambria" w:hAnsi="Cambria" w:cs="Cambria"/>
      <w:color w:val="000000"/>
    </w:rPr>
  </w:style>
  <w:style w:type="character" w:customStyle="1" w:styleId="Bodytext2">
    <w:name w:val="Body text (2)_"/>
    <w:basedOn w:val="DefaultParagraphFont"/>
    <w:link w:val="Bodytext20"/>
    <w:locked/>
    <w:rsid w:val="000C49DB"/>
    <w:rPr>
      <w:sz w:val="19"/>
      <w:szCs w:val="19"/>
      <w:shd w:val="clear" w:color="auto" w:fill="FFFFFF"/>
    </w:rPr>
  </w:style>
  <w:style w:type="paragraph" w:customStyle="1" w:styleId="Bodytext20">
    <w:name w:val="Body text (2)"/>
    <w:basedOn w:val="Normal"/>
    <w:link w:val="Bodytext2"/>
    <w:rsid w:val="000C49DB"/>
    <w:pPr>
      <w:widowControl w:val="0"/>
      <w:shd w:val="clear" w:color="auto" w:fill="FFFFFF"/>
      <w:spacing w:before="220" w:after="220" w:line="230" w:lineRule="exact"/>
      <w:ind w:hanging="460"/>
      <w:jc w:val="both"/>
    </w:pPr>
    <w:rPr>
      <w:sz w:val="19"/>
      <w:szCs w:val="19"/>
    </w:rPr>
  </w:style>
  <w:style w:type="character" w:customStyle="1" w:styleId="A7">
    <w:name w:val="A7"/>
    <w:uiPriority w:val="99"/>
    <w:rsid w:val="00642D74"/>
    <w:rPr>
      <w:rFonts w:cs="DIN"/>
      <w:color w:val="000000"/>
    </w:rPr>
  </w:style>
  <w:style w:type="character" w:customStyle="1" w:styleId="A5">
    <w:name w:val="A5"/>
    <w:uiPriority w:val="99"/>
    <w:rsid w:val="00E0284F"/>
    <w:rPr>
      <w:rFonts w:cs="DIN"/>
      <w:color w:val="000000"/>
      <w:sz w:val="20"/>
      <w:szCs w:val="20"/>
    </w:rPr>
  </w:style>
  <w:style w:type="paragraph" w:customStyle="1" w:styleId="Pa19">
    <w:name w:val="Pa19"/>
    <w:basedOn w:val="Default"/>
    <w:next w:val="Default"/>
    <w:uiPriority w:val="99"/>
    <w:rsid w:val="00E0284F"/>
    <w:pPr>
      <w:spacing w:line="181" w:lineRule="atLeast"/>
    </w:pPr>
    <w:rPr>
      <w:rFonts w:ascii="DIN" w:hAnsi="DIN" w:cstheme="minorBidi"/>
      <w:color w:val="auto"/>
    </w:rPr>
  </w:style>
  <w:style w:type="character" w:styleId="PlaceholderText">
    <w:name w:val="Placeholder Text"/>
    <w:basedOn w:val="DefaultParagraphFont"/>
    <w:uiPriority w:val="99"/>
    <w:semiHidden/>
    <w:rsid w:val="00ED0E66"/>
    <w:rPr>
      <w:color w:val="808080"/>
    </w:rPr>
  </w:style>
  <w:style w:type="paragraph" w:customStyle="1" w:styleId="gmail-m-5908448473476167748paragraph">
    <w:name w:val="gmail-m_-5908448473476167748paragraph"/>
    <w:basedOn w:val="Normal"/>
    <w:rsid w:val="00B542A8"/>
    <w:pPr>
      <w:spacing w:before="100" w:beforeAutospacing="1" w:after="100" w:afterAutospacing="1"/>
    </w:pPr>
    <w:rPr>
      <w:rFonts w:ascii="Times New Roman" w:eastAsia="Calibri" w:hAnsi="Times New Roman" w:cs="Times New Roman"/>
      <w:lang w:eastAsia="en-GB"/>
    </w:rPr>
  </w:style>
  <w:style w:type="character" w:customStyle="1" w:styleId="normaltextrun">
    <w:name w:val="normaltextrun"/>
    <w:basedOn w:val="DefaultParagraphFont"/>
    <w:rsid w:val="006D0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4306">
      <w:bodyDiv w:val="1"/>
      <w:marLeft w:val="0"/>
      <w:marRight w:val="0"/>
      <w:marTop w:val="0"/>
      <w:marBottom w:val="0"/>
      <w:divBdr>
        <w:top w:val="none" w:sz="0" w:space="0" w:color="auto"/>
        <w:left w:val="none" w:sz="0" w:space="0" w:color="auto"/>
        <w:bottom w:val="none" w:sz="0" w:space="0" w:color="auto"/>
        <w:right w:val="none" w:sz="0" w:space="0" w:color="auto"/>
      </w:divBdr>
    </w:div>
    <w:div w:id="65348350">
      <w:bodyDiv w:val="1"/>
      <w:marLeft w:val="0"/>
      <w:marRight w:val="0"/>
      <w:marTop w:val="0"/>
      <w:marBottom w:val="0"/>
      <w:divBdr>
        <w:top w:val="none" w:sz="0" w:space="0" w:color="auto"/>
        <w:left w:val="none" w:sz="0" w:space="0" w:color="auto"/>
        <w:bottom w:val="none" w:sz="0" w:space="0" w:color="auto"/>
        <w:right w:val="none" w:sz="0" w:space="0" w:color="auto"/>
      </w:divBdr>
    </w:div>
    <w:div w:id="135219123">
      <w:bodyDiv w:val="1"/>
      <w:marLeft w:val="0"/>
      <w:marRight w:val="0"/>
      <w:marTop w:val="0"/>
      <w:marBottom w:val="0"/>
      <w:divBdr>
        <w:top w:val="none" w:sz="0" w:space="0" w:color="auto"/>
        <w:left w:val="none" w:sz="0" w:space="0" w:color="auto"/>
        <w:bottom w:val="none" w:sz="0" w:space="0" w:color="auto"/>
        <w:right w:val="none" w:sz="0" w:space="0" w:color="auto"/>
      </w:divBdr>
    </w:div>
    <w:div w:id="509608000">
      <w:bodyDiv w:val="1"/>
      <w:marLeft w:val="0"/>
      <w:marRight w:val="0"/>
      <w:marTop w:val="0"/>
      <w:marBottom w:val="0"/>
      <w:divBdr>
        <w:top w:val="none" w:sz="0" w:space="0" w:color="auto"/>
        <w:left w:val="none" w:sz="0" w:space="0" w:color="auto"/>
        <w:bottom w:val="none" w:sz="0" w:space="0" w:color="auto"/>
        <w:right w:val="none" w:sz="0" w:space="0" w:color="auto"/>
      </w:divBdr>
    </w:div>
    <w:div w:id="636644913">
      <w:bodyDiv w:val="1"/>
      <w:marLeft w:val="0"/>
      <w:marRight w:val="0"/>
      <w:marTop w:val="0"/>
      <w:marBottom w:val="0"/>
      <w:divBdr>
        <w:top w:val="none" w:sz="0" w:space="0" w:color="auto"/>
        <w:left w:val="none" w:sz="0" w:space="0" w:color="auto"/>
        <w:bottom w:val="none" w:sz="0" w:space="0" w:color="auto"/>
        <w:right w:val="none" w:sz="0" w:space="0" w:color="auto"/>
      </w:divBdr>
    </w:div>
    <w:div w:id="664825202">
      <w:bodyDiv w:val="1"/>
      <w:marLeft w:val="0"/>
      <w:marRight w:val="0"/>
      <w:marTop w:val="0"/>
      <w:marBottom w:val="0"/>
      <w:divBdr>
        <w:top w:val="none" w:sz="0" w:space="0" w:color="auto"/>
        <w:left w:val="none" w:sz="0" w:space="0" w:color="auto"/>
        <w:bottom w:val="none" w:sz="0" w:space="0" w:color="auto"/>
        <w:right w:val="none" w:sz="0" w:space="0" w:color="auto"/>
      </w:divBdr>
    </w:div>
    <w:div w:id="750543738">
      <w:bodyDiv w:val="1"/>
      <w:marLeft w:val="0"/>
      <w:marRight w:val="0"/>
      <w:marTop w:val="0"/>
      <w:marBottom w:val="0"/>
      <w:divBdr>
        <w:top w:val="none" w:sz="0" w:space="0" w:color="auto"/>
        <w:left w:val="none" w:sz="0" w:space="0" w:color="auto"/>
        <w:bottom w:val="none" w:sz="0" w:space="0" w:color="auto"/>
        <w:right w:val="none" w:sz="0" w:space="0" w:color="auto"/>
      </w:divBdr>
    </w:div>
    <w:div w:id="798643542">
      <w:bodyDiv w:val="1"/>
      <w:marLeft w:val="0"/>
      <w:marRight w:val="0"/>
      <w:marTop w:val="0"/>
      <w:marBottom w:val="0"/>
      <w:divBdr>
        <w:top w:val="none" w:sz="0" w:space="0" w:color="auto"/>
        <w:left w:val="none" w:sz="0" w:space="0" w:color="auto"/>
        <w:bottom w:val="none" w:sz="0" w:space="0" w:color="auto"/>
        <w:right w:val="none" w:sz="0" w:space="0" w:color="auto"/>
      </w:divBdr>
      <w:divsChild>
        <w:div w:id="1183397616">
          <w:marLeft w:val="0"/>
          <w:marRight w:val="0"/>
          <w:marTop w:val="0"/>
          <w:marBottom w:val="0"/>
          <w:divBdr>
            <w:top w:val="none" w:sz="0" w:space="0" w:color="auto"/>
            <w:left w:val="none" w:sz="0" w:space="0" w:color="auto"/>
            <w:bottom w:val="none" w:sz="0" w:space="0" w:color="auto"/>
            <w:right w:val="none" w:sz="0" w:space="0" w:color="auto"/>
          </w:divBdr>
          <w:divsChild>
            <w:div w:id="3211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65403">
      <w:bodyDiv w:val="1"/>
      <w:marLeft w:val="0"/>
      <w:marRight w:val="0"/>
      <w:marTop w:val="0"/>
      <w:marBottom w:val="0"/>
      <w:divBdr>
        <w:top w:val="none" w:sz="0" w:space="0" w:color="auto"/>
        <w:left w:val="none" w:sz="0" w:space="0" w:color="auto"/>
        <w:bottom w:val="none" w:sz="0" w:space="0" w:color="auto"/>
        <w:right w:val="none" w:sz="0" w:space="0" w:color="auto"/>
      </w:divBdr>
    </w:div>
    <w:div w:id="951280783">
      <w:bodyDiv w:val="1"/>
      <w:marLeft w:val="0"/>
      <w:marRight w:val="0"/>
      <w:marTop w:val="0"/>
      <w:marBottom w:val="0"/>
      <w:divBdr>
        <w:top w:val="none" w:sz="0" w:space="0" w:color="auto"/>
        <w:left w:val="none" w:sz="0" w:space="0" w:color="auto"/>
        <w:bottom w:val="none" w:sz="0" w:space="0" w:color="auto"/>
        <w:right w:val="none" w:sz="0" w:space="0" w:color="auto"/>
      </w:divBdr>
    </w:div>
    <w:div w:id="1075973767">
      <w:bodyDiv w:val="1"/>
      <w:marLeft w:val="0"/>
      <w:marRight w:val="0"/>
      <w:marTop w:val="0"/>
      <w:marBottom w:val="0"/>
      <w:divBdr>
        <w:top w:val="none" w:sz="0" w:space="0" w:color="auto"/>
        <w:left w:val="none" w:sz="0" w:space="0" w:color="auto"/>
        <w:bottom w:val="none" w:sz="0" w:space="0" w:color="auto"/>
        <w:right w:val="none" w:sz="0" w:space="0" w:color="auto"/>
      </w:divBdr>
    </w:div>
    <w:div w:id="1096903798">
      <w:bodyDiv w:val="1"/>
      <w:marLeft w:val="0"/>
      <w:marRight w:val="0"/>
      <w:marTop w:val="0"/>
      <w:marBottom w:val="0"/>
      <w:divBdr>
        <w:top w:val="none" w:sz="0" w:space="0" w:color="auto"/>
        <w:left w:val="none" w:sz="0" w:space="0" w:color="auto"/>
        <w:bottom w:val="none" w:sz="0" w:space="0" w:color="auto"/>
        <w:right w:val="none" w:sz="0" w:space="0" w:color="auto"/>
      </w:divBdr>
    </w:div>
    <w:div w:id="1101678595">
      <w:bodyDiv w:val="1"/>
      <w:marLeft w:val="0"/>
      <w:marRight w:val="0"/>
      <w:marTop w:val="0"/>
      <w:marBottom w:val="0"/>
      <w:divBdr>
        <w:top w:val="none" w:sz="0" w:space="0" w:color="auto"/>
        <w:left w:val="none" w:sz="0" w:space="0" w:color="auto"/>
        <w:bottom w:val="none" w:sz="0" w:space="0" w:color="auto"/>
        <w:right w:val="none" w:sz="0" w:space="0" w:color="auto"/>
      </w:divBdr>
    </w:div>
    <w:div w:id="1173303500">
      <w:bodyDiv w:val="1"/>
      <w:marLeft w:val="0"/>
      <w:marRight w:val="0"/>
      <w:marTop w:val="0"/>
      <w:marBottom w:val="0"/>
      <w:divBdr>
        <w:top w:val="none" w:sz="0" w:space="0" w:color="auto"/>
        <w:left w:val="none" w:sz="0" w:space="0" w:color="auto"/>
        <w:bottom w:val="none" w:sz="0" w:space="0" w:color="auto"/>
        <w:right w:val="none" w:sz="0" w:space="0" w:color="auto"/>
      </w:divBdr>
    </w:div>
    <w:div w:id="1289971049">
      <w:bodyDiv w:val="1"/>
      <w:marLeft w:val="0"/>
      <w:marRight w:val="0"/>
      <w:marTop w:val="0"/>
      <w:marBottom w:val="0"/>
      <w:divBdr>
        <w:top w:val="none" w:sz="0" w:space="0" w:color="auto"/>
        <w:left w:val="none" w:sz="0" w:space="0" w:color="auto"/>
        <w:bottom w:val="none" w:sz="0" w:space="0" w:color="auto"/>
        <w:right w:val="none" w:sz="0" w:space="0" w:color="auto"/>
      </w:divBdr>
    </w:div>
    <w:div w:id="1371224946">
      <w:bodyDiv w:val="1"/>
      <w:marLeft w:val="0"/>
      <w:marRight w:val="0"/>
      <w:marTop w:val="0"/>
      <w:marBottom w:val="0"/>
      <w:divBdr>
        <w:top w:val="none" w:sz="0" w:space="0" w:color="auto"/>
        <w:left w:val="none" w:sz="0" w:space="0" w:color="auto"/>
        <w:bottom w:val="none" w:sz="0" w:space="0" w:color="auto"/>
        <w:right w:val="none" w:sz="0" w:space="0" w:color="auto"/>
      </w:divBdr>
    </w:div>
    <w:div w:id="1457944080">
      <w:bodyDiv w:val="1"/>
      <w:marLeft w:val="0"/>
      <w:marRight w:val="0"/>
      <w:marTop w:val="0"/>
      <w:marBottom w:val="0"/>
      <w:divBdr>
        <w:top w:val="none" w:sz="0" w:space="0" w:color="auto"/>
        <w:left w:val="none" w:sz="0" w:space="0" w:color="auto"/>
        <w:bottom w:val="none" w:sz="0" w:space="0" w:color="auto"/>
        <w:right w:val="none" w:sz="0" w:space="0" w:color="auto"/>
      </w:divBdr>
    </w:div>
    <w:div w:id="1524368514">
      <w:bodyDiv w:val="1"/>
      <w:marLeft w:val="0"/>
      <w:marRight w:val="0"/>
      <w:marTop w:val="0"/>
      <w:marBottom w:val="0"/>
      <w:divBdr>
        <w:top w:val="none" w:sz="0" w:space="0" w:color="auto"/>
        <w:left w:val="none" w:sz="0" w:space="0" w:color="auto"/>
        <w:bottom w:val="none" w:sz="0" w:space="0" w:color="auto"/>
        <w:right w:val="none" w:sz="0" w:space="0" w:color="auto"/>
      </w:divBdr>
    </w:div>
    <w:div w:id="1555581436">
      <w:bodyDiv w:val="1"/>
      <w:marLeft w:val="0"/>
      <w:marRight w:val="0"/>
      <w:marTop w:val="0"/>
      <w:marBottom w:val="0"/>
      <w:divBdr>
        <w:top w:val="none" w:sz="0" w:space="0" w:color="auto"/>
        <w:left w:val="none" w:sz="0" w:space="0" w:color="auto"/>
        <w:bottom w:val="none" w:sz="0" w:space="0" w:color="auto"/>
        <w:right w:val="none" w:sz="0" w:space="0" w:color="auto"/>
      </w:divBdr>
    </w:div>
    <w:div w:id="1837383175">
      <w:bodyDiv w:val="1"/>
      <w:marLeft w:val="0"/>
      <w:marRight w:val="0"/>
      <w:marTop w:val="0"/>
      <w:marBottom w:val="0"/>
      <w:divBdr>
        <w:top w:val="none" w:sz="0" w:space="0" w:color="auto"/>
        <w:left w:val="none" w:sz="0" w:space="0" w:color="auto"/>
        <w:bottom w:val="none" w:sz="0" w:space="0" w:color="auto"/>
        <w:right w:val="none" w:sz="0" w:space="0" w:color="auto"/>
      </w:divBdr>
    </w:div>
    <w:div w:id="19758642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82D24513-537E-48E3-8D4C-64B3A4CB0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5377</Words>
  <Characters>28019</Characters>
  <Application>Microsoft Office Word</Application>
  <DocSecurity>0</DocSecurity>
  <Lines>966</Lines>
  <Paragraphs>630</Paragraphs>
  <ScaleCrop>false</ScaleCrop>
  <HeadingPairs>
    <vt:vector size="6" baseType="variant">
      <vt:variant>
        <vt:lpstr>Title</vt:lpstr>
      </vt:variant>
      <vt:variant>
        <vt:i4>1</vt:i4>
      </vt:variant>
      <vt:variant>
        <vt:lpstr>タイトル</vt:lpstr>
      </vt:variant>
      <vt:variant>
        <vt:i4>1</vt:i4>
      </vt:variant>
      <vt:variant>
        <vt:lpstr>Título</vt:lpstr>
      </vt:variant>
      <vt:variant>
        <vt:i4>1</vt:i4>
      </vt:variant>
    </vt:vector>
  </HeadingPairs>
  <TitlesOfParts>
    <vt:vector size="3" baseType="lpstr">
      <vt:lpstr/>
      <vt:lpstr/>
      <vt:lpstr/>
    </vt:vector>
  </TitlesOfParts>
  <LinksUpToDate>false</LinksUpToDate>
  <CharactersWithSpaces>32766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2021-12-02T10:10:00Z</dcterms:created>
  <dcterms:modified xsi:type="dcterms:W3CDTF">2024-01-09T11:30:00Z</dcterms:modified>
</cp:coreProperties>
</file>