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C23F" w14:textId="503D5CE5" w:rsidR="00B87F82" w:rsidRPr="005B5241" w:rsidRDefault="00B87F82" w:rsidP="00C53562">
      <w:pPr>
        <w:widowControl w:val="0"/>
        <w:pBdr>
          <w:top w:val="double" w:sz="4" w:space="1" w:color="auto"/>
          <w:left w:val="double" w:sz="4" w:space="4" w:color="auto"/>
          <w:bottom w:val="double" w:sz="4" w:space="1" w:color="auto"/>
          <w:right w:val="double" w:sz="4" w:space="4" w:color="auto"/>
        </w:pBdr>
        <w:autoSpaceDE w:val="0"/>
        <w:autoSpaceDN w:val="0"/>
        <w:adjustRightInd w:val="0"/>
        <w:jc w:val="both"/>
        <w:rPr>
          <w:b/>
          <w:sz w:val="20"/>
          <w:szCs w:val="20"/>
        </w:rPr>
      </w:pPr>
      <w:bookmarkStart w:id="0" w:name="_Hlk75252786"/>
      <w:r w:rsidRPr="005B5241">
        <w:rPr>
          <w:b/>
          <w:sz w:val="20"/>
          <w:szCs w:val="20"/>
        </w:rPr>
        <w:t>21-09</w:t>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Pr="005B5241">
        <w:rPr>
          <w:b/>
          <w:sz w:val="20"/>
          <w:szCs w:val="20"/>
        </w:rPr>
        <w:tab/>
      </w:r>
      <w:r w:rsidR="005F3C22">
        <w:rPr>
          <w:b/>
          <w:bCs/>
          <w:sz w:val="20"/>
          <w:szCs w:val="20"/>
        </w:rPr>
        <w:t>SHK</w:t>
      </w:r>
    </w:p>
    <w:p w14:paraId="514613CC" w14:textId="77777777" w:rsidR="00B87F82" w:rsidRPr="005B5241" w:rsidRDefault="00B87F82" w:rsidP="00C53562">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b/>
          <w:sz w:val="20"/>
          <w:szCs w:val="20"/>
        </w:rPr>
      </w:pPr>
    </w:p>
    <w:p w14:paraId="567020C7" w14:textId="25ACB77C" w:rsidR="00B87F82" w:rsidRPr="005B5241" w:rsidRDefault="006D2DE3" w:rsidP="00C53562">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b/>
          <w:sz w:val="20"/>
          <w:szCs w:val="20"/>
        </w:rPr>
      </w:pPr>
      <w:r w:rsidRPr="005B5241">
        <w:rPr>
          <w:b/>
          <w:sz w:val="20"/>
          <w:szCs w:val="20"/>
        </w:rPr>
        <w:t>RECOMMANDATION DE L’ICCAT SUR LA CONSERVATION DU STOCK DE REQUIN-TAUPE BLEU DE L'ATLANTIQUE NORD CAPTURÉ EN ASSOCIATION AVEC LES PÊCHERIES DE L’ICCAT</w:t>
      </w:r>
    </w:p>
    <w:p w14:paraId="6E07DE45" w14:textId="77777777" w:rsidR="002128D1" w:rsidRPr="005B5241" w:rsidRDefault="002128D1" w:rsidP="00C53562">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rFonts w:eastAsia="MS Mincho" w:cs="Times New Roman"/>
          <w:b/>
          <w:bCs/>
          <w:sz w:val="20"/>
          <w:szCs w:val="20"/>
        </w:rPr>
      </w:pPr>
    </w:p>
    <w:bookmarkEnd w:id="0"/>
    <w:p w14:paraId="27CE0D86" w14:textId="7DC6B281" w:rsidR="00235917" w:rsidRPr="005B5241" w:rsidRDefault="00235917" w:rsidP="00C53562">
      <w:pPr>
        <w:rPr>
          <w:b/>
          <w:sz w:val="20"/>
          <w:szCs w:val="20"/>
        </w:rPr>
      </w:pPr>
    </w:p>
    <w:p w14:paraId="226D9808" w14:textId="77777777" w:rsidR="003158BD" w:rsidRPr="005B5241" w:rsidRDefault="003158BD" w:rsidP="00C53562">
      <w:pPr>
        <w:widowControl w:val="0"/>
        <w:autoSpaceDE w:val="0"/>
        <w:autoSpaceDN w:val="0"/>
        <w:adjustRightInd w:val="0"/>
        <w:jc w:val="center"/>
        <w:rPr>
          <w:rFonts w:eastAsia="MS Mincho" w:cs="Times New Roman"/>
          <w:b/>
          <w:bCs/>
          <w:i/>
          <w:sz w:val="20"/>
          <w:szCs w:val="20"/>
          <w:lang w:eastAsia="ja-JP"/>
        </w:rPr>
      </w:pPr>
    </w:p>
    <w:p w14:paraId="5BD4E1A3" w14:textId="12D28948" w:rsidR="00D33117" w:rsidRPr="005B5241" w:rsidRDefault="00D33117" w:rsidP="007B2021">
      <w:pPr>
        <w:ind w:firstLine="426"/>
        <w:jc w:val="both"/>
        <w:rPr>
          <w:rFonts w:eastAsia="Cambria" w:cs="Cambria"/>
          <w:sz w:val="20"/>
          <w:szCs w:val="20"/>
        </w:rPr>
      </w:pPr>
      <w:r w:rsidRPr="005B5241">
        <w:rPr>
          <w:i/>
          <w:iCs/>
          <w:sz w:val="20"/>
          <w:szCs w:val="20"/>
        </w:rPr>
        <w:t>RECONNAISSANT</w:t>
      </w:r>
      <w:r w:rsidRPr="005B5241">
        <w:rPr>
          <w:sz w:val="20"/>
          <w:szCs w:val="20"/>
        </w:rPr>
        <w:t xml:space="preserve"> que les requins-taupes bleus </w:t>
      </w:r>
      <w:r w:rsidR="00B40105" w:rsidRPr="005B5241">
        <w:rPr>
          <w:sz w:val="20"/>
          <w:szCs w:val="20"/>
        </w:rPr>
        <w:t xml:space="preserve">de l’Atlantique Nord </w:t>
      </w:r>
      <w:proofErr w:type="gramStart"/>
      <w:r w:rsidRPr="005B5241">
        <w:rPr>
          <w:sz w:val="20"/>
          <w:szCs w:val="20"/>
        </w:rPr>
        <w:t>sont</w:t>
      </w:r>
      <w:proofErr w:type="gramEnd"/>
      <w:r w:rsidRPr="005B5241">
        <w:rPr>
          <w:sz w:val="20"/>
          <w:szCs w:val="20"/>
        </w:rPr>
        <w:t xml:space="preserve"> principalement capturés en association avec les pêcheries de l’ICCAT et que la Commission a adopté des mesures de gestion s'appliquant aux espèces de requins considérées vulnérables à la surpêche dans les pêcheries de l'ICCAT ;</w:t>
      </w:r>
    </w:p>
    <w:p w14:paraId="10E12001" w14:textId="77777777" w:rsidR="00D33117" w:rsidRPr="005B5241" w:rsidRDefault="00D33117" w:rsidP="007B2021">
      <w:pPr>
        <w:ind w:firstLine="426"/>
        <w:jc w:val="both"/>
        <w:rPr>
          <w:rFonts w:eastAsia="Cambria" w:cs="Cambria"/>
          <w:i/>
          <w:sz w:val="20"/>
          <w:szCs w:val="20"/>
        </w:rPr>
      </w:pPr>
    </w:p>
    <w:p w14:paraId="27958E85" w14:textId="6DD90BBE" w:rsidR="00722AEF" w:rsidRPr="005B5241" w:rsidRDefault="00722AEF" w:rsidP="007B2021">
      <w:pPr>
        <w:ind w:firstLine="426"/>
        <w:jc w:val="both"/>
        <w:rPr>
          <w:rFonts w:eastAsia="Cambria" w:cs="Cambria"/>
          <w:iCs/>
          <w:sz w:val="20"/>
          <w:szCs w:val="20"/>
        </w:rPr>
      </w:pPr>
      <w:r w:rsidRPr="005B5241">
        <w:rPr>
          <w:i/>
          <w:sz w:val="20"/>
          <w:szCs w:val="20"/>
        </w:rPr>
        <w:t xml:space="preserve">NOTANT </w:t>
      </w:r>
      <w:r w:rsidRPr="005B5241">
        <w:rPr>
          <w:sz w:val="20"/>
          <w:szCs w:val="20"/>
        </w:rPr>
        <w:t>que les évaluations du SCRS de 2017 et 2019 ont conclu à une probabilité de 90% que le stock de requin-taupe bleu de l'Atlantique Nord soit surexploité et subisse une surpêche</w:t>
      </w:r>
      <w:r w:rsidR="00B40105" w:rsidRPr="005B5241">
        <w:rPr>
          <w:sz w:val="20"/>
          <w:szCs w:val="20"/>
        </w:rPr>
        <w:t> ;</w:t>
      </w:r>
      <w:r w:rsidRPr="005B5241">
        <w:rPr>
          <w:sz w:val="20"/>
          <w:szCs w:val="20"/>
        </w:rPr>
        <w:t xml:space="preserve"> </w:t>
      </w:r>
    </w:p>
    <w:p w14:paraId="2F895B16" w14:textId="77777777" w:rsidR="00D33117" w:rsidRPr="005B5241" w:rsidRDefault="00D33117" w:rsidP="007B2021">
      <w:pPr>
        <w:ind w:firstLine="426"/>
        <w:jc w:val="both"/>
        <w:rPr>
          <w:rFonts w:eastAsia="Cambria" w:cs="Cambria"/>
          <w:sz w:val="20"/>
          <w:szCs w:val="20"/>
        </w:rPr>
      </w:pPr>
    </w:p>
    <w:p w14:paraId="43781B81" w14:textId="4842EC0D" w:rsidR="00D33117" w:rsidRPr="005B5241" w:rsidRDefault="00D33117" w:rsidP="007B2021">
      <w:pPr>
        <w:widowControl w:val="0"/>
        <w:tabs>
          <w:tab w:val="left" w:pos="426"/>
        </w:tabs>
        <w:autoSpaceDE w:val="0"/>
        <w:autoSpaceDN w:val="0"/>
        <w:adjustRightInd w:val="0"/>
        <w:ind w:firstLine="426"/>
        <w:jc w:val="both"/>
        <w:rPr>
          <w:rFonts w:eastAsia="MS Mincho" w:cs="Times New Roman"/>
          <w:bCs/>
          <w:sz w:val="20"/>
          <w:szCs w:val="20"/>
        </w:rPr>
      </w:pPr>
      <w:r w:rsidRPr="005B5241">
        <w:rPr>
          <w:i/>
          <w:iCs/>
          <w:sz w:val="20"/>
          <w:szCs w:val="20"/>
        </w:rPr>
        <w:t>RAPPELANT</w:t>
      </w:r>
      <w:r w:rsidRPr="005B5241">
        <w:rPr>
          <w:sz w:val="20"/>
          <w:szCs w:val="20"/>
        </w:rPr>
        <w:t xml:space="preserve"> que, conformément à sa Convention, l'objectif déclaré de l’ICCAT consiste à maintenir les stocks à des niveaux qui permett</w:t>
      </w:r>
      <w:r w:rsidR="00F32048" w:rsidRPr="005B5241">
        <w:rPr>
          <w:sz w:val="20"/>
          <w:szCs w:val="20"/>
        </w:rPr>
        <w:t>ro</w:t>
      </w:r>
      <w:r w:rsidRPr="005B5241">
        <w:rPr>
          <w:sz w:val="20"/>
          <w:szCs w:val="20"/>
        </w:rPr>
        <w:t>nt la prise maximale équilibrée</w:t>
      </w:r>
      <w:r w:rsidR="00B40105" w:rsidRPr="005B5241">
        <w:rPr>
          <w:sz w:val="20"/>
          <w:szCs w:val="20"/>
        </w:rPr>
        <w:t> ;</w:t>
      </w:r>
    </w:p>
    <w:p w14:paraId="71C40CC3" w14:textId="77777777" w:rsidR="00722AEF" w:rsidRPr="005B5241" w:rsidRDefault="00722AEF" w:rsidP="007B2021">
      <w:pPr>
        <w:widowControl w:val="0"/>
        <w:tabs>
          <w:tab w:val="left" w:pos="426"/>
        </w:tabs>
        <w:autoSpaceDE w:val="0"/>
        <w:autoSpaceDN w:val="0"/>
        <w:adjustRightInd w:val="0"/>
        <w:ind w:firstLine="426"/>
        <w:jc w:val="both"/>
        <w:rPr>
          <w:rFonts w:eastAsia="MS Mincho" w:cs="Times New Roman"/>
          <w:bCs/>
          <w:sz w:val="20"/>
          <w:szCs w:val="20"/>
          <w:lang w:eastAsia="ja-JP"/>
        </w:rPr>
      </w:pPr>
    </w:p>
    <w:p w14:paraId="092A7A12" w14:textId="45C41E92" w:rsidR="00D33117" w:rsidRPr="005B5241" w:rsidRDefault="00D33117" w:rsidP="007B2021">
      <w:pPr>
        <w:ind w:firstLine="426"/>
        <w:jc w:val="both"/>
        <w:rPr>
          <w:rFonts w:eastAsia="Cambria" w:cs="Cambria"/>
          <w:iCs/>
          <w:sz w:val="20"/>
          <w:szCs w:val="20"/>
        </w:rPr>
      </w:pPr>
      <w:r w:rsidRPr="005B5241">
        <w:rPr>
          <w:i/>
          <w:sz w:val="20"/>
          <w:szCs w:val="20"/>
        </w:rPr>
        <w:t>RAPPELANT</w:t>
      </w:r>
      <w:r w:rsidRPr="005B5241">
        <w:rPr>
          <w:sz w:val="20"/>
          <w:szCs w:val="20"/>
        </w:rPr>
        <w:t xml:space="preserve"> les mesures adoptées par la Commission pour améliorer la situation du requin-taupe bleu</w:t>
      </w:r>
      <w:r w:rsidR="00B40105" w:rsidRPr="005B5241">
        <w:rPr>
          <w:sz w:val="20"/>
          <w:szCs w:val="20"/>
        </w:rPr>
        <w:t xml:space="preserve"> de l’Atlantique Nord</w:t>
      </w:r>
      <w:r w:rsidRPr="005B5241">
        <w:rPr>
          <w:sz w:val="20"/>
          <w:szCs w:val="20"/>
        </w:rPr>
        <w:t xml:space="preserve">, y compris la </w:t>
      </w:r>
      <w:r w:rsidRPr="005B5241">
        <w:rPr>
          <w:i/>
          <w:iCs/>
          <w:sz w:val="20"/>
          <w:szCs w:val="20"/>
        </w:rPr>
        <w:t>Recommandation de l'ICCAT sur la conservation du stock de requin-taupe bleu de l'Atlantique Nord capturé en association avec les pêcheries de l'ICCAT</w:t>
      </w:r>
      <w:r w:rsidRPr="005B5241">
        <w:rPr>
          <w:i/>
          <w:sz w:val="20"/>
          <w:szCs w:val="20"/>
        </w:rPr>
        <w:t xml:space="preserve"> </w:t>
      </w:r>
      <w:r w:rsidRPr="005B5241">
        <w:rPr>
          <w:sz w:val="20"/>
          <w:szCs w:val="20"/>
        </w:rPr>
        <w:t>(Rec</w:t>
      </w:r>
      <w:r w:rsidR="00594EB7" w:rsidRPr="005B5241">
        <w:rPr>
          <w:sz w:val="20"/>
          <w:szCs w:val="20"/>
        </w:rPr>
        <w:t>ommandations</w:t>
      </w:r>
      <w:r w:rsidRPr="005B5241">
        <w:rPr>
          <w:sz w:val="20"/>
          <w:szCs w:val="20"/>
        </w:rPr>
        <w:t xml:space="preserve"> 17-08 et 19-06), qui mettait en œuvre des mesures visant à mettre un terme à la surpêche du stock de requin-taupe bleu de l’Atlantique Nord avec une forte probabilité, en tant que première mesure du développement d’un programme de rétablissement ;</w:t>
      </w:r>
    </w:p>
    <w:p w14:paraId="3D99C74D" w14:textId="77777777" w:rsidR="00D33117" w:rsidRPr="005B5241" w:rsidRDefault="00D33117" w:rsidP="007B2021">
      <w:pPr>
        <w:ind w:firstLine="426"/>
        <w:jc w:val="both"/>
        <w:rPr>
          <w:sz w:val="20"/>
          <w:szCs w:val="20"/>
        </w:rPr>
      </w:pPr>
    </w:p>
    <w:p w14:paraId="4F7FA8BE" w14:textId="04CDAEFA" w:rsidR="00D33117" w:rsidRPr="005B5241" w:rsidRDefault="00D33117" w:rsidP="007B2021">
      <w:pPr>
        <w:ind w:firstLine="426"/>
        <w:jc w:val="both"/>
        <w:rPr>
          <w:rFonts w:eastAsia="Cambria" w:cs="Cambria"/>
          <w:sz w:val="20"/>
          <w:szCs w:val="20"/>
        </w:rPr>
      </w:pPr>
      <w:r w:rsidRPr="005B5241">
        <w:rPr>
          <w:i/>
          <w:iCs/>
          <w:sz w:val="20"/>
          <w:szCs w:val="20"/>
        </w:rPr>
        <w:t>COMPTE TENU DU FAIT</w:t>
      </w:r>
      <w:r w:rsidRPr="005B5241">
        <w:rPr>
          <w:sz w:val="20"/>
          <w:szCs w:val="20"/>
        </w:rPr>
        <w:t xml:space="preserve"> que la </w:t>
      </w:r>
      <w:r w:rsidRPr="005B5241">
        <w:rPr>
          <w:i/>
          <w:iCs/>
          <w:sz w:val="20"/>
          <w:szCs w:val="20"/>
        </w:rPr>
        <w:t>Recommandation de l'ICCAT sur les principes de la prise de décisions sur des mesures de conservation et de gestion de l’ICCAT</w:t>
      </w:r>
      <w:r w:rsidRPr="005B5241">
        <w:rPr>
          <w:sz w:val="20"/>
          <w:szCs w:val="20"/>
        </w:rPr>
        <w:t xml:space="preserve"> (Rec. 11-13) demande à la Commission d'adopter immédiatement des mesures de gestion conçues pour entraîner une probabilité élevée de mettre fin à la surpêche dans un délai aussi court que possible et d'adopter un plan pour rétablir le stock en tenant compte, </w:t>
      </w:r>
      <w:r w:rsidR="00F32048" w:rsidRPr="005B5241">
        <w:rPr>
          <w:sz w:val="20"/>
          <w:szCs w:val="20"/>
        </w:rPr>
        <w:t>entre autres</w:t>
      </w:r>
      <w:r w:rsidRPr="005B5241">
        <w:rPr>
          <w:sz w:val="20"/>
          <w:szCs w:val="20"/>
        </w:rPr>
        <w:t>, de sa biologie et de l'avis du SCRS ;</w:t>
      </w:r>
    </w:p>
    <w:p w14:paraId="6F795DB5" w14:textId="77777777" w:rsidR="00C30C22" w:rsidRPr="005B5241" w:rsidRDefault="00C30C22" w:rsidP="007B2021">
      <w:pPr>
        <w:kinsoku w:val="0"/>
        <w:overflowPunct w:val="0"/>
        <w:autoSpaceDE w:val="0"/>
        <w:autoSpaceDN w:val="0"/>
        <w:adjustRightInd w:val="0"/>
        <w:ind w:left="40" w:right="115" w:firstLine="426"/>
        <w:rPr>
          <w:rFonts w:cs="Cambria"/>
          <w:sz w:val="20"/>
          <w:szCs w:val="20"/>
        </w:rPr>
      </w:pPr>
    </w:p>
    <w:p w14:paraId="4B02A673" w14:textId="77777777" w:rsidR="008428AC" w:rsidRPr="005B5241" w:rsidRDefault="008428AC" w:rsidP="007B2021">
      <w:pPr>
        <w:ind w:firstLine="426"/>
        <w:jc w:val="both"/>
        <w:rPr>
          <w:rFonts w:ascii="Cambria" w:eastAsia="Cambria" w:hAnsi="Cambria" w:cs="Cambria"/>
          <w:sz w:val="20"/>
          <w:szCs w:val="20"/>
        </w:rPr>
      </w:pPr>
      <w:r w:rsidRPr="005B5241">
        <w:rPr>
          <w:rFonts w:ascii="Cambria" w:hAnsi="Cambria"/>
          <w:i/>
          <w:sz w:val="20"/>
        </w:rPr>
        <w:t xml:space="preserve">RAPPELANT </w:t>
      </w:r>
      <w:r w:rsidRPr="005B5241">
        <w:rPr>
          <w:rFonts w:ascii="Cambria" w:hAnsi="Cambria"/>
          <w:sz w:val="20"/>
        </w:rPr>
        <w:t>les évaluations des risques écologiques réalisées par le SCRS en 2008 et 2012, qui indiquent que le requin-taupe bleu occupe la troisième place dans le tableau de vulnérabilité ;</w:t>
      </w:r>
    </w:p>
    <w:p w14:paraId="339C4169" w14:textId="77777777" w:rsidR="00B40105" w:rsidRPr="005B5241" w:rsidRDefault="00B40105" w:rsidP="007B2021">
      <w:pPr>
        <w:ind w:firstLine="426"/>
        <w:jc w:val="both"/>
        <w:rPr>
          <w:rFonts w:eastAsia="Cambria" w:cs="Cambria"/>
          <w:b/>
          <w:sz w:val="20"/>
          <w:szCs w:val="20"/>
        </w:rPr>
      </w:pPr>
    </w:p>
    <w:p w14:paraId="100391A0" w14:textId="71662E1F" w:rsidR="005C6F82" w:rsidRPr="005B5241" w:rsidRDefault="005C6F82" w:rsidP="007B2021">
      <w:pPr>
        <w:ind w:firstLine="426"/>
        <w:jc w:val="both"/>
        <w:rPr>
          <w:rFonts w:eastAsia="Cambria" w:cs="Cambria"/>
          <w:bCs/>
          <w:sz w:val="20"/>
          <w:szCs w:val="20"/>
        </w:rPr>
      </w:pPr>
      <w:r w:rsidRPr="005B5241">
        <w:rPr>
          <w:bCs/>
          <w:i/>
          <w:sz w:val="20"/>
          <w:szCs w:val="20"/>
        </w:rPr>
        <w:t>NOTANT EN OUTRE</w:t>
      </w:r>
      <w:r w:rsidRPr="005B5241">
        <w:rPr>
          <w:bCs/>
          <w:sz w:val="20"/>
          <w:szCs w:val="20"/>
        </w:rPr>
        <w:t xml:space="preserve"> que les projections actualisées réalisées par le SCRS en 2019 exposent plusieurs scénarios, dont celui où un certain degré de </w:t>
      </w:r>
      <w:r w:rsidR="00A11D56" w:rsidRPr="005B5241">
        <w:rPr>
          <w:bCs/>
          <w:sz w:val="20"/>
          <w:szCs w:val="20"/>
        </w:rPr>
        <w:t>mortalité</w:t>
      </w:r>
      <w:r w:rsidRPr="005B5241">
        <w:rPr>
          <w:bCs/>
          <w:sz w:val="20"/>
          <w:szCs w:val="20"/>
        </w:rPr>
        <w:t xml:space="preserve"> permettrait encore de rétablir le stock d'ici 2070 avec une probabilité se situant dans </w:t>
      </w:r>
      <w:r w:rsidR="00B40105" w:rsidRPr="005B5241">
        <w:rPr>
          <w:bCs/>
          <w:sz w:val="20"/>
          <w:szCs w:val="20"/>
        </w:rPr>
        <w:t>une</w:t>
      </w:r>
      <w:r w:rsidRPr="005B5241">
        <w:rPr>
          <w:bCs/>
          <w:sz w:val="20"/>
          <w:szCs w:val="20"/>
        </w:rPr>
        <w:t xml:space="preserve"> fourchette </w:t>
      </w:r>
      <w:r w:rsidR="00B40105" w:rsidRPr="005B5241">
        <w:rPr>
          <w:bCs/>
          <w:sz w:val="20"/>
          <w:szCs w:val="20"/>
        </w:rPr>
        <w:t>appropriée pour les élasmobranches</w:t>
      </w:r>
      <w:r w:rsidRPr="005B5241">
        <w:rPr>
          <w:bCs/>
          <w:sz w:val="20"/>
          <w:szCs w:val="20"/>
        </w:rPr>
        <w:t xml:space="preserve"> ; </w:t>
      </w:r>
    </w:p>
    <w:p w14:paraId="73F6604B" w14:textId="77777777" w:rsidR="005C6F82" w:rsidRPr="005B5241" w:rsidRDefault="005C6F82" w:rsidP="007B2021">
      <w:pPr>
        <w:ind w:firstLine="426"/>
        <w:jc w:val="both"/>
        <w:rPr>
          <w:rFonts w:eastAsia="Cambria" w:cs="Cambria"/>
          <w:bCs/>
          <w:sz w:val="20"/>
          <w:szCs w:val="20"/>
        </w:rPr>
      </w:pPr>
    </w:p>
    <w:p w14:paraId="4DD90DCA" w14:textId="536C150B" w:rsidR="005C6F82" w:rsidRPr="005B5241" w:rsidRDefault="005C6F82" w:rsidP="007B2021">
      <w:pPr>
        <w:ind w:firstLine="426"/>
        <w:jc w:val="both"/>
        <w:rPr>
          <w:rFonts w:eastAsia="Cambria" w:cs="Cambria"/>
          <w:bCs/>
          <w:sz w:val="20"/>
          <w:szCs w:val="20"/>
        </w:rPr>
      </w:pPr>
      <w:r w:rsidRPr="005B5241">
        <w:rPr>
          <w:bCs/>
          <w:i/>
          <w:iCs/>
          <w:sz w:val="20"/>
          <w:szCs w:val="20"/>
        </w:rPr>
        <w:t xml:space="preserve">RAPPELANT EN OUTRE </w:t>
      </w:r>
      <w:r w:rsidRPr="005B5241">
        <w:rPr>
          <w:bCs/>
          <w:sz w:val="20"/>
          <w:szCs w:val="20"/>
        </w:rPr>
        <w:t xml:space="preserve">que, </w:t>
      </w:r>
      <w:r w:rsidR="00564441" w:rsidRPr="005B5241">
        <w:rPr>
          <w:bCs/>
          <w:sz w:val="20"/>
          <w:szCs w:val="20"/>
        </w:rPr>
        <w:t xml:space="preserve">conformément à l’avis du SCRS, </w:t>
      </w:r>
      <w:r w:rsidRPr="005B5241">
        <w:rPr>
          <w:bCs/>
          <w:sz w:val="20"/>
          <w:szCs w:val="20"/>
        </w:rPr>
        <w:t>quel que soit le TAC</w:t>
      </w:r>
      <w:r w:rsidR="00564441" w:rsidRPr="005B5241">
        <w:rPr>
          <w:bCs/>
          <w:sz w:val="20"/>
          <w:szCs w:val="20"/>
        </w:rPr>
        <w:t xml:space="preserve"> (y compris un TAC de 0</w:t>
      </w:r>
      <w:r w:rsidR="007B2021">
        <w:rPr>
          <w:bCs/>
          <w:sz w:val="20"/>
          <w:szCs w:val="20"/>
        </w:rPr>
        <w:t> </w:t>
      </w:r>
      <w:r w:rsidR="00564441" w:rsidRPr="005B5241">
        <w:rPr>
          <w:bCs/>
          <w:sz w:val="20"/>
          <w:szCs w:val="20"/>
        </w:rPr>
        <w:t>t)</w:t>
      </w:r>
      <w:r w:rsidRPr="005B5241">
        <w:rPr>
          <w:bCs/>
          <w:sz w:val="20"/>
          <w:szCs w:val="20"/>
        </w:rPr>
        <w:t>, la biomasse du stock reproducteur continuera à diminuer jusqu'en 2035 avant de pouvoir augmenter, en raison du temps qu’il faut aux juvéniles pour atteindre la maturité ; et que même un TAC nul ne permettra au stock de se rétablir et sans surpêche (dans le quadrant vert du diagramme de Kobe) que d’ici 2045 et que, par conséquent, en raison de la biologie du stock, la période de rétablissement sera en tout état de cause longue ;</w:t>
      </w:r>
    </w:p>
    <w:p w14:paraId="1AF2D1A1" w14:textId="58C006CA" w:rsidR="005C6F82" w:rsidRPr="005B5241" w:rsidRDefault="005C6F82" w:rsidP="007B2021">
      <w:pPr>
        <w:ind w:firstLine="426"/>
        <w:jc w:val="both"/>
        <w:rPr>
          <w:sz w:val="20"/>
          <w:szCs w:val="20"/>
        </w:rPr>
      </w:pPr>
    </w:p>
    <w:p w14:paraId="15824557" w14:textId="77777777" w:rsidR="008428AC" w:rsidRPr="005B5241" w:rsidRDefault="008428AC" w:rsidP="007B2021">
      <w:pPr>
        <w:ind w:firstLine="426"/>
        <w:jc w:val="both"/>
        <w:rPr>
          <w:rFonts w:ascii="Cambria" w:hAnsi="Cambria"/>
          <w:sz w:val="20"/>
          <w:szCs w:val="20"/>
        </w:rPr>
      </w:pPr>
      <w:r w:rsidRPr="005B5241">
        <w:rPr>
          <w:rFonts w:ascii="Cambria" w:hAnsi="Cambria"/>
          <w:i/>
          <w:iCs/>
          <w:sz w:val="20"/>
        </w:rPr>
        <w:t>CONSCIENTE</w:t>
      </w:r>
      <w:r w:rsidRPr="005B5241">
        <w:rPr>
          <w:rFonts w:ascii="Cambria" w:hAnsi="Cambria"/>
          <w:sz w:val="20"/>
        </w:rPr>
        <w:t xml:space="preserve"> du fait que le SCRS a souligné que la déclaration de toutes les sources de mortalité était un élément essentiel pour réduire l'incertitude des résultats de l'évaluation des stocks, et en particulier la déclaration des rejets morts estimés pour toutes les pêcheries ; </w:t>
      </w:r>
    </w:p>
    <w:p w14:paraId="42F537F9" w14:textId="77777777" w:rsidR="00B40105" w:rsidRPr="005B5241" w:rsidRDefault="00B40105" w:rsidP="007B2021">
      <w:pPr>
        <w:ind w:firstLine="426"/>
        <w:jc w:val="both"/>
        <w:rPr>
          <w:rFonts w:eastAsia="Cambria" w:cs="Cambria"/>
          <w:sz w:val="20"/>
          <w:szCs w:val="20"/>
        </w:rPr>
      </w:pPr>
    </w:p>
    <w:p w14:paraId="56976AF2" w14:textId="00E2D0A0" w:rsidR="00722AEF" w:rsidRPr="005B5241" w:rsidRDefault="00722AEF" w:rsidP="007B2021">
      <w:pPr>
        <w:ind w:firstLine="426"/>
        <w:jc w:val="both"/>
        <w:rPr>
          <w:rFonts w:eastAsia="Cambria" w:cs="Cambria"/>
          <w:sz w:val="20"/>
          <w:szCs w:val="20"/>
        </w:rPr>
      </w:pPr>
      <w:r w:rsidRPr="005B5241">
        <w:rPr>
          <w:i/>
          <w:iCs/>
          <w:sz w:val="20"/>
          <w:szCs w:val="20"/>
        </w:rPr>
        <w:t xml:space="preserve">RECONNAISSANT EN OUTRE </w:t>
      </w:r>
      <w:r w:rsidRPr="005B5241">
        <w:rPr>
          <w:sz w:val="20"/>
          <w:szCs w:val="20"/>
        </w:rPr>
        <w:t xml:space="preserve">l’avis du SCRS selon lequel il est nécessaire que les Parties contractantes et Parties, Entités ou Entités de pêche non contractantes coopérantes (ci-après dénommées « CPC ») renforcent leurs efforts de suivi et de collecte des données pour étayer les futures évaluations des stocks, y compris mais sans s’y limiter, l’estimation du total de rejets morts </w:t>
      </w:r>
      <w:r w:rsidR="005A5BCA" w:rsidRPr="005B5241">
        <w:rPr>
          <w:sz w:val="20"/>
          <w:szCs w:val="20"/>
        </w:rPr>
        <w:t xml:space="preserve">et des remises à l’eau de spécimens vivants, </w:t>
      </w:r>
      <w:r w:rsidRPr="005B5241">
        <w:rPr>
          <w:sz w:val="20"/>
          <w:szCs w:val="20"/>
        </w:rPr>
        <w:t xml:space="preserve">et l’estimation de la CPUE à l’aide des données des observateurs ; </w:t>
      </w:r>
    </w:p>
    <w:p w14:paraId="09EE9BA3" w14:textId="77777777" w:rsidR="00722AEF" w:rsidRPr="005B5241" w:rsidRDefault="00722AEF" w:rsidP="007B2021">
      <w:pPr>
        <w:ind w:firstLine="426"/>
        <w:jc w:val="both"/>
        <w:rPr>
          <w:rFonts w:eastAsia="Cambria" w:cs="Cambria"/>
          <w:sz w:val="20"/>
          <w:szCs w:val="20"/>
        </w:rPr>
      </w:pPr>
    </w:p>
    <w:p w14:paraId="60A4FBD9" w14:textId="6D0F22FD" w:rsidR="00C11C6F" w:rsidRPr="005B5241" w:rsidRDefault="00722AEF" w:rsidP="007B2021">
      <w:pPr>
        <w:ind w:firstLine="426"/>
        <w:jc w:val="both"/>
        <w:rPr>
          <w:sz w:val="20"/>
          <w:szCs w:val="20"/>
        </w:rPr>
      </w:pPr>
      <w:r w:rsidRPr="005B5241">
        <w:rPr>
          <w:i/>
          <w:iCs/>
          <w:sz w:val="20"/>
          <w:szCs w:val="20"/>
        </w:rPr>
        <w:t>RÉPONDANT EN OUTRE</w:t>
      </w:r>
      <w:r w:rsidRPr="005B5241">
        <w:rPr>
          <w:sz w:val="20"/>
          <w:szCs w:val="20"/>
        </w:rPr>
        <w:t xml:space="preserve"> à la nécessité d'effectuer des recherches supplémentaires sur les méthodes visant à réduire les interactions entre les requins-taupes bleus et les pêcheries de l'ICCAT, y compris l'identification des zones à interactions élevées ;</w:t>
      </w:r>
      <w:r w:rsidR="00C11C6F" w:rsidRPr="005B5241">
        <w:rPr>
          <w:sz w:val="20"/>
          <w:szCs w:val="20"/>
        </w:rPr>
        <w:br w:type="page"/>
      </w:r>
    </w:p>
    <w:p w14:paraId="76F1B077" w14:textId="2BF7E8A6" w:rsidR="001106FB" w:rsidRPr="005B5241" w:rsidRDefault="001106FB" w:rsidP="00C53562">
      <w:pPr>
        <w:widowControl w:val="0"/>
        <w:autoSpaceDE w:val="0"/>
        <w:autoSpaceDN w:val="0"/>
        <w:adjustRightInd w:val="0"/>
        <w:jc w:val="center"/>
        <w:rPr>
          <w:rFonts w:eastAsia="MS Mincho" w:cs="Times New Roman"/>
          <w:sz w:val="20"/>
          <w:szCs w:val="20"/>
        </w:rPr>
      </w:pPr>
      <w:r w:rsidRPr="005B5241">
        <w:rPr>
          <w:sz w:val="20"/>
          <w:szCs w:val="20"/>
        </w:rPr>
        <w:lastRenderedPageBreak/>
        <w:t>LA COMMISSION INTERNATIONALE POUR LA CONSERVATION</w:t>
      </w:r>
    </w:p>
    <w:p w14:paraId="310BB5ED" w14:textId="234C0968" w:rsidR="001106FB" w:rsidRPr="005B5241" w:rsidRDefault="001106FB" w:rsidP="00C53562">
      <w:pPr>
        <w:widowControl w:val="0"/>
        <w:autoSpaceDE w:val="0"/>
        <w:autoSpaceDN w:val="0"/>
        <w:adjustRightInd w:val="0"/>
        <w:jc w:val="center"/>
        <w:rPr>
          <w:rFonts w:eastAsia="MS Mincho" w:cs="Times New Roman"/>
          <w:sz w:val="20"/>
          <w:szCs w:val="20"/>
        </w:rPr>
      </w:pPr>
      <w:r w:rsidRPr="005B5241">
        <w:rPr>
          <w:sz w:val="20"/>
          <w:szCs w:val="20"/>
        </w:rPr>
        <w:t>DES THONIDÉS DE L’ATLANTIQUE (ICCAT) RECOMMANDE CE QUI SUIT</w:t>
      </w:r>
      <w:r w:rsidR="006D099C" w:rsidRPr="005B5241">
        <w:rPr>
          <w:sz w:val="20"/>
          <w:szCs w:val="20"/>
        </w:rPr>
        <w:t xml:space="preserve"> </w:t>
      </w:r>
      <w:r w:rsidRPr="005B5241">
        <w:rPr>
          <w:sz w:val="20"/>
          <w:szCs w:val="20"/>
        </w:rPr>
        <w:t>:</w:t>
      </w:r>
    </w:p>
    <w:p w14:paraId="294EFFC5" w14:textId="77777777" w:rsidR="001106FB" w:rsidRPr="005B5241" w:rsidRDefault="001106FB" w:rsidP="00C53562">
      <w:pPr>
        <w:widowControl w:val="0"/>
        <w:autoSpaceDE w:val="0"/>
        <w:autoSpaceDN w:val="0"/>
        <w:adjustRightInd w:val="0"/>
        <w:rPr>
          <w:rFonts w:eastAsia="MS Mincho" w:cs="Times New Roman"/>
          <w:sz w:val="20"/>
          <w:szCs w:val="20"/>
          <w:lang w:eastAsia="ja-JP"/>
        </w:rPr>
      </w:pPr>
    </w:p>
    <w:p w14:paraId="56B6E4A8" w14:textId="56D74F22" w:rsidR="00000D49" w:rsidRPr="005B5241" w:rsidRDefault="003B344A" w:rsidP="00C53562">
      <w:pPr>
        <w:widowControl w:val="0"/>
        <w:autoSpaceDE w:val="0"/>
        <w:autoSpaceDN w:val="0"/>
        <w:adjustRightInd w:val="0"/>
        <w:rPr>
          <w:rFonts w:eastAsia="MS Mincho" w:cs="Times New Roman"/>
          <w:b/>
          <w:sz w:val="20"/>
          <w:szCs w:val="20"/>
        </w:rPr>
      </w:pPr>
      <w:r w:rsidRPr="005B5241">
        <w:rPr>
          <w:b/>
          <w:sz w:val="20"/>
          <w:szCs w:val="20"/>
        </w:rPr>
        <w:t>Objectifs du programme de rétablissement</w:t>
      </w:r>
    </w:p>
    <w:p w14:paraId="416EF4CC" w14:textId="77777777" w:rsidR="00000D49" w:rsidRPr="005B5241" w:rsidRDefault="00000D49" w:rsidP="00C53562">
      <w:pPr>
        <w:widowControl w:val="0"/>
        <w:autoSpaceDE w:val="0"/>
        <w:autoSpaceDN w:val="0"/>
        <w:adjustRightInd w:val="0"/>
        <w:rPr>
          <w:rFonts w:eastAsia="MS Mincho" w:cs="Times New Roman"/>
          <w:sz w:val="20"/>
          <w:szCs w:val="20"/>
          <w:lang w:eastAsia="ja-JP"/>
        </w:rPr>
      </w:pPr>
    </w:p>
    <w:p w14:paraId="58B201F0" w14:textId="29AAEFC1" w:rsidR="006F68E1" w:rsidRPr="005B5241" w:rsidRDefault="00BB02C1" w:rsidP="00C53562">
      <w:pPr>
        <w:ind w:left="426" w:hanging="426"/>
        <w:jc w:val="both"/>
        <w:rPr>
          <w:sz w:val="20"/>
          <w:szCs w:val="20"/>
        </w:rPr>
      </w:pPr>
      <w:r w:rsidRPr="005B5241">
        <w:rPr>
          <w:sz w:val="20"/>
          <w:szCs w:val="20"/>
        </w:rPr>
        <w:t>1.</w:t>
      </w:r>
      <w:r w:rsidRPr="005B5241">
        <w:rPr>
          <w:sz w:val="20"/>
          <w:szCs w:val="20"/>
        </w:rPr>
        <w:tab/>
      </w:r>
      <w:r w:rsidR="00AF6568" w:rsidRPr="005B5241">
        <w:rPr>
          <w:sz w:val="20"/>
          <w:szCs w:val="20"/>
        </w:rPr>
        <w:t xml:space="preserve">Les Parties contractantes et les Parties, Entités ou Entités de pêche non-contractantes coopérantes (ci-après dénommées </w:t>
      </w:r>
      <w:r w:rsidR="003A44E8" w:rsidRPr="005B5241">
        <w:rPr>
          <w:sz w:val="20"/>
          <w:szCs w:val="20"/>
        </w:rPr>
        <w:t>« </w:t>
      </w:r>
      <w:r w:rsidR="00AF6568" w:rsidRPr="005B5241">
        <w:rPr>
          <w:sz w:val="20"/>
          <w:szCs w:val="20"/>
        </w:rPr>
        <w:t>CPC</w:t>
      </w:r>
      <w:r w:rsidR="003A44E8" w:rsidRPr="005B5241">
        <w:rPr>
          <w:sz w:val="20"/>
          <w:szCs w:val="20"/>
        </w:rPr>
        <w:t> »</w:t>
      </w:r>
      <w:r w:rsidR="00AF6568" w:rsidRPr="005B5241">
        <w:rPr>
          <w:sz w:val="20"/>
          <w:szCs w:val="20"/>
        </w:rPr>
        <w:t xml:space="preserve">) devront mettre en œuvre un programme de rétablissement pour le requin-taupe bleu de l'Atlantique Nord à partir de 2022 afin de mettre fin immédiatement à la surpêche et d'atteindre progressivement des niveaux de biomasse suffisants pour soutenir la production maximale équilibrée (PME) d'ici 2070 avec une probabilité </w:t>
      </w:r>
      <w:r w:rsidR="000813D3" w:rsidRPr="005B5241">
        <w:rPr>
          <w:sz w:val="20"/>
          <w:szCs w:val="20"/>
        </w:rPr>
        <w:t xml:space="preserve">oscillant entre 60 et 70% </w:t>
      </w:r>
      <w:r w:rsidR="00AF6568" w:rsidRPr="005B5241">
        <w:rPr>
          <w:sz w:val="20"/>
          <w:szCs w:val="20"/>
        </w:rPr>
        <w:t>au moins</w:t>
      </w:r>
      <w:r w:rsidR="000813D3" w:rsidRPr="005B5241">
        <w:rPr>
          <w:sz w:val="20"/>
          <w:szCs w:val="20"/>
        </w:rPr>
        <w:t>.</w:t>
      </w:r>
    </w:p>
    <w:p w14:paraId="69D87A28" w14:textId="77777777" w:rsidR="00425487" w:rsidRPr="005B5241" w:rsidRDefault="00425487" w:rsidP="00C53562">
      <w:pPr>
        <w:pStyle w:val="ListParagraph"/>
        <w:rPr>
          <w:strike/>
          <w:sz w:val="20"/>
          <w:szCs w:val="20"/>
          <w:lang w:eastAsia="ja-JP"/>
        </w:rPr>
      </w:pPr>
    </w:p>
    <w:p w14:paraId="4EA7CD6E" w14:textId="47EC9899" w:rsidR="00A86DE1" w:rsidRPr="005B5241" w:rsidRDefault="00BB02C1" w:rsidP="00C53562">
      <w:pPr>
        <w:ind w:left="426" w:hanging="426"/>
        <w:jc w:val="both"/>
        <w:rPr>
          <w:sz w:val="20"/>
          <w:szCs w:val="20"/>
          <w:lang w:eastAsia="ja-JP"/>
        </w:rPr>
      </w:pPr>
      <w:r w:rsidRPr="005B5241">
        <w:rPr>
          <w:sz w:val="20"/>
          <w:szCs w:val="20"/>
        </w:rPr>
        <w:t>2.</w:t>
      </w:r>
      <w:r w:rsidRPr="005B5241">
        <w:rPr>
          <w:sz w:val="20"/>
          <w:szCs w:val="20"/>
        </w:rPr>
        <w:tab/>
      </w:r>
      <w:r w:rsidR="00A86DE1" w:rsidRPr="005B5241">
        <w:rPr>
          <w:sz w:val="20"/>
          <w:szCs w:val="20"/>
        </w:rPr>
        <w:t xml:space="preserve">À cette fin, les règles énoncées dans la présente </w:t>
      </w:r>
      <w:r w:rsidR="00A11D56" w:rsidRPr="005B5241">
        <w:rPr>
          <w:sz w:val="20"/>
          <w:szCs w:val="20"/>
        </w:rPr>
        <w:t xml:space="preserve">Recommandation </w:t>
      </w:r>
      <w:r w:rsidR="00A86DE1" w:rsidRPr="005B5241">
        <w:rPr>
          <w:sz w:val="20"/>
          <w:szCs w:val="20"/>
        </w:rPr>
        <w:t xml:space="preserve">devront être appliquées par les CPC dans le but de réduire </w:t>
      </w:r>
      <w:r w:rsidR="00E0575D" w:rsidRPr="005B5241">
        <w:rPr>
          <w:sz w:val="20"/>
          <w:szCs w:val="20"/>
        </w:rPr>
        <w:t xml:space="preserve">la mortalité </w:t>
      </w:r>
      <w:r w:rsidR="00B40105" w:rsidRPr="005B5241">
        <w:rPr>
          <w:sz w:val="20"/>
          <w:szCs w:val="20"/>
        </w:rPr>
        <w:t>totale</w:t>
      </w:r>
      <w:r w:rsidR="00E0575D" w:rsidRPr="005B5241">
        <w:rPr>
          <w:sz w:val="20"/>
          <w:szCs w:val="20"/>
        </w:rPr>
        <w:t xml:space="preserve"> par pêche </w:t>
      </w:r>
      <w:r w:rsidR="008428AC" w:rsidRPr="005B5241">
        <w:rPr>
          <w:rStyle w:val="normaltextrun"/>
          <w:rFonts w:ascii="Cambria" w:hAnsi="Cambria"/>
          <w:sz w:val="20"/>
          <w:shd w:val="clear" w:color="auto" w:fill="FFFFFF"/>
        </w:rPr>
        <w:t xml:space="preserve">(la somme de toute rétention, des rejets morts et de la mortalité après </w:t>
      </w:r>
      <w:r w:rsidR="0038402F" w:rsidRPr="005B5241">
        <w:rPr>
          <w:rStyle w:val="normaltextrun"/>
          <w:rFonts w:ascii="Cambria" w:hAnsi="Cambria"/>
          <w:sz w:val="20"/>
          <w:shd w:val="clear" w:color="auto" w:fill="FFFFFF"/>
        </w:rPr>
        <w:t xml:space="preserve">la </w:t>
      </w:r>
      <w:r w:rsidR="008428AC" w:rsidRPr="005B5241">
        <w:rPr>
          <w:rStyle w:val="normaltextrun"/>
          <w:rFonts w:ascii="Cambria" w:hAnsi="Cambria"/>
          <w:sz w:val="20"/>
          <w:shd w:val="clear" w:color="auto" w:fill="FFFFFF"/>
        </w:rPr>
        <w:t xml:space="preserve">remise à l'eau des </w:t>
      </w:r>
      <w:r w:rsidR="00380114" w:rsidRPr="005B5241">
        <w:rPr>
          <w:rStyle w:val="normaltextrun"/>
          <w:rFonts w:ascii="Cambria" w:hAnsi="Cambria"/>
          <w:sz w:val="20"/>
          <w:shd w:val="clear" w:color="auto" w:fill="FFFFFF"/>
        </w:rPr>
        <w:t>rejets</w:t>
      </w:r>
      <w:r w:rsidR="008428AC" w:rsidRPr="005B5241">
        <w:rPr>
          <w:rStyle w:val="normaltextrun"/>
          <w:rFonts w:ascii="Cambria" w:hAnsi="Cambria"/>
          <w:sz w:val="20"/>
          <w:shd w:val="clear" w:color="auto" w:fill="FFFFFF"/>
        </w:rPr>
        <w:t xml:space="preserve"> vivants),</w:t>
      </w:r>
      <w:r w:rsidR="00750C34" w:rsidRPr="005B5241">
        <w:rPr>
          <w:rStyle w:val="normaltextrun"/>
          <w:rFonts w:ascii="Cambria" w:hAnsi="Cambria"/>
          <w:sz w:val="20"/>
          <w:shd w:val="clear" w:color="auto" w:fill="FFFFFF"/>
        </w:rPr>
        <w:t xml:space="preserve"> </w:t>
      </w:r>
      <w:r w:rsidR="00E0575D" w:rsidRPr="005B5241">
        <w:rPr>
          <w:sz w:val="20"/>
          <w:szCs w:val="20"/>
        </w:rPr>
        <w:t xml:space="preserve">afin de </w:t>
      </w:r>
      <w:r w:rsidR="00A86DE1" w:rsidRPr="005B5241">
        <w:rPr>
          <w:sz w:val="20"/>
          <w:szCs w:val="20"/>
        </w:rPr>
        <w:t xml:space="preserve">maintenir la mortalité à des niveaux durables </w:t>
      </w:r>
      <w:r w:rsidR="00E0575D" w:rsidRPr="005B5241">
        <w:rPr>
          <w:sz w:val="20"/>
          <w:szCs w:val="20"/>
        </w:rPr>
        <w:t xml:space="preserve">pour rétablir le stock </w:t>
      </w:r>
      <w:r w:rsidR="00A86DE1" w:rsidRPr="005B5241">
        <w:rPr>
          <w:sz w:val="20"/>
          <w:szCs w:val="20"/>
        </w:rPr>
        <w:t xml:space="preserve">et d'établir </w:t>
      </w:r>
      <w:r w:rsidR="00E0575D" w:rsidRPr="005B5241">
        <w:rPr>
          <w:sz w:val="20"/>
          <w:szCs w:val="20"/>
        </w:rPr>
        <w:t xml:space="preserve">un processus permettant de déterminer </w:t>
      </w:r>
      <w:r w:rsidR="00A86DE1" w:rsidRPr="005B5241">
        <w:rPr>
          <w:sz w:val="20"/>
          <w:szCs w:val="20"/>
        </w:rPr>
        <w:t>si, pour une année donnée, il existe une possibilité de rétention.</w:t>
      </w:r>
    </w:p>
    <w:p w14:paraId="15C516FD" w14:textId="6DF1F130" w:rsidR="00BA1725" w:rsidRPr="005B5241" w:rsidRDefault="00BA1725" w:rsidP="00C53562">
      <w:pPr>
        <w:jc w:val="both"/>
        <w:rPr>
          <w:rFonts w:ascii="Cambria" w:hAnsi="Cambria"/>
          <w:sz w:val="20"/>
          <w:szCs w:val="20"/>
        </w:rPr>
      </w:pPr>
    </w:p>
    <w:p w14:paraId="0B7B00AA" w14:textId="77777777" w:rsidR="008428AC" w:rsidRPr="005B5241" w:rsidRDefault="008428AC" w:rsidP="00C53562">
      <w:pPr>
        <w:pStyle w:val="gmail-m-5908448473476167748paragraph"/>
        <w:spacing w:before="0" w:beforeAutospacing="0" w:after="0" w:afterAutospacing="0"/>
        <w:jc w:val="both"/>
        <w:textAlignment w:val="baseline"/>
        <w:rPr>
          <w:rFonts w:ascii="Cambria" w:hAnsi="Cambria"/>
          <w:b/>
          <w:sz w:val="20"/>
          <w:szCs w:val="20"/>
          <w:lang w:val="fr-FR"/>
        </w:rPr>
      </w:pPr>
      <w:r w:rsidRPr="005B5241">
        <w:rPr>
          <w:rFonts w:ascii="Cambria" w:hAnsi="Cambria"/>
          <w:b/>
          <w:sz w:val="20"/>
          <w:lang w:val="fr-FR"/>
        </w:rPr>
        <w:t>Première étape du rétablissement du stock et processus permettant de déterminer la future rétention autorisée</w:t>
      </w:r>
    </w:p>
    <w:p w14:paraId="48DAAE2F" w14:textId="77777777" w:rsidR="008428AC" w:rsidRPr="005B5241" w:rsidRDefault="008428AC" w:rsidP="00C53562">
      <w:pPr>
        <w:pStyle w:val="gmail-m-5908448473476167748paragraph"/>
        <w:spacing w:before="0" w:beforeAutospacing="0" w:after="0" w:afterAutospacing="0"/>
        <w:ind w:left="420" w:hanging="420"/>
        <w:contextualSpacing/>
        <w:jc w:val="both"/>
        <w:textAlignment w:val="baseline"/>
        <w:rPr>
          <w:rFonts w:ascii="Cambria" w:hAnsi="Cambria"/>
          <w:sz w:val="20"/>
          <w:szCs w:val="20"/>
          <w:lang w:val="fr-FR"/>
        </w:rPr>
      </w:pPr>
    </w:p>
    <w:p w14:paraId="1CE92747" w14:textId="6F3F97B9" w:rsidR="00BA1725" w:rsidRPr="005B5241" w:rsidRDefault="00C53562" w:rsidP="00C53562">
      <w:pPr>
        <w:pStyle w:val="gmail-m-5908448473476167748paragraph"/>
        <w:spacing w:before="0" w:beforeAutospacing="0" w:after="0" w:afterAutospacing="0"/>
        <w:ind w:left="420" w:hanging="420"/>
        <w:contextualSpacing/>
        <w:jc w:val="both"/>
        <w:textAlignment w:val="baseline"/>
        <w:rPr>
          <w:rFonts w:asciiTheme="minorHAnsi" w:eastAsiaTheme="minorEastAsia" w:hAnsiTheme="minorHAnsi" w:cstheme="minorBidi"/>
          <w:sz w:val="20"/>
          <w:szCs w:val="20"/>
          <w:lang w:val="fr-FR" w:eastAsia="en-US"/>
        </w:rPr>
      </w:pPr>
      <w:r w:rsidRPr="005B5241">
        <w:rPr>
          <w:rFonts w:ascii="Cambria" w:hAnsi="Cambria"/>
          <w:sz w:val="20"/>
          <w:szCs w:val="20"/>
          <w:lang w:val="fr-FR"/>
        </w:rPr>
        <w:t>3.</w:t>
      </w:r>
      <w:r w:rsidRPr="005B5241">
        <w:rPr>
          <w:rFonts w:ascii="Cambria" w:hAnsi="Cambria"/>
          <w:sz w:val="20"/>
          <w:szCs w:val="20"/>
          <w:lang w:val="fr-FR"/>
        </w:rPr>
        <w:tab/>
      </w:r>
      <w:r w:rsidR="008D1030" w:rsidRPr="005B5241">
        <w:rPr>
          <w:rFonts w:ascii="Cambria" w:hAnsi="Cambria"/>
          <w:sz w:val="20"/>
          <w:szCs w:val="20"/>
          <w:lang w:val="fr-FR"/>
        </w:rPr>
        <w:t>L</w:t>
      </w:r>
      <w:r w:rsidR="008D1030" w:rsidRPr="005B5241">
        <w:rPr>
          <w:rFonts w:asciiTheme="minorHAnsi" w:eastAsiaTheme="minorEastAsia" w:hAnsiTheme="minorHAnsi" w:cstheme="minorBidi"/>
          <w:sz w:val="20"/>
          <w:szCs w:val="20"/>
          <w:lang w:val="fr-FR" w:eastAsia="en-US"/>
        </w:rPr>
        <w:t>es CPC devront mettre en œuvre une interdiction de retenir à bord</w:t>
      </w:r>
      <w:r w:rsidR="009F2AB3" w:rsidRPr="005B5241">
        <w:rPr>
          <w:rFonts w:asciiTheme="minorHAnsi" w:eastAsiaTheme="minorEastAsia" w:hAnsiTheme="minorHAnsi" w:cstheme="minorBidi"/>
          <w:sz w:val="20"/>
          <w:szCs w:val="20"/>
          <w:lang w:val="fr-FR" w:eastAsia="en-US"/>
        </w:rPr>
        <w:t xml:space="preserve">, de transborder </w:t>
      </w:r>
      <w:r w:rsidR="008D1030" w:rsidRPr="005B5241">
        <w:rPr>
          <w:rFonts w:asciiTheme="minorHAnsi" w:eastAsiaTheme="minorEastAsia" w:hAnsiTheme="minorHAnsi" w:cstheme="minorBidi"/>
          <w:sz w:val="20"/>
          <w:szCs w:val="20"/>
          <w:lang w:val="fr-FR" w:eastAsia="en-US"/>
        </w:rPr>
        <w:t xml:space="preserve">et de débarquer, en totalité ou en partie, le requin-taupe bleu de l'Atlantique Nord capturé en association avec les pêcheries de l'ICCAT en 2022 et 2023, en tant que première étape du rétablissement du stock. </w:t>
      </w:r>
    </w:p>
    <w:p w14:paraId="56A9EA7F" w14:textId="68A383A6" w:rsidR="00BA1725" w:rsidRPr="005B5241" w:rsidRDefault="00BA1725" w:rsidP="00C53562">
      <w:pPr>
        <w:pStyle w:val="gmail-m-5908448473476167748paragraph"/>
        <w:spacing w:before="0" w:beforeAutospacing="0" w:after="0" w:afterAutospacing="0"/>
        <w:ind w:left="420" w:hanging="420"/>
        <w:contextualSpacing/>
        <w:jc w:val="both"/>
        <w:textAlignment w:val="baseline"/>
        <w:rPr>
          <w:rFonts w:asciiTheme="minorHAnsi" w:eastAsiaTheme="minorEastAsia" w:hAnsiTheme="minorHAnsi" w:cstheme="minorBidi"/>
          <w:sz w:val="20"/>
          <w:szCs w:val="20"/>
          <w:lang w:val="fr-FR" w:eastAsia="en-US"/>
        </w:rPr>
      </w:pPr>
    </w:p>
    <w:p w14:paraId="07E4B83B" w14:textId="5686E5EE" w:rsidR="00C5192F" w:rsidRPr="005B5241" w:rsidRDefault="00C53562" w:rsidP="00C53562">
      <w:pPr>
        <w:pStyle w:val="gmail-m-5908448473476167748paragraph"/>
        <w:spacing w:before="0" w:beforeAutospacing="0" w:after="0" w:afterAutospacing="0"/>
        <w:ind w:left="426" w:hanging="426"/>
        <w:jc w:val="both"/>
        <w:textAlignment w:val="baseline"/>
        <w:rPr>
          <w:rFonts w:ascii="Cambria" w:hAnsi="Cambria"/>
          <w:sz w:val="20"/>
          <w:szCs w:val="20"/>
          <w:lang w:val="fr-FR"/>
        </w:rPr>
      </w:pPr>
      <w:r w:rsidRPr="005B5241">
        <w:rPr>
          <w:rFonts w:asciiTheme="minorHAnsi" w:eastAsiaTheme="minorEastAsia" w:hAnsiTheme="minorHAnsi" w:cstheme="minorBidi"/>
          <w:sz w:val="20"/>
          <w:szCs w:val="20"/>
          <w:lang w:val="fr-FR" w:eastAsia="ja-JP"/>
        </w:rPr>
        <w:t>4.</w:t>
      </w:r>
      <w:r w:rsidRPr="005B5241">
        <w:rPr>
          <w:rFonts w:asciiTheme="minorHAnsi" w:eastAsiaTheme="minorEastAsia" w:hAnsiTheme="minorHAnsi" w:cstheme="minorBidi"/>
          <w:sz w:val="20"/>
          <w:szCs w:val="20"/>
          <w:lang w:val="fr-FR" w:eastAsia="ja-JP"/>
        </w:rPr>
        <w:tab/>
      </w:r>
      <w:r w:rsidR="00C5192F" w:rsidRPr="005B5241">
        <w:rPr>
          <w:rFonts w:ascii="Cambria" w:hAnsi="Cambria"/>
          <w:sz w:val="20"/>
          <w:lang w:val="fr-FR"/>
        </w:rPr>
        <w:t xml:space="preserve">Le tonnage total de mortalité par pêche associé au niveau de probabilité établi au paragraphe 1 devra être fondé sur la matrice de stratégie de Kobe </w:t>
      </w:r>
      <w:r w:rsidR="00B40A2D" w:rsidRPr="005B5241">
        <w:rPr>
          <w:rFonts w:ascii="Cambria" w:hAnsi="Cambria"/>
          <w:sz w:val="20"/>
          <w:lang w:val="fr-FR"/>
        </w:rPr>
        <w:t>II</w:t>
      </w:r>
      <w:r w:rsidR="00C5192F" w:rsidRPr="005B5241">
        <w:rPr>
          <w:rFonts w:ascii="Cambria" w:hAnsi="Cambria"/>
          <w:sz w:val="20"/>
          <w:lang w:val="fr-FR"/>
        </w:rPr>
        <w:t xml:space="preserve"> la plus récente fournie par le SCRS pour le requin-taupe bleu de l’Atlantique Nord (la probabilité de F&lt;F</w:t>
      </w:r>
      <w:r w:rsidR="00C5192F" w:rsidRPr="005B5241">
        <w:rPr>
          <w:rFonts w:ascii="Cambria" w:hAnsi="Cambria"/>
          <w:sz w:val="20"/>
          <w:vertAlign w:val="subscript"/>
          <w:lang w:val="fr-FR"/>
        </w:rPr>
        <w:t xml:space="preserve">PME </w:t>
      </w:r>
      <w:r w:rsidR="00C5192F" w:rsidRPr="005B5241">
        <w:rPr>
          <w:rFonts w:ascii="Cambria" w:hAnsi="Cambria"/>
          <w:sz w:val="20"/>
          <w:lang w:val="fr-FR"/>
        </w:rPr>
        <w:t>et</w:t>
      </w:r>
      <w:r w:rsidR="008A52F1" w:rsidRPr="005B5241">
        <w:rPr>
          <w:rFonts w:ascii="Cambria" w:hAnsi="Cambria"/>
          <w:sz w:val="20"/>
          <w:lang w:val="fr-FR"/>
        </w:rPr>
        <w:t xml:space="preserve"> </w:t>
      </w:r>
      <w:r w:rsidR="00C5192F" w:rsidRPr="005B5241">
        <w:rPr>
          <w:rFonts w:ascii="Cambria" w:hAnsi="Cambria"/>
          <w:sz w:val="20"/>
          <w:lang w:val="fr-FR"/>
        </w:rPr>
        <w:t>SSF</w:t>
      </w:r>
      <w:r w:rsidR="00380114" w:rsidRPr="005B5241">
        <w:rPr>
          <w:rStyle w:val="FootnoteReference"/>
          <w:rFonts w:ascii="Cambria" w:hAnsi="Cambria"/>
          <w:sz w:val="20"/>
          <w:lang w:val="fr-FR"/>
        </w:rPr>
        <w:footnoteReference w:id="1"/>
      </w:r>
      <w:r w:rsidR="00C5192F" w:rsidRPr="005B5241">
        <w:rPr>
          <w:rFonts w:ascii="Cambria" w:hAnsi="Cambria"/>
          <w:sz w:val="20"/>
          <w:lang w:val="fr-FR"/>
        </w:rPr>
        <w:t>&gt;SSF</w:t>
      </w:r>
      <w:r w:rsidR="00C5192F" w:rsidRPr="005B5241">
        <w:rPr>
          <w:rFonts w:ascii="Cambria" w:hAnsi="Cambria"/>
          <w:sz w:val="20"/>
          <w:vertAlign w:val="subscript"/>
          <w:lang w:val="fr-FR"/>
        </w:rPr>
        <w:t>PME</w:t>
      </w:r>
      <w:r w:rsidR="00C5192F" w:rsidRPr="005B5241">
        <w:rPr>
          <w:rFonts w:ascii="Cambria" w:hAnsi="Cambria"/>
          <w:sz w:val="20"/>
          <w:lang w:val="fr-FR"/>
        </w:rPr>
        <w:t>).</w:t>
      </w:r>
      <w:r w:rsidR="008A52F1" w:rsidRPr="005B5241">
        <w:rPr>
          <w:rFonts w:ascii="Cambria" w:hAnsi="Cambria"/>
          <w:sz w:val="20"/>
          <w:lang w:val="fr-FR"/>
        </w:rPr>
        <w:t xml:space="preserve"> </w:t>
      </w:r>
      <w:r w:rsidR="008A52F1" w:rsidRPr="005B5241">
        <w:rPr>
          <w:rStyle w:val="normaltextrun"/>
          <w:rFonts w:ascii="Cambria" w:hAnsi="Cambria"/>
          <w:sz w:val="20"/>
          <w:shd w:val="clear" w:color="auto" w:fill="FFFFFF"/>
          <w:lang w:val="fr-FR"/>
        </w:rPr>
        <w:t>À</w:t>
      </w:r>
      <w:r w:rsidR="00C5192F" w:rsidRPr="005B5241">
        <w:rPr>
          <w:rStyle w:val="normaltextrun"/>
          <w:rFonts w:ascii="Cambria" w:hAnsi="Cambria"/>
          <w:sz w:val="20"/>
          <w:shd w:val="clear" w:color="auto" w:fill="FFFFFF"/>
          <w:lang w:val="fr-FR"/>
        </w:rPr>
        <w:t xml:space="preserve"> la suite de chaque évaluation du stock, le SCRS devra actualiser la matrice de stratégie de </w:t>
      </w:r>
      <w:r w:rsidR="00B40A2D" w:rsidRPr="005B5241">
        <w:rPr>
          <w:rFonts w:ascii="Cambria" w:hAnsi="Cambria"/>
          <w:sz w:val="20"/>
          <w:lang w:val="fr-FR"/>
        </w:rPr>
        <w:t xml:space="preserve">Kobe II </w:t>
      </w:r>
      <w:r w:rsidR="00C5192F" w:rsidRPr="005B5241">
        <w:rPr>
          <w:rStyle w:val="normaltextrun"/>
          <w:rFonts w:ascii="Cambria" w:hAnsi="Cambria"/>
          <w:sz w:val="20"/>
          <w:shd w:val="clear" w:color="auto" w:fill="FFFFFF"/>
          <w:lang w:val="fr-FR"/>
        </w:rPr>
        <w:t>conformément aux objectifs établis au paragraphe 1, pour approbation par la Commission.</w:t>
      </w:r>
    </w:p>
    <w:p w14:paraId="4692435C" w14:textId="77777777" w:rsidR="00C53562" w:rsidRPr="005B5241" w:rsidRDefault="00C53562" w:rsidP="00C53562">
      <w:pPr>
        <w:pStyle w:val="gmail-m-5908448473476167748paragraph"/>
        <w:spacing w:before="0" w:beforeAutospacing="0" w:after="0" w:afterAutospacing="0"/>
        <w:ind w:left="851" w:hanging="431"/>
        <w:jc w:val="both"/>
        <w:textAlignment w:val="baseline"/>
        <w:rPr>
          <w:rFonts w:ascii="Cambria" w:hAnsi="Cambria"/>
          <w:sz w:val="20"/>
          <w:lang w:val="fr-FR"/>
        </w:rPr>
      </w:pPr>
    </w:p>
    <w:p w14:paraId="52B96308" w14:textId="736CFC80" w:rsidR="00C5192F" w:rsidRPr="005B5241" w:rsidRDefault="00AA036A" w:rsidP="00C53562">
      <w:pPr>
        <w:pStyle w:val="gmail-m-5908448473476167748paragraph"/>
        <w:spacing w:before="0" w:beforeAutospacing="0" w:after="0" w:afterAutospacing="0"/>
        <w:ind w:left="851" w:hanging="431"/>
        <w:jc w:val="both"/>
        <w:textAlignment w:val="baseline"/>
        <w:rPr>
          <w:rFonts w:ascii="Cambria" w:hAnsi="Cambria"/>
          <w:sz w:val="20"/>
          <w:lang w:val="fr-FR"/>
        </w:rPr>
      </w:pPr>
      <w:r w:rsidRPr="005B5241">
        <w:rPr>
          <w:rFonts w:ascii="Cambria" w:hAnsi="Cambria"/>
          <w:sz w:val="20"/>
          <w:lang w:val="fr-FR"/>
        </w:rPr>
        <w:t>a)</w:t>
      </w:r>
      <w:r w:rsidRPr="005B5241">
        <w:rPr>
          <w:rFonts w:ascii="Cambria" w:hAnsi="Cambria"/>
          <w:sz w:val="20"/>
          <w:lang w:val="fr-FR"/>
        </w:rPr>
        <w:tab/>
      </w:r>
      <w:r w:rsidR="00C5192F" w:rsidRPr="005B5241">
        <w:rPr>
          <w:rFonts w:ascii="Cambria" w:hAnsi="Cambria"/>
          <w:sz w:val="20"/>
          <w:lang w:val="fr-FR"/>
        </w:rPr>
        <w:t xml:space="preserve">Conformément aux objectifs établis au paragraphe 1 et à la matrice de stratégie de </w:t>
      </w:r>
      <w:r w:rsidR="00B40A2D" w:rsidRPr="005B5241">
        <w:rPr>
          <w:rFonts w:ascii="Cambria" w:hAnsi="Cambria"/>
          <w:sz w:val="20"/>
          <w:lang w:val="fr-FR"/>
        </w:rPr>
        <w:t xml:space="preserve">Kobe II </w:t>
      </w:r>
      <w:r w:rsidR="00C5192F" w:rsidRPr="005B5241">
        <w:rPr>
          <w:rFonts w:ascii="Cambria" w:hAnsi="Cambria"/>
          <w:sz w:val="20"/>
          <w:lang w:val="fr-FR"/>
        </w:rPr>
        <w:t xml:space="preserve">du SCRS de 2019, la mortalité totale par pêche du requin-taupe bleu de l'Atlantique Nord ne devra pas dépasser </w:t>
      </w:r>
      <w:r w:rsidR="00AC620E" w:rsidRPr="005B5241">
        <w:rPr>
          <w:rFonts w:ascii="Cambria" w:hAnsi="Cambria"/>
          <w:sz w:val="20"/>
          <w:lang w:val="fr-FR"/>
        </w:rPr>
        <w:t>250</w:t>
      </w:r>
      <w:r w:rsidR="00C5192F" w:rsidRPr="005B5241">
        <w:rPr>
          <w:rFonts w:ascii="Cambria" w:hAnsi="Cambria"/>
          <w:sz w:val="20"/>
          <w:lang w:val="fr-FR"/>
        </w:rPr>
        <w:t xml:space="preserve"> tonnes jusqu'à ce qu'un nouvel avis du SCRS soit fourni à la Commission.</w:t>
      </w:r>
    </w:p>
    <w:p w14:paraId="48A59520" w14:textId="77777777" w:rsidR="00C53562" w:rsidRPr="005B5241" w:rsidRDefault="00C53562" w:rsidP="00C53562">
      <w:pPr>
        <w:pStyle w:val="gmail-m-5908448473476167748paragraph"/>
        <w:spacing w:before="0" w:beforeAutospacing="0" w:after="0" w:afterAutospacing="0"/>
        <w:ind w:left="851" w:hanging="431"/>
        <w:jc w:val="both"/>
        <w:textAlignment w:val="baseline"/>
        <w:rPr>
          <w:rStyle w:val="normaltextrun"/>
          <w:rFonts w:ascii="Cambria" w:hAnsi="Cambria"/>
          <w:sz w:val="20"/>
          <w:lang w:val="fr-FR"/>
        </w:rPr>
      </w:pPr>
    </w:p>
    <w:p w14:paraId="183D7F44" w14:textId="45D8E79F" w:rsidR="00C5192F" w:rsidRPr="005B5241" w:rsidRDefault="00C53562" w:rsidP="00C53562">
      <w:pPr>
        <w:pStyle w:val="gmail-m-5908448473476167748paragraph"/>
        <w:spacing w:before="0" w:beforeAutospacing="0" w:after="0" w:afterAutospacing="0"/>
        <w:ind w:left="420" w:hanging="420"/>
        <w:jc w:val="both"/>
        <w:textAlignment w:val="baseline"/>
        <w:rPr>
          <w:rFonts w:ascii="Cambria" w:hAnsi="Cambria"/>
          <w:sz w:val="20"/>
          <w:lang w:val="fr-FR"/>
        </w:rPr>
      </w:pPr>
      <w:r w:rsidRPr="005B5241">
        <w:rPr>
          <w:rFonts w:ascii="Cambria" w:hAnsi="Cambria"/>
          <w:sz w:val="20"/>
          <w:lang w:val="fr-FR"/>
        </w:rPr>
        <w:t>5.</w:t>
      </w:r>
      <w:r w:rsidRPr="005B5241">
        <w:rPr>
          <w:rFonts w:ascii="Cambria" w:hAnsi="Cambria"/>
          <w:sz w:val="20"/>
          <w:lang w:val="fr-FR"/>
        </w:rPr>
        <w:tab/>
      </w:r>
      <w:r w:rsidR="00C5192F" w:rsidRPr="005B5241">
        <w:rPr>
          <w:rFonts w:ascii="Cambria" w:hAnsi="Cambria"/>
          <w:sz w:val="20"/>
          <w:lang w:val="fr-FR"/>
        </w:rPr>
        <w:t>La future rétention autorisée devra se faire selon le processus suivant</w:t>
      </w:r>
      <w:r w:rsidR="00217039" w:rsidRPr="005B5241">
        <w:rPr>
          <w:rFonts w:ascii="Cambria" w:hAnsi="Cambria"/>
          <w:sz w:val="20"/>
          <w:lang w:val="fr-FR"/>
        </w:rPr>
        <w:t> :</w:t>
      </w:r>
    </w:p>
    <w:p w14:paraId="63FE5ABC" w14:textId="2FEBB990" w:rsidR="00BA1725" w:rsidRPr="005B5241" w:rsidRDefault="00BA1725" w:rsidP="00C53562">
      <w:pPr>
        <w:pStyle w:val="gmail-m-5908448473476167748paragraph"/>
        <w:spacing w:before="0" w:beforeAutospacing="0" w:after="0" w:afterAutospacing="0"/>
        <w:ind w:left="420" w:hanging="420"/>
        <w:contextualSpacing/>
        <w:jc w:val="both"/>
        <w:textAlignment w:val="baseline"/>
        <w:rPr>
          <w:rFonts w:asciiTheme="minorHAnsi" w:eastAsiaTheme="minorEastAsia" w:hAnsiTheme="minorHAnsi" w:cstheme="minorBidi"/>
          <w:sz w:val="20"/>
          <w:szCs w:val="20"/>
          <w:lang w:val="fr-FR" w:eastAsia="en-US"/>
        </w:rPr>
      </w:pPr>
    </w:p>
    <w:p w14:paraId="4FAB790B" w14:textId="3EA364FB" w:rsidR="00F548DA" w:rsidRPr="005B5241" w:rsidRDefault="00C5192F" w:rsidP="00C53562">
      <w:pPr>
        <w:pStyle w:val="ListParagraph"/>
        <w:numPr>
          <w:ilvl w:val="0"/>
          <w:numId w:val="36"/>
        </w:numPr>
        <w:jc w:val="both"/>
        <w:textAlignment w:val="baseline"/>
        <w:rPr>
          <w:rFonts w:ascii="Cambria" w:hAnsi="Cambria"/>
          <w:sz w:val="20"/>
        </w:rPr>
      </w:pPr>
      <w:r w:rsidRPr="005B5241">
        <w:rPr>
          <w:rStyle w:val="normaltextrun"/>
          <w:rFonts w:ascii="Cambria" w:hAnsi="Cambria"/>
          <w:sz w:val="20"/>
          <w:shd w:val="clear" w:color="auto" w:fill="FFFFFF"/>
        </w:rPr>
        <w:t>Au cours des années 2022 et 2023, le SCRS et la Sous-commission 4 devront collaborer afin de tester et de confirmer le caractère approprié de l'approche de l'</w:t>
      </w:r>
      <w:r w:rsidRPr="005B5241">
        <w:rPr>
          <w:rStyle w:val="normaltextrun"/>
          <w:rFonts w:ascii="Cambria" w:hAnsi="Cambria"/>
          <w:b/>
          <w:bCs/>
          <w:sz w:val="20"/>
          <w:shd w:val="clear" w:color="auto" w:fill="FFFFFF"/>
        </w:rPr>
        <w:t>annexe 1</w:t>
      </w:r>
      <w:r w:rsidRPr="005B5241">
        <w:rPr>
          <w:rStyle w:val="normaltextrun"/>
          <w:rFonts w:ascii="Cambria" w:hAnsi="Cambria"/>
          <w:sz w:val="20"/>
          <w:shd w:val="clear" w:color="auto" w:fill="FFFFFF"/>
        </w:rPr>
        <w:t>, ou d'approches alternatives, pour déterminer le volume de rétention autorisé du requin-taupe bleu de l'Atlantique Nord à l'avenir.</w:t>
      </w:r>
      <w:r w:rsidR="00BA1725" w:rsidRPr="005B5241">
        <w:rPr>
          <w:rStyle w:val="normaltextrun"/>
          <w:sz w:val="20"/>
          <w:szCs w:val="20"/>
          <w:shd w:val="clear" w:color="auto" w:fill="FFFFFF"/>
        </w:rPr>
        <w:t xml:space="preserve"> </w:t>
      </w:r>
      <w:r w:rsidR="00F548DA" w:rsidRPr="005B5241">
        <w:rPr>
          <w:rFonts w:ascii="Cambria" w:hAnsi="Cambria"/>
          <w:sz w:val="20"/>
          <w:szCs w:val="20"/>
          <w:shd w:val="clear" w:color="auto" w:fill="FFFFFF"/>
        </w:rPr>
        <w:t>Toute autre approche devra prendre en considération, entre autres facteurs, les contributions relatives réalisées par les CPC pour conserver, gérer et rétablir le stock (y compris la performance d'une CPC en matière de réduction de sa mortalité conformément aux objectifs des antérieures Recommandations 17-08 et 19-06</w:t>
      </w:r>
      <w:r w:rsidR="00217039" w:rsidRPr="005B5241">
        <w:rPr>
          <w:rFonts w:ascii="Cambria" w:hAnsi="Cambria"/>
          <w:sz w:val="20"/>
          <w:szCs w:val="20"/>
          <w:shd w:val="clear" w:color="auto" w:fill="FFFFFF"/>
        </w:rPr>
        <w:t xml:space="preserve"> de l’ICCAT</w:t>
      </w:r>
      <w:r w:rsidR="00F548DA" w:rsidRPr="005B5241">
        <w:rPr>
          <w:rFonts w:ascii="Cambria" w:hAnsi="Cambria"/>
          <w:sz w:val="20"/>
          <w:szCs w:val="20"/>
          <w:shd w:val="clear" w:color="auto" w:fill="FFFFFF"/>
        </w:rPr>
        <w:t>) et d'autres critères tels que définis dans la Résolution 15-13, ainsi que la nécessité de continuer à inciter la responsabilité individuelle des CPC à réaliser des réductions de la mortalité par pêche conformes aux objectifs de ce programme de rétablissement.</w:t>
      </w:r>
      <w:r w:rsidR="00F548DA" w:rsidRPr="005B5241">
        <w:rPr>
          <w:rStyle w:val="normaltextrun"/>
          <w:rFonts w:ascii="Cambria" w:hAnsi="Cambria"/>
          <w:sz w:val="20"/>
          <w:szCs w:val="20"/>
          <w:shd w:val="clear" w:color="auto" w:fill="FFFFFF"/>
        </w:rPr>
        <w:t xml:space="preserve"> </w:t>
      </w:r>
      <w:r w:rsidRPr="005B5241">
        <w:rPr>
          <w:rFonts w:ascii="Cambria" w:hAnsi="Cambria"/>
          <w:sz w:val="20"/>
        </w:rPr>
        <w:t xml:space="preserve">Pour </w:t>
      </w:r>
      <w:r w:rsidR="00217039" w:rsidRPr="005B5241">
        <w:rPr>
          <w:rFonts w:ascii="Cambria" w:hAnsi="Cambria"/>
          <w:sz w:val="20"/>
        </w:rPr>
        <w:t>l’</w:t>
      </w:r>
      <w:r w:rsidRPr="005B5241">
        <w:rPr>
          <w:rFonts w:ascii="Cambria" w:hAnsi="Cambria"/>
          <w:sz w:val="20"/>
        </w:rPr>
        <w:t>aider dans ces travaux, le SCRS devra, le cas échéant, fournir à la Commission des estimations de la mortalité après la remise à l'eau et, si nécessaire, des estimations des rejets morts, en tenant compte des données soumises par les CPC et d'autres informations et analyses pertinentes.</w:t>
      </w:r>
    </w:p>
    <w:p w14:paraId="3598B6A3" w14:textId="77777777" w:rsidR="00C53562" w:rsidRPr="005B5241" w:rsidRDefault="00C53562" w:rsidP="00C53562">
      <w:pPr>
        <w:pStyle w:val="ListParagraph"/>
        <w:ind w:left="852"/>
        <w:jc w:val="both"/>
        <w:textAlignment w:val="baseline"/>
        <w:rPr>
          <w:rFonts w:eastAsia="Calibri" w:cs="Times New Roman"/>
          <w:sz w:val="20"/>
          <w:lang w:eastAsia="en-GB"/>
        </w:rPr>
      </w:pPr>
    </w:p>
    <w:p w14:paraId="004F8327" w14:textId="79B368DD" w:rsidR="00F548DA" w:rsidRPr="005B5241" w:rsidRDefault="00C5192F" w:rsidP="00C53562">
      <w:pPr>
        <w:pStyle w:val="gmail-m-5908448473476167748paragraph"/>
        <w:spacing w:before="0" w:beforeAutospacing="0" w:after="0" w:afterAutospacing="0"/>
        <w:ind w:left="851" w:hanging="491"/>
        <w:jc w:val="both"/>
        <w:textAlignment w:val="baseline"/>
        <w:rPr>
          <w:rFonts w:asciiTheme="minorHAnsi" w:eastAsiaTheme="minorEastAsia" w:hAnsiTheme="minorHAnsi" w:cstheme="minorBidi"/>
          <w:sz w:val="20"/>
          <w:szCs w:val="20"/>
          <w:lang w:val="fr-FR" w:eastAsia="ja-JP"/>
        </w:rPr>
      </w:pPr>
      <w:r w:rsidRPr="005B5241">
        <w:rPr>
          <w:rFonts w:ascii="Cambria" w:hAnsi="Cambria"/>
          <w:sz w:val="20"/>
          <w:lang w:val="fr-FR"/>
        </w:rPr>
        <w:t>b)</w:t>
      </w:r>
      <w:r w:rsidRPr="005B5241">
        <w:rPr>
          <w:rFonts w:ascii="Cambria" w:hAnsi="Cambria"/>
          <w:sz w:val="20"/>
          <w:lang w:val="fr-FR"/>
        </w:rPr>
        <w:tab/>
      </w:r>
      <w:r w:rsidR="00574C32" w:rsidRPr="005B5241">
        <w:rPr>
          <w:rFonts w:ascii="Cambria" w:hAnsi="Cambria"/>
          <w:sz w:val="20"/>
          <w:lang w:val="fr-FR"/>
        </w:rPr>
        <w:t xml:space="preserve">Nonobstant les dispositions du paragraphe </w:t>
      </w:r>
      <w:r w:rsidR="00C53562" w:rsidRPr="005B5241">
        <w:rPr>
          <w:rFonts w:ascii="Cambria" w:hAnsi="Cambria"/>
          <w:sz w:val="20"/>
          <w:lang w:val="fr-FR"/>
        </w:rPr>
        <w:t>3</w:t>
      </w:r>
      <w:r w:rsidR="00574C32" w:rsidRPr="005B5241">
        <w:rPr>
          <w:rFonts w:ascii="Cambria" w:hAnsi="Cambria"/>
          <w:sz w:val="20"/>
          <w:lang w:val="fr-FR"/>
        </w:rPr>
        <w:t>, e</w:t>
      </w:r>
      <w:r w:rsidRPr="005B5241">
        <w:rPr>
          <w:rFonts w:ascii="Cambria" w:hAnsi="Cambria"/>
          <w:sz w:val="20"/>
          <w:lang w:val="fr-FR"/>
        </w:rPr>
        <w:t>n 2022, le SCRS utilisera l'</w:t>
      </w:r>
      <w:r w:rsidRPr="005B5241">
        <w:rPr>
          <w:rFonts w:ascii="Cambria" w:hAnsi="Cambria"/>
          <w:b/>
          <w:bCs/>
          <w:sz w:val="20"/>
          <w:lang w:val="fr-FR"/>
        </w:rPr>
        <w:t>annexe 1</w:t>
      </w:r>
      <w:r w:rsidRPr="005B5241">
        <w:rPr>
          <w:rFonts w:ascii="Cambria" w:hAnsi="Cambria"/>
          <w:sz w:val="20"/>
          <w:lang w:val="fr-FR"/>
        </w:rPr>
        <w:t xml:space="preserve"> pour calculer la rétention possible autorisée en 2023 et fournira les résultats à la Commission, qui devra alors valider le volume de toute rétention autorisée en 2023.</w:t>
      </w:r>
    </w:p>
    <w:p w14:paraId="2A9BA764" w14:textId="77777777" w:rsidR="004C775E" w:rsidRPr="005B5241" w:rsidRDefault="004C775E" w:rsidP="00C53562">
      <w:pPr>
        <w:ind w:left="851" w:hanging="491"/>
        <w:jc w:val="both"/>
        <w:textAlignment w:val="baseline"/>
        <w:rPr>
          <w:rFonts w:ascii="Cambria" w:hAnsi="Cambria"/>
          <w:sz w:val="20"/>
        </w:rPr>
      </w:pPr>
    </w:p>
    <w:p w14:paraId="0A81224F" w14:textId="77777777" w:rsidR="004C775E" w:rsidRPr="005B5241" w:rsidRDefault="004C775E" w:rsidP="00C53562">
      <w:pPr>
        <w:rPr>
          <w:rFonts w:ascii="Cambria" w:hAnsi="Cambria"/>
          <w:sz w:val="20"/>
        </w:rPr>
      </w:pPr>
      <w:r w:rsidRPr="005B5241">
        <w:rPr>
          <w:rFonts w:ascii="Cambria" w:hAnsi="Cambria"/>
          <w:sz w:val="20"/>
        </w:rPr>
        <w:br w:type="page"/>
      </w:r>
    </w:p>
    <w:p w14:paraId="05670EB7" w14:textId="540E9D88" w:rsidR="00F548DA" w:rsidRPr="005B5241" w:rsidRDefault="00C5192F" w:rsidP="00C53562">
      <w:pPr>
        <w:ind w:left="851" w:hanging="491"/>
        <w:jc w:val="both"/>
        <w:textAlignment w:val="baseline"/>
        <w:rPr>
          <w:sz w:val="20"/>
          <w:szCs w:val="20"/>
        </w:rPr>
      </w:pPr>
      <w:r w:rsidRPr="005B5241">
        <w:rPr>
          <w:rFonts w:ascii="Cambria" w:hAnsi="Cambria"/>
          <w:sz w:val="20"/>
        </w:rPr>
        <w:lastRenderedPageBreak/>
        <w:t>c)</w:t>
      </w:r>
      <w:r w:rsidRPr="005B5241">
        <w:rPr>
          <w:rFonts w:ascii="Cambria" w:hAnsi="Cambria"/>
          <w:sz w:val="20"/>
        </w:rPr>
        <w:tab/>
        <w:t>À partir de 2023 et chaque année par la suite, le SCRS utilisera l'</w:t>
      </w:r>
      <w:r w:rsidRPr="005B5241">
        <w:rPr>
          <w:rFonts w:ascii="Cambria" w:hAnsi="Cambria"/>
          <w:b/>
          <w:bCs/>
          <w:sz w:val="20"/>
        </w:rPr>
        <w:t>annexe 1</w:t>
      </w:r>
      <w:r w:rsidRPr="005B5241">
        <w:rPr>
          <w:rFonts w:ascii="Cambria" w:hAnsi="Cambria"/>
          <w:sz w:val="20"/>
        </w:rPr>
        <w:t xml:space="preserve">, à moins qu'une autre approche du calcul de la rétention future autorisée ne soit convenue (conformément au paragraphe </w:t>
      </w:r>
      <w:r w:rsidR="004E2A15" w:rsidRPr="005B5241">
        <w:rPr>
          <w:rFonts w:ascii="Cambria" w:hAnsi="Cambria"/>
          <w:sz w:val="20"/>
        </w:rPr>
        <w:t>5</w:t>
      </w:r>
      <w:r w:rsidRPr="005B5241">
        <w:rPr>
          <w:rFonts w:ascii="Cambria" w:hAnsi="Cambria"/>
          <w:sz w:val="20"/>
        </w:rPr>
        <w:t>(a)), afin de calculer un niveau possible de rétention, y compris les tolérances de rétention individuelles des CPC éligibles, autorisé l'année suivante, et fournira les résultats à la Commission</w:t>
      </w:r>
      <w:r w:rsidR="00F548DA" w:rsidRPr="005B5241">
        <w:rPr>
          <w:sz w:val="20"/>
          <w:szCs w:val="20"/>
        </w:rPr>
        <w:t>.</w:t>
      </w:r>
    </w:p>
    <w:p w14:paraId="6A3252F8" w14:textId="77777777" w:rsidR="00217039" w:rsidRPr="005B5241" w:rsidRDefault="00217039" w:rsidP="00C53562">
      <w:pPr>
        <w:ind w:left="851" w:hanging="491"/>
        <w:jc w:val="both"/>
        <w:textAlignment w:val="baseline"/>
        <w:rPr>
          <w:rStyle w:val="normaltextrun"/>
          <w:sz w:val="20"/>
          <w:szCs w:val="20"/>
          <w:lang w:eastAsia="ja-JP"/>
        </w:rPr>
      </w:pPr>
    </w:p>
    <w:p w14:paraId="1EE6A427" w14:textId="7F02C39C" w:rsidR="00F548DA" w:rsidRPr="005B5241" w:rsidRDefault="00C5192F" w:rsidP="00C53562">
      <w:pPr>
        <w:ind w:left="851" w:hanging="425"/>
        <w:contextualSpacing/>
        <w:jc w:val="both"/>
        <w:rPr>
          <w:rFonts w:ascii="Cambria" w:hAnsi="Cambria"/>
          <w:sz w:val="20"/>
          <w:szCs w:val="20"/>
        </w:rPr>
      </w:pPr>
      <w:r w:rsidRPr="005B5241">
        <w:rPr>
          <w:rFonts w:ascii="Cambria" w:eastAsia="Times New Roman" w:hAnsi="Cambria" w:cs="Times New Roman"/>
          <w:sz w:val="20"/>
        </w:rPr>
        <w:t>d)</w:t>
      </w:r>
      <w:r w:rsidRPr="005B5241">
        <w:rPr>
          <w:rFonts w:ascii="Cambria" w:eastAsia="Times New Roman" w:hAnsi="Cambria" w:cs="Times New Roman"/>
          <w:sz w:val="20"/>
        </w:rPr>
        <w:tab/>
        <w:t xml:space="preserve">À partir de 2023 et chaque année par la suite, la Commission devra valider le volume de rétention autorisé l'année suivante, sur la base de l'avis du SCRS conformément au paragraphe </w:t>
      </w:r>
      <w:r w:rsidR="004E2A15" w:rsidRPr="005B5241">
        <w:rPr>
          <w:rFonts w:ascii="Cambria" w:eastAsia="Times New Roman" w:hAnsi="Cambria" w:cs="Times New Roman"/>
          <w:sz w:val="20"/>
        </w:rPr>
        <w:t>5</w:t>
      </w:r>
      <w:r w:rsidRPr="005B5241">
        <w:rPr>
          <w:rFonts w:ascii="Cambria" w:eastAsia="Times New Roman" w:hAnsi="Cambria" w:cs="Times New Roman"/>
          <w:sz w:val="20"/>
        </w:rPr>
        <w:t>(c).</w:t>
      </w:r>
    </w:p>
    <w:p w14:paraId="05A826D6" w14:textId="77777777" w:rsidR="00F548DA" w:rsidRPr="005B5241" w:rsidRDefault="00F548DA" w:rsidP="00C53562">
      <w:pPr>
        <w:pStyle w:val="gmail-m-5908448473476167748paragraph"/>
        <w:spacing w:before="0" w:beforeAutospacing="0" w:after="0" w:afterAutospacing="0"/>
        <w:ind w:left="420" w:hanging="420"/>
        <w:contextualSpacing/>
        <w:jc w:val="both"/>
        <w:textAlignment w:val="baseline"/>
        <w:rPr>
          <w:rFonts w:asciiTheme="minorHAnsi" w:eastAsiaTheme="minorEastAsia" w:hAnsiTheme="minorHAnsi" w:cstheme="minorBidi"/>
          <w:sz w:val="20"/>
          <w:szCs w:val="20"/>
          <w:lang w:val="fr-FR" w:eastAsia="en-US"/>
        </w:rPr>
      </w:pPr>
    </w:p>
    <w:p w14:paraId="3BD4A2CE" w14:textId="37961C76" w:rsidR="00A86DE1" w:rsidRPr="005B5241" w:rsidRDefault="00C53562" w:rsidP="00C53562">
      <w:pPr>
        <w:tabs>
          <w:tab w:val="left" w:pos="567"/>
          <w:tab w:val="left" w:pos="709"/>
        </w:tabs>
        <w:ind w:left="567" w:hanging="567"/>
        <w:jc w:val="both"/>
        <w:rPr>
          <w:sz w:val="20"/>
          <w:szCs w:val="20"/>
        </w:rPr>
      </w:pPr>
      <w:r w:rsidRPr="005B5241">
        <w:rPr>
          <w:sz w:val="20"/>
          <w:szCs w:val="20"/>
        </w:rPr>
        <w:t>6</w:t>
      </w:r>
      <w:r w:rsidR="007B7C54" w:rsidRPr="005B5241">
        <w:rPr>
          <w:sz w:val="20"/>
          <w:szCs w:val="20"/>
        </w:rPr>
        <w:t xml:space="preserve"> </w:t>
      </w:r>
      <w:r w:rsidR="0033388B" w:rsidRPr="005B5241">
        <w:rPr>
          <w:sz w:val="20"/>
          <w:szCs w:val="20"/>
        </w:rPr>
        <w:tab/>
      </w:r>
      <w:r w:rsidR="007B7C54" w:rsidRPr="005B5241">
        <w:rPr>
          <w:sz w:val="20"/>
          <w:szCs w:val="20"/>
        </w:rPr>
        <w:t xml:space="preserve">Les CPC </w:t>
      </w:r>
      <w:r w:rsidR="00D1198A" w:rsidRPr="005B5241">
        <w:rPr>
          <w:sz w:val="20"/>
          <w:szCs w:val="20"/>
        </w:rPr>
        <w:t xml:space="preserve">dont les navires de pêche retiennent du requin-taupe bleu de l’Atlantique Nord </w:t>
      </w:r>
      <w:r w:rsidR="007B7C54" w:rsidRPr="005B5241">
        <w:rPr>
          <w:sz w:val="20"/>
          <w:szCs w:val="20"/>
        </w:rPr>
        <w:t xml:space="preserve">devront interdire de transborder, en totalité ou en partie, le requin-taupe bleu de l'Atlantique Nord capturé en association avec </w:t>
      </w:r>
      <w:r w:rsidR="00FF50B5" w:rsidRPr="005B5241">
        <w:rPr>
          <w:sz w:val="20"/>
          <w:szCs w:val="20"/>
        </w:rPr>
        <w:t>les</w:t>
      </w:r>
      <w:r w:rsidR="007B7C54" w:rsidRPr="005B5241">
        <w:rPr>
          <w:sz w:val="20"/>
          <w:szCs w:val="20"/>
        </w:rPr>
        <w:t xml:space="preserve"> pêcheries de l'ICCAT.</w:t>
      </w:r>
    </w:p>
    <w:p w14:paraId="6776905A" w14:textId="77777777" w:rsidR="00A86DE1" w:rsidRPr="005B5241" w:rsidRDefault="00A86DE1" w:rsidP="00C53562">
      <w:pPr>
        <w:tabs>
          <w:tab w:val="left" w:pos="426"/>
        </w:tabs>
        <w:ind w:left="426" w:hanging="426"/>
        <w:jc w:val="both"/>
        <w:rPr>
          <w:sz w:val="20"/>
          <w:szCs w:val="20"/>
        </w:rPr>
      </w:pPr>
    </w:p>
    <w:p w14:paraId="510A5E3C" w14:textId="38A0C255" w:rsidR="009F2AB3" w:rsidRPr="005B5241" w:rsidRDefault="00C53562" w:rsidP="00C53562">
      <w:pPr>
        <w:tabs>
          <w:tab w:val="left" w:pos="426"/>
        </w:tabs>
        <w:ind w:left="426" w:hanging="426"/>
        <w:jc w:val="both"/>
        <w:rPr>
          <w:sz w:val="20"/>
          <w:szCs w:val="20"/>
        </w:rPr>
      </w:pPr>
      <w:r w:rsidRPr="005B5241">
        <w:rPr>
          <w:sz w:val="20"/>
          <w:szCs w:val="20"/>
        </w:rPr>
        <w:t>7</w:t>
      </w:r>
      <w:r w:rsidR="00BB02C1" w:rsidRPr="005B5241">
        <w:rPr>
          <w:sz w:val="20"/>
          <w:szCs w:val="20"/>
        </w:rPr>
        <w:t>.</w:t>
      </w:r>
      <w:r w:rsidR="00BB02C1" w:rsidRPr="005B5241">
        <w:rPr>
          <w:sz w:val="20"/>
          <w:szCs w:val="20"/>
        </w:rPr>
        <w:tab/>
      </w:r>
      <w:r w:rsidR="00052742" w:rsidRPr="005B5241">
        <w:rPr>
          <w:sz w:val="20"/>
          <w:szCs w:val="20"/>
        </w:rPr>
        <w:t>Toute</w:t>
      </w:r>
      <w:r w:rsidR="002315C1" w:rsidRPr="005B5241">
        <w:rPr>
          <w:sz w:val="20"/>
          <w:szCs w:val="20"/>
        </w:rPr>
        <w:t xml:space="preserve"> rétention </w:t>
      </w:r>
      <w:r w:rsidR="00B81665" w:rsidRPr="005B5241">
        <w:rPr>
          <w:sz w:val="20"/>
          <w:szCs w:val="20"/>
        </w:rPr>
        <w:t>admissible</w:t>
      </w:r>
      <w:r w:rsidR="00052742" w:rsidRPr="005B5241">
        <w:rPr>
          <w:sz w:val="20"/>
          <w:szCs w:val="20"/>
        </w:rPr>
        <w:t xml:space="preserve"> c</w:t>
      </w:r>
      <w:r w:rsidR="002315C1" w:rsidRPr="005B5241">
        <w:rPr>
          <w:sz w:val="20"/>
          <w:szCs w:val="20"/>
        </w:rPr>
        <w:t xml:space="preserve">onformément au paragraphe </w:t>
      </w:r>
      <w:r w:rsidR="004E2A15" w:rsidRPr="005B5241">
        <w:rPr>
          <w:sz w:val="20"/>
          <w:szCs w:val="20"/>
        </w:rPr>
        <w:t>5</w:t>
      </w:r>
      <w:r w:rsidR="002315C1" w:rsidRPr="005B5241">
        <w:rPr>
          <w:sz w:val="20"/>
          <w:szCs w:val="20"/>
        </w:rPr>
        <w:t xml:space="preserve"> ne devra être autorisée que lorsque</w:t>
      </w:r>
      <w:r w:rsidR="002778D9" w:rsidRPr="005B5241">
        <w:rPr>
          <w:sz w:val="20"/>
          <w:szCs w:val="20"/>
        </w:rPr>
        <w:t xml:space="preserve"> </w:t>
      </w:r>
      <w:r w:rsidR="002315C1" w:rsidRPr="005B5241">
        <w:rPr>
          <w:sz w:val="20"/>
          <w:szCs w:val="20"/>
        </w:rPr>
        <w:t xml:space="preserve">le poisson est mort au moment de la remontée et </w:t>
      </w:r>
      <w:r w:rsidR="002778D9" w:rsidRPr="005B5241">
        <w:rPr>
          <w:sz w:val="20"/>
          <w:szCs w:val="20"/>
        </w:rPr>
        <w:t xml:space="preserve">que </w:t>
      </w:r>
      <w:r w:rsidR="002315C1" w:rsidRPr="005B5241">
        <w:rPr>
          <w:sz w:val="20"/>
          <w:szCs w:val="20"/>
        </w:rPr>
        <w:t>le navire dispose d'un observateur ou d'un système de surveillance électronique</w:t>
      </w:r>
      <w:r w:rsidR="0033388B" w:rsidRPr="005B5241">
        <w:rPr>
          <w:sz w:val="20"/>
          <w:szCs w:val="20"/>
        </w:rPr>
        <w:t xml:space="preserve"> </w:t>
      </w:r>
      <w:r w:rsidR="00A40BE7" w:rsidRPr="005B5241">
        <w:rPr>
          <w:sz w:val="20"/>
          <w:szCs w:val="20"/>
        </w:rPr>
        <w:t xml:space="preserve">(EMS) </w:t>
      </w:r>
      <w:r w:rsidR="002315C1" w:rsidRPr="005B5241">
        <w:rPr>
          <w:sz w:val="20"/>
          <w:szCs w:val="20"/>
        </w:rPr>
        <w:t>opérationnel à bord pour vérifier l'état des requins</w:t>
      </w:r>
      <w:r w:rsidR="009F2AB3" w:rsidRPr="005B5241">
        <w:rPr>
          <w:sz w:val="20"/>
          <w:szCs w:val="20"/>
        </w:rPr>
        <w:t>.</w:t>
      </w:r>
    </w:p>
    <w:p w14:paraId="07A01651" w14:textId="77777777" w:rsidR="00A40BE7" w:rsidRPr="005B5241" w:rsidRDefault="00A40BE7" w:rsidP="00C53562">
      <w:pPr>
        <w:ind w:left="851" w:hanging="425"/>
        <w:jc w:val="both"/>
        <w:rPr>
          <w:sz w:val="20"/>
          <w:szCs w:val="20"/>
        </w:rPr>
      </w:pPr>
    </w:p>
    <w:p w14:paraId="671AA91E" w14:textId="35A4A022" w:rsidR="009F2AB3" w:rsidRPr="005B5241" w:rsidRDefault="009F2AB3" w:rsidP="00C53562">
      <w:pPr>
        <w:ind w:left="851" w:hanging="425"/>
        <w:jc w:val="both"/>
        <w:rPr>
          <w:rFonts w:ascii="Cambria" w:hAnsi="Cambria"/>
          <w:sz w:val="20"/>
        </w:rPr>
      </w:pPr>
      <w:r w:rsidRPr="005B5241">
        <w:rPr>
          <w:sz w:val="20"/>
          <w:szCs w:val="20"/>
        </w:rPr>
        <w:t>a)</w:t>
      </w:r>
      <w:r w:rsidRPr="005B5241">
        <w:rPr>
          <w:sz w:val="20"/>
          <w:szCs w:val="20"/>
        </w:rPr>
        <w:tab/>
      </w:r>
      <w:r w:rsidR="00C22137" w:rsidRPr="005B5241">
        <w:rPr>
          <w:sz w:val="20"/>
          <w:szCs w:val="20"/>
        </w:rPr>
        <w:t>L</w:t>
      </w:r>
      <w:r w:rsidRPr="005B5241">
        <w:rPr>
          <w:sz w:val="20"/>
          <w:szCs w:val="20"/>
        </w:rPr>
        <w:t xml:space="preserve">es </w:t>
      </w:r>
      <w:r w:rsidR="00BB02C1" w:rsidRPr="005B5241">
        <w:rPr>
          <w:rFonts w:ascii="Cambria" w:hAnsi="Cambria"/>
          <w:sz w:val="20"/>
        </w:rPr>
        <w:t xml:space="preserve">navires de </w:t>
      </w:r>
      <w:r w:rsidR="001955CF" w:rsidRPr="005B5241">
        <w:rPr>
          <w:rFonts w:ascii="Cambria" w:hAnsi="Cambria"/>
          <w:sz w:val="20"/>
        </w:rPr>
        <w:t>12</w:t>
      </w:r>
      <w:r w:rsidR="00BB02C1" w:rsidRPr="005B5241">
        <w:rPr>
          <w:rFonts w:ascii="Cambria" w:hAnsi="Cambria"/>
          <w:sz w:val="20"/>
        </w:rPr>
        <w:t xml:space="preserve"> mètres ou moins ne pourront </w:t>
      </w:r>
      <w:r w:rsidR="007D6C74" w:rsidRPr="005B5241">
        <w:rPr>
          <w:rFonts w:ascii="Cambria" w:hAnsi="Cambria"/>
          <w:sz w:val="20"/>
        </w:rPr>
        <w:t xml:space="preserve">pas </w:t>
      </w:r>
      <w:r w:rsidR="00BB02C1" w:rsidRPr="005B5241">
        <w:rPr>
          <w:rFonts w:ascii="Cambria" w:hAnsi="Cambria"/>
          <w:sz w:val="20"/>
        </w:rPr>
        <w:t xml:space="preserve">retenir plus d’un spécimen de requin-taupe bleu de l'Atlantique Nord au cours d'une sortie de pêche. </w:t>
      </w:r>
    </w:p>
    <w:p w14:paraId="3AC9D852" w14:textId="77777777" w:rsidR="00C53562" w:rsidRPr="005B5241" w:rsidRDefault="00C53562" w:rsidP="00C53562">
      <w:pPr>
        <w:ind w:left="851" w:hanging="425"/>
        <w:jc w:val="both"/>
        <w:rPr>
          <w:rFonts w:ascii="Cambria" w:hAnsi="Cambria"/>
          <w:sz w:val="20"/>
        </w:rPr>
      </w:pPr>
    </w:p>
    <w:p w14:paraId="2A257918" w14:textId="55CE5C98" w:rsidR="00BB02C1" w:rsidRPr="005B5241" w:rsidRDefault="009F2AB3" w:rsidP="00C53562">
      <w:pPr>
        <w:ind w:left="851" w:hanging="425"/>
        <w:jc w:val="both"/>
        <w:rPr>
          <w:rFonts w:ascii="Cambria" w:hAnsi="Cambria"/>
          <w:sz w:val="20"/>
        </w:rPr>
      </w:pPr>
      <w:r w:rsidRPr="005B5241">
        <w:rPr>
          <w:rFonts w:ascii="Cambria" w:hAnsi="Cambria"/>
          <w:sz w:val="20"/>
        </w:rPr>
        <w:t>b)</w:t>
      </w:r>
      <w:r w:rsidRPr="005B5241">
        <w:rPr>
          <w:rFonts w:ascii="Cambria" w:hAnsi="Cambria"/>
          <w:sz w:val="20"/>
        </w:rPr>
        <w:tab/>
      </w:r>
      <w:r w:rsidR="00BB02C1" w:rsidRPr="005B5241">
        <w:rPr>
          <w:rFonts w:ascii="Cambria" w:hAnsi="Cambria"/>
          <w:sz w:val="20"/>
        </w:rPr>
        <w:t>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w:t>
      </w:r>
    </w:p>
    <w:p w14:paraId="10994BD9" w14:textId="7AA3684E" w:rsidR="003C45AD" w:rsidRPr="005B5241" w:rsidRDefault="003C45AD" w:rsidP="00C53562">
      <w:pPr>
        <w:pStyle w:val="ListParagraph"/>
        <w:tabs>
          <w:tab w:val="left" w:pos="426"/>
        </w:tabs>
        <w:ind w:left="426"/>
        <w:jc w:val="both"/>
        <w:rPr>
          <w:rFonts w:eastAsia="Times New Roman"/>
          <w:sz w:val="20"/>
          <w:szCs w:val="20"/>
        </w:rPr>
      </w:pPr>
    </w:p>
    <w:p w14:paraId="41CAEA5A" w14:textId="39E6D8B3" w:rsidR="00AF6568" w:rsidRPr="005B5241" w:rsidRDefault="00C53562" w:rsidP="007B2021">
      <w:pPr>
        <w:ind w:left="426" w:hanging="426"/>
        <w:jc w:val="both"/>
        <w:rPr>
          <w:sz w:val="20"/>
          <w:szCs w:val="20"/>
        </w:rPr>
      </w:pPr>
      <w:r w:rsidRPr="005B5241">
        <w:rPr>
          <w:sz w:val="20"/>
          <w:szCs w:val="20"/>
        </w:rPr>
        <w:t>8</w:t>
      </w:r>
      <w:r w:rsidR="009A4F3A" w:rsidRPr="005B5241">
        <w:rPr>
          <w:sz w:val="20"/>
          <w:szCs w:val="20"/>
        </w:rPr>
        <w:t xml:space="preserve">. </w:t>
      </w:r>
      <w:r w:rsidR="009A4F3A" w:rsidRPr="005B5241">
        <w:rPr>
          <w:sz w:val="20"/>
          <w:szCs w:val="20"/>
        </w:rPr>
        <w:tab/>
      </w:r>
      <w:r w:rsidR="00AF1F7F" w:rsidRPr="005B5241">
        <w:rPr>
          <w:sz w:val="20"/>
          <w:szCs w:val="20"/>
        </w:rPr>
        <w:t xml:space="preserve">Les paragraphes </w:t>
      </w:r>
      <w:r w:rsidRPr="005B5241">
        <w:rPr>
          <w:sz w:val="20"/>
          <w:szCs w:val="20"/>
        </w:rPr>
        <w:t>3 à 7</w:t>
      </w:r>
      <w:r w:rsidR="009A4F3A" w:rsidRPr="005B5241">
        <w:rPr>
          <w:sz w:val="20"/>
          <w:szCs w:val="20"/>
        </w:rPr>
        <w:t xml:space="preserve"> ne devr</w:t>
      </w:r>
      <w:r w:rsidR="00AF1F7F" w:rsidRPr="005B5241">
        <w:rPr>
          <w:sz w:val="20"/>
          <w:szCs w:val="20"/>
        </w:rPr>
        <w:t>ont</w:t>
      </w:r>
      <w:r w:rsidR="009A4F3A" w:rsidRPr="005B5241">
        <w:rPr>
          <w:sz w:val="20"/>
          <w:szCs w:val="20"/>
        </w:rPr>
        <w:t xml:space="preserve"> pas s'appliquer </w:t>
      </w:r>
      <w:r w:rsidR="00574C32" w:rsidRPr="005B5241">
        <w:rPr>
          <w:sz w:val="20"/>
          <w:szCs w:val="20"/>
        </w:rPr>
        <w:t xml:space="preserve">à l’Islande </w:t>
      </w:r>
      <w:r w:rsidR="00FF50B5" w:rsidRPr="005B5241">
        <w:rPr>
          <w:sz w:val="20"/>
          <w:szCs w:val="20"/>
        </w:rPr>
        <w:t xml:space="preserve">et </w:t>
      </w:r>
      <w:r w:rsidR="009A4F3A" w:rsidRPr="005B5241">
        <w:rPr>
          <w:sz w:val="20"/>
          <w:szCs w:val="20"/>
        </w:rPr>
        <w:t>à la Norvège dont le droit national exige que tout poisson mort soit débarqué, à condition que :</w:t>
      </w:r>
    </w:p>
    <w:p w14:paraId="208D5517" w14:textId="77777777" w:rsidR="00373FC8" w:rsidRPr="005B5241" w:rsidRDefault="00373FC8" w:rsidP="00C53562">
      <w:pPr>
        <w:jc w:val="both"/>
        <w:rPr>
          <w:color w:val="000000"/>
          <w:sz w:val="20"/>
          <w:szCs w:val="20"/>
        </w:rPr>
      </w:pPr>
    </w:p>
    <w:p w14:paraId="69061763" w14:textId="10B5D74C" w:rsidR="00AF6568" w:rsidRPr="005B5241" w:rsidRDefault="00AF6568" w:rsidP="00C53562">
      <w:pPr>
        <w:pStyle w:val="ListParagraph"/>
        <w:numPr>
          <w:ilvl w:val="0"/>
          <w:numId w:val="10"/>
        </w:numPr>
        <w:ind w:left="851" w:hanging="425"/>
        <w:jc w:val="both"/>
        <w:rPr>
          <w:color w:val="000000"/>
          <w:sz w:val="20"/>
          <w:szCs w:val="20"/>
        </w:rPr>
      </w:pPr>
      <w:r w:rsidRPr="005B5241">
        <w:rPr>
          <w:sz w:val="20"/>
          <w:szCs w:val="20"/>
        </w:rPr>
        <w:t xml:space="preserve">Le poisson </w:t>
      </w:r>
      <w:r w:rsidR="00FF50B5" w:rsidRPr="005B5241">
        <w:rPr>
          <w:sz w:val="20"/>
          <w:szCs w:val="20"/>
        </w:rPr>
        <w:t>soit</w:t>
      </w:r>
      <w:r w:rsidRPr="005B5241">
        <w:rPr>
          <w:sz w:val="20"/>
          <w:szCs w:val="20"/>
        </w:rPr>
        <w:t xml:space="preserve"> mort au moment de la remontée</w:t>
      </w:r>
      <w:r w:rsidR="007D6C74" w:rsidRPr="005B5241">
        <w:rPr>
          <w:sz w:val="20"/>
          <w:szCs w:val="20"/>
        </w:rPr>
        <w:t> ;</w:t>
      </w:r>
    </w:p>
    <w:p w14:paraId="334F94F3" w14:textId="0035A1D6" w:rsidR="00AF6568" w:rsidRPr="005B5241" w:rsidRDefault="00AF6568" w:rsidP="00C53562">
      <w:pPr>
        <w:pStyle w:val="ListParagraph"/>
        <w:numPr>
          <w:ilvl w:val="0"/>
          <w:numId w:val="10"/>
        </w:numPr>
        <w:ind w:left="851" w:hanging="425"/>
        <w:jc w:val="both"/>
        <w:rPr>
          <w:color w:val="000000"/>
          <w:sz w:val="20"/>
          <w:szCs w:val="20"/>
        </w:rPr>
      </w:pPr>
      <w:r w:rsidRPr="005B5241">
        <w:rPr>
          <w:sz w:val="20"/>
          <w:szCs w:val="20"/>
        </w:rPr>
        <w:t xml:space="preserve">La pêche dirigée sur le requin-taupe bleu </w:t>
      </w:r>
      <w:r w:rsidR="00FF50B5" w:rsidRPr="005B5241">
        <w:rPr>
          <w:sz w:val="20"/>
          <w:szCs w:val="20"/>
        </w:rPr>
        <w:t>soit</w:t>
      </w:r>
      <w:r w:rsidRPr="005B5241">
        <w:rPr>
          <w:sz w:val="20"/>
          <w:szCs w:val="20"/>
        </w:rPr>
        <w:t xml:space="preserve"> interdite ; </w:t>
      </w:r>
    </w:p>
    <w:p w14:paraId="40F98224" w14:textId="6608F317" w:rsidR="00AF6568" w:rsidRPr="005B5241" w:rsidRDefault="00AF6568" w:rsidP="00C53562">
      <w:pPr>
        <w:pStyle w:val="ListParagraph"/>
        <w:numPr>
          <w:ilvl w:val="0"/>
          <w:numId w:val="10"/>
        </w:numPr>
        <w:ind w:left="851" w:hanging="425"/>
        <w:jc w:val="both"/>
        <w:rPr>
          <w:color w:val="000000"/>
          <w:sz w:val="20"/>
          <w:szCs w:val="20"/>
        </w:rPr>
      </w:pPr>
      <w:r w:rsidRPr="005B5241">
        <w:rPr>
          <w:sz w:val="20"/>
          <w:szCs w:val="20"/>
        </w:rPr>
        <w:t xml:space="preserve">La quantité de requin-taupe bleu débarquée </w:t>
      </w:r>
      <w:r w:rsidR="00FF50B5" w:rsidRPr="005B5241">
        <w:rPr>
          <w:sz w:val="20"/>
          <w:szCs w:val="20"/>
        </w:rPr>
        <w:t>soit</w:t>
      </w:r>
      <w:r w:rsidRPr="005B5241">
        <w:rPr>
          <w:sz w:val="20"/>
          <w:szCs w:val="20"/>
        </w:rPr>
        <w:t xml:space="preserve"> déclarée dans la feuille de contrôle de la mise en œuvre des mesures s'appliquant aux requins de la CPC, comme l'exige la Rec. 18-06 et toute future version successive ou révision de celle-ci ; </w:t>
      </w:r>
    </w:p>
    <w:p w14:paraId="5C89A52E" w14:textId="48B990A1" w:rsidR="00AF6568" w:rsidRPr="005B5241" w:rsidRDefault="00B16545" w:rsidP="00C53562">
      <w:pPr>
        <w:pStyle w:val="ListParagraph"/>
        <w:numPr>
          <w:ilvl w:val="0"/>
          <w:numId w:val="10"/>
        </w:numPr>
        <w:ind w:left="851" w:hanging="425"/>
        <w:jc w:val="both"/>
        <w:rPr>
          <w:color w:val="000000"/>
          <w:sz w:val="20"/>
          <w:szCs w:val="20"/>
        </w:rPr>
      </w:pPr>
      <w:r w:rsidRPr="005B5241">
        <w:rPr>
          <w:sz w:val="20"/>
          <w:szCs w:val="20"/>
        </w:rPr>
        <w:t xml:space="preserve">Le </w:t>
      </w:r>
      <w:r w:rsidR="00635688" w:rsidRPr="005B5241">
        <w:rPr>
          <w:sz w:val="20"/>
          <w:szCs w:val="20"/>
        </w:rPr>
        <w:t>requin-taupe bleu de l'Atlantique Nord soit débarqué avec ses ailerons naturellement attachés</w:t>
      </w:r>
      <w:r w:rsidR="00B963D9" w:rsidRPr="005B5241">
        <w:rPr>
          <w:sz w:val="20"/>
          <w:szCs w:val="20"/>
        </w:rPr>
        <w:t> </w:t>
      </w:r>
      <w:r w:rsidR="00635688" w:rsidRPr="005B5241">
        <w:rPr>
          <w:sz w:val="20"/>
          <w:szCs w:val="20"/>
        </w:rPr>
        <w:t xml:space="preserve">; et </w:t>
      </w:r>
    </w:p>
    <w:p w14:paraId="43D829B4" w14:textId="4AB1DDE7" w:rsidR="007E4C9C" w:rsidRPr="005B5241" w:rsidRDefault="00CB4301" w:rsidP="00C53562">
      <w:pPr>
        <w:pStyle w:val="ListParagraph"/>
        <w:numPr>
          <w:ilvl w:val="0"/>
          <w:numId w:val="10"/>
        </w:numPr>
        <w:ind w:left="851" w:hanging="425"/>
        <w:jc w:val="both"/>
        <w:rPr>
          <w:color w:val="000000"/>
          <w:sz w:val="20"/>
          <w:szCs w:val="20"/>
        </w:rPr>
      </w:pPr>
      <w:r w:rsidRPr="005B5241">
        <w:rPr>
          <w:sz w:val="20"/>
          <w:szCs w:val="20"/>
        </w:rPr>
        <w:t xml:space="preserve">Il </w:t>
      </w:r>
      <w:r w:rsidR="00FF50B5" w:rsidRPr="005B5241">
        <w:rPr>
          <w:sz w:val="20"/>
          <w:szCs w:val="20"/>
        </w:rPr>
        <w:t>soit</w:t>
      </w:r>
      <w:r w:rsidRPr="005B5241">
        <w:rPr>
          <w:sz w:val="20"/>
          <w:szCs w:val="20"/>
        </w:rPr>
        <w:t xml:space="preserve"> interdit aux pêcheurs de tirer une quelconque valeur commerciale de ces poissons</w:t>
      </w:r>
      <w:r w:rsidR="00B16545" w:rsidRPr="005B5241">
        <w:rPr>
          <w:sz w:val="20"/>
          <w:szCs w:val="20"/>
        </w:rPr>
        <w:t>.</w:t>
      </w:r>
    </w:p>
    <w:p w14:paraId="1A47F1DD" w14:textId="77777777" w:rsidR="0039673F" w:rsidRPr="005B5241" w:rsidRDefault="0039673F" w:rsidP="00C53562">
      <w:pPr>
        <w:jc w:val="both"/>
        <w:rPr>
          <w:color w:val="000000"/>
          <w:sz w:val="20"/>
          <w:szCs w:val="20"/>
        </w:rPr>
      </w:pPr>
    </w:p>
    <w:p w14:paraId="6F8DB3E5" w14:textId="0C7DA961" w:rsidR="00AF6568" w:rsidRPr="005B5241" w:rsidRDefault="00AF6568" w:rsidP="00C53562">
      <w:pPr>
        <w:jc w:val="both"/>
        <w:rPr>
          <w:rFonts w:cs="Times New Roman"/>
          <w:b/>
          <w:color w:val="000000"/>
          <w:sz w:val="20"/>
          <w:szCs w:val="20"/>
        </w:rPr>
      </w:pPr>
      <w:r w:rsidRPr="005B5241">
        <w:rPr>
          <w:b/>
          <w:color w:val="000000"/>
          <w:sz w:val="20"/>
          <w:szCs w:val="20"/>
        </w:rPr>
        <w:t>Manipulation et remise à l'eau en toute sécurité</w:t>
      </w:r>
    </w:p>
    <w:p w14:paraId="2A3B4E0E" w14:textId="77777777" w:rsidR="005C5C0E" w:rsidRPr="005B5241" w:rsidRDefault="005C5C0E" w:rsidP="00C53562">
      <w:pPr>
        <w:jc w:val="both"/>
        <w:rPr>
          <w:bCs/>
          <w:sz w:val="20"/>
          <w:szCs w:val="20"/>
        </w:rPr>
      </w:pPr>
    </w:p>
    <w:p w14:paraId="402E3E49" w14:textId="359E0198" w:rsidR="00AF6568" w:rsidRPr="005B5241" w:rsidRDefault="00B539C5" w:rsidP="00C53562">
      <w:pPr>
        <w:ind w:left="426" w:hanging="426"/>
        <w:jc w:val="both"/>
        <w:rPr>
          <w:sz w:val="20"/>
          <w:szCs w:val="20"/>
        </w:rPr>
      </w:pPr>
      <w:r w:rsidRPr="005B5241">
        <w:rPr>
          <w:sz w:val="20"/>
          <w:szCs w:val="20"/>
        </w:rPr>
        <w:t>9</w:t>
      </w:r>
      <w:r w:rsidR="000440CD" w:rsidRPr="005B5241">
        <w:rPr>
          <w:sz w:val="20"/>
          <w:szCs w:val="20"/>
        </w:rPr>
        <w:t>.</w:t>
      </w:r>
      <w:r w:rsidR="000440CD" w:rsidRPr="005B5241">
        <w:rPr>
          <w:sz w:val="20"/>
          <w:szCs w:val="20"/>
        </w:rPr>
        <w:tab/>
      </w:r>
      <w:r w:rsidR="001955CF" w:rsidRPr="005B5241">
        <w:rPr>
          <w:sz w:val="20"/>
          <w:szCs w:val="20"/>
        </w:rPr>
        <w:t xml:space="preserve">Dès l'entrée en vigueur de la présente Recommandation, </w:t>
      </w:r>
      <w:r w:rsidR="00921219" w:rsidRPr="005B5241">
        <w:rPr>
          <w:sz w:val="20"/>
          <w:szCs w:val="20"/>
        </w:rPr>
        <w:t xml:space="preserve">les CPC devront </w:t>
      </w:r>
      <w:r w:rsidR="00AB790D" w:rsidRPr="005B5241">
        <w:rPr>
          <w:rFonts w:ascii="Cambria" w:hAnsi="Cambria"/>
          <w:sz w:val="20"/>
          <w:szCs w:val="20"/>
        </w:rPr>
        <w:t xml:space="preserve">exiger </w:t>
      </w:r>
      <w:r w:rsidR="00AB790D" w:rsidRPr="005B5241">
        <w:rPr>
          <w:sz w:val="20"/>
          <w:szCs w:val="20"/>
        </w:rPr>
        <w:t>que les</w:t>
      </w:r>
      <w:r w:rsidR="00921219" w:rsidRPr="005B5241">
        <w:rPr>
          <w:sz w:val="20"/>
          <w:szCs w:val="20"/>
        </w:rPr>
        <w:t xml:space="preserve"> navires battant leur pavillon </w:t>
      </w:r>
      <w:r w:rsidR="00AB790D" w:rsidRPr="005B5241">
        <w:rPr>
          <w:rFonts w:ascii="Cambria" w:hAnsi="Cambria"/>
          <w:sz w:val="20"/>
          <w:szCs w:val="20"/>
        </w:rPr>
        <w:t>mettent en œuvre</w:t>
      </w:r>
      <w:r w:rsidR="009201CB" w:rsidRPr="005B5241">
        <w:rPr>
          <w:sz w:val="20"/>
          <w:szCs w:val="20"/>
        </w:rPr>
        <w:t xml:space="preserve">, </w:t>
      </w:r>
      <w:r w:rsidR="00921219" w:rsidRPr="005B5241">
        <w:rPr>
          <w:sz w:val="20"/>
          <w:szCs w:val="20"/>
        </w:rPr>
        <w:t>tout en tenant dûment compte de la sécurité de l’équipage</w:t>
      </w:r>
      <w:r w:rsidR="009201CB" w:rsidRPr="005B5241">
        <w:rPr>
          <w:sz w:val="20"/>
          <w:szCs w:val="20"/>
        </w:rPr>
        <w:t xml:space="preserve">, </w:t>
      </w:r>
      <w:r w:rsidR="003B5C68" w:rsidRPr="005B5241">
        <w:rPr>
          <w:sz w:val="20"/>
          <w:szCs w:val="20"/>
        </w:rPr>
        <w:t>l</w:t>
      </w:r>
      <w:r w:rsidR="009201CB" w:rsidRPr="005B5241">
        <w:rPr>
          <w:sz w:val="20"/>
          <w:szCs w:val="20"/>
        </w:rPr>
        <w:t>es</w:t>
      </w:r>
      <w:r w:rsidR="00921219" w:rsidRPr="005B5241">
        <w:rPr>
          <w:sz w:val="20"/>
          <w:szCs w:val="20"/>
        </w:rPr>
        <w:t xml:space="preserve"> normes minimales </w:t>
      </w:r>
      <w:r w:rsidR="0091130D" w:rsidRPr="005B5241">
        <w:rPr>
          <w:sz w:val="20"/>
          <w:szCs w:val="20"/>
        </w:rPr>
        <w:t>pour l</w:t>
      </w:r>
      <w:r w:rsidR="00E81A16" w:rsidRPr="005B5241">
        <w:rPr>
          <w:sz w:val="20"/>
          <w:szCs w:val="20"/>
        </w:rPr>
        <w:t>es</w:t>
      </w:r>
      <w:r w:rsidR="00AB790D" w:rsidRPr="005B5241">
        <w:rPr>
          <w:sz w:val="20"/>
          <w:szCs w:val="20"/>
        </w:rPr>
        <w:t xml:space="preserve"> procédures de </w:t>
      </w:r>
      <w:r w:rsidR="00921219" w:rsidRPr="005B5241">
        <w:rPr>
          <w:sz w:val="20"/>
          <w:szCs w:val="20"/>
        </w:rPr>
        <w:t xml:space="preserve">manipulation et </w:t>
      </w:r>
      <w:r w:rsidR="00AB790D" w:rsidRPr="005B5241">
        <w:rPr>
          <w:sz w:val="20"/>
          <w:szCs w:val="20"/>
        </w:rPr>
        <w:t>de</w:t>
      </w:r>
      <w:r w:rsidR="00921219" w:rsidRPr="005B5241">
        <w:rPr>
          <w:sz w:val="20"/>
          <w:szCs w:val="20"/>
        </w:rPr>
        <w:t xml:space="preserve"> remise à l'eau en toute sécurité d</w:t>
      </w:r>
      <w:r w:rsidR="003B5C68" w:rsidRPr="005B5241">
        <w:rPr>
          <w:sz w:val="20"/>
          <w:szCs w:val="20"/>
        </w:rPr>
        <w:t>u</w:t>
      </w:r>
      <w:r w:rsidR="00921219" w:rsidRPr="005B5241">
        <w:rPr>
          <w:sz w:val="20"/>
          <w:szCs w:val="20"/>
        </w:rPr>
        <w:t xml:space="preserve"> requin-taupe bleu</w:t>
      </w:r>
      <w:r w:rsidR="003B5C68" w:rsidRPr="005B5241">
        <w:rPr>
          <w:sz w:val="20"/>
          <w:szCs w:val="20"/>
        </w:rPr>
        <w:t xml:space="preserve"> </w:t>
      </w:r>
      <w:r w:rsidR="00921219" w:rsidRPr="005B5241">
        <w:rPr>
          <w:sz w:val="20"/>
          <w:szCs w:val="20"/>
        </w:rPr>
        <w:t>de l'Atlantique Nord telles que prévues à l'</w:t>
      </w:r>
      <w:r w:rsidR="00921219" w:rsidRPr="005B5241">
        <w:rPr>
          <w:b/>
          <w:bCs/>
          <w:sz w:val="20"/>
          <w:szCs w:val="20"/>
        </w:rPr>
        <w:t xml:space="preserve">annexe </w:t>
      </w:r>
      <w:r w:rsidR="00AB790D" w:rsidRPr="005B5241">
        <w:rPr>
          <w:b/>
          <w:bCs/>
          <w:sz w:val="20"/>
          <w:szCs w:val="20"/>
        </w:rPr>
        <w:t>2</w:t>
      </w:r>
      <w:r w:rsidR="00921219" w:rsidRPr="005B5241">
        <w:rPr>
          <w:sz w:val="20"/>
          <w:szCs w:val="20"/>
        </w:rPr>
        <w:t xml:space="preserve"> de la présente Recommandation</w:t>
      </w:r>
      <w:r w:rsidR="00574C32" w:rsidRPr="005B5241">
        <w:rPr>
          <w:sz w:val="20"/>
          <w:szCs w:val="20"/>
        </w:rPr>
        <w:t>, afin de remettre à l’eau rapidement et</w:t>
      </w:r>
      <w:r w:rsidR="00D9750B" w:rsidRPr="005B5241">
        <w:rPr>
          <w:sz w:val="20"/>
          <w:szCs w:val="20"/>
        </w:rPr>
        <w:t xml:space="preserve"> indemnes</w:t>
      </w:r>
      <w:r w:rsidR="00574C32" w:rsidRPr="005B5241">
        <w:rPr>
          <w:sz w:val="20"/>
          <w:szCs w:val="20"/>
        </w:rPr>
        <w:t>, dans la mesure du possible, les requins-taupes bleus vivants de l'Atlantique Nord et d'améliorer leur capacité de survie lorsqu'ils sont amenés le long du navire.</w:t>
      </w:r>
      <w:r w:rsidR="00AB790D" w:rsidRPr="005B5241">
        <w:rPr>
          <w:sz w:val="20"/>
          <w:szCs w:val="20"/>
        </w:rPr>
        <w:t xml:space="preserve"> La Commission pourrait envisager </w:t>
      </w:r>
      <w:r w:rsidR="00C22137" w:rsidRPr="005B5241">
        <w:rPr>
          <w:sz w:val="20"/>
          <w:szCs w:val="20"/>
        </w:rPr>
        <w:t xml:space="preserve">de réviser </w:t>
      </w:r>
      <w:r w:rsidR="00AB790D" w:rsidRPr="005B5241">
        <w:rPr>
          <w:sz w:val="20"/>
          <w:szCs w:val="20"/>
        </w:rPr>
        <w:t>l’</w:t>
      </w:r>
      <w:r w:rsidR="00AB790D" w:rsidRPr="005B5241">
        <w:rPr>
          <w:b/>
          <w:bCs/>
          <w:sz w:val="20"/>
          <w:szCs w:val="20"/>
        </w:rPr>
        <w:t xml:space="preserve">annexe 2 </w:t>
      </w:r>
      <w:r w:rsidR="00AB790D" w:rsidRPr="005B5241">
        <w:rPr>
          <w:sz w:val="20"/>
          <w:szCs w:val="20"/>
        </w:rPr>
        <w:t xml:space="preserve">si de </w:t>
      </w:r>
      <w:r w:rsidR="00921219" w:rsidRPr="005B5241">
        <w:rPr>
          <w:sz w:val="20"/>
          <w:szCs w:val="20"/>
        </w:rPr>
        <w:t xml:space="preserve">nouvelles informations </w:t>
      </w:r>
      <w:r w:rsidR="00AB790D" w:rsidRPr="005B5241">
        <w:rPr>
          <w:sz w:val="20"/>
          <w:szCs w:val="20"/>
        </w:rPr>
        <w:t xml:space="preserve">provenant du SCRS </w:t>
      </w:r>
      <w:r w:rsidR="00921219" w:rsidRPr="005B5241">
        <w:rPr>
          <w:sz w:val="20"/>
          <w:szCs w:val="20"/>
        </w:rPr>
        <w:t>sont disponible</w:t>
      </w:r>
      <w:r w:rsidR="00AB790D" w:rsidRPr="005B5241">
        <w:rPr>
          <w:sz w:val="20"/>
          <w:szCs w:val="20"/>
        </w:rPr>
        <w:t>s.</w:t>
      </w:r>
    </w:p>
    <w:p w14:paraId="49185022" w14:textId="4901AF34" w:rsidR="002575B7" w:rsidRPr="005B5241" w:rsidRDefault="002575B7" w:rsidP="00C53562">
      <w:pPr>
        <w:jc w:val="both"/>
        <w:rPr>
          <w:rFonts w:cs="Times New Roman"/>
          <w:b/>
          <w:color w:val="000000"/>
          <w:sz w:val="20"/>
          <w:szCs w:val="20"/>
        </w:rPr>
      </w:pPr>
    </w:p>
    <w:p w14:paraId="44C70B7B" w14:textId="66521E9A" w:rsidR="00000D49" w:rsidRPr="005B5241" w:rsidRDefault="00AF6568" w:rsidP="00C53562">
      <w:pPr>
        <w:jc w:val="both"/>
        <w:rPr>
          <w:rFonts w:cs="Times New Roman"/>
          <w:b/>
          <w:color w:val="000000"/>
          <w:sz w:val="20"/>
          <w:szCs w:val="20"/>
        </w:rPr>
      </w:pPr>
      <w:r w:rsidRPr="005B5241">
        <w:rPr>
          <w:b/>
          <w:color w:val="000000"/>
          <w:sz w:val="20"/>
          <w:szCs w:val="20"/>
        </w:rPr>
        <w:t>Exigences en matière de déclaration de la mise en œuvre</w:t>
      </w:r>
    </w:p>
    <w:p w14:paraId="23105370" w14:textId="77777777" w:rsidR="00000D49" w:rsidRPr="005B5241" w:rsidRDefault="00000D49" w:rsidP="00C53562">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45DBCCA" w14:textId="2005B5E5" w:rsidR="00000D49" w:rsidRPr="005B5241" w:rsidRDefault="00B539C5" w:rsidP="00C53562">
      <w:pPr>
        <w:tabs>
          <w:tab w:val="left" w:pos="426"/>
        </w:tabs>
        <w:ind w:left="426" w:hanging="426"/>
        <w:jc w:val="both"/>
        <w:rPr>
          <w:sz w:val="20"/>
          <w:szCs w:val="20"/>
        </w:rPr>
      </w:pPr>
      <w:r w:rsidRPr="005B5241">
        <w:rPr>
          <w:sz w:val="20"/>
          <w:szCs w:val="20"/>
        </w:rPr>
        <w:t>10</w:t>
      </w:r>
      <w:r w:rsidR="00C075FD" w:rsidRPr="005B5241">
        <w:rPr>
          <w:sz w:val="20"/>
          <w:szCs w:val="20"/>
        </w:rPr>
        <w:t>.</w:t>
      </w:r>
      <w:r w:rsidR="00C075FD" w:rsidRPr="005B5241">
        <w:rPr>
          <w:sz w:val="20"/>
          <w:szCs w:val="20"/>
        </w:rPr>
        <w:tab/>
      </w:r>
      <w:r w:rsidR="004D0176" w:rsidRPr="005B5241">
        <w:rPr>
          <w:sz w:val="20"/>
          <w:szCs w:val="20"/>
        </w:rPr>
        <w:t>Conformément à la Rec. 18-0</w:t>
      </w:r>
      <w:r w:rsidR="00AC4298" w:rsidRPr="005B5241">
        <w:rPr>
          <w:sz w:val="20"/>
          <w:szCs w:val="20"/>
        </w:rPr>
        <w:t>6</w:t>
      </w:r>
      <w:r w:rsidR="004D0176" w:rsidRPr="005B5241">
        <w:rPr>
          <w:sz w:val="20"/>
          <w:szCs w:val="20"/>
        </w:rPr>
        <w:t>, l</w:t>
      </w:r>
      <w:r w:rsidR="00C075FD" w:rsidRPr="005B5241">
        <w:rPr>
          <w:sz w:val="20"/>
          <w:szCs w:val="20"/>
        </w:rPr>
        <w:t xml:space="preserve">es CPC devront soumettre une feuille de contrôle de la mise en œuvre des mesures s'appliquant aux requins afin de fournir des informations sur la manière dont la présente </w:t>
      </w:r>
      <w:r w:rsidR="00AC4298" w:rsidRPr="005B5241">
        <w:rPr>
          <w:sz w:val="20"/>
          <w:szCs w:val="20"/>
        </w:rPr>
        <w:t xml:space="preserve">Recommandation </w:t>
      </w:r>
      <w:r w:rsidR="00C075FD" w:rsidRPr="005B5241">
        <w:rPr>
          <w:sz w:val="20"/>
          <w:szCs w:val="20"/>
        </w:rPr>
        <w:t>est mise en œuvre. Si le Comité d’application détermine qu'une CPC n'a pas fait de déclaration conformément à la Rec. 18-06, cette CPC devra immédiatement demander à ses navires de pêche de s'abstenir de retenir ou de débarquer des requins-taupes bleus de l'Atlantique Nord jusqu'à ce que la déclaration requise soit faite à l'ICCAT.</w:t>
      </w:r>
    </w:p>
    <w:p w14:paraId="0FFCE1A1" w14:textId="704F97A4" w:rsidR="00726205" w:rsidRPr="005B5241" w:rsidRDefault="00726205" w:rsidP="00C53562">
      <w:pPr>
        <w:rPr>
          <w:sz w:val="20"/>
          <w:szCs w:val="20"/>
        </w:rPr>
      </w:pPr>
    </w:p>
    <w:p w14:paraId="597FA646" w14:textId="77777777" w:rsidR="007B2021" w:rsidRDefault="007B2021">
      <w:pPr>
        <w:rPr>
          <w:sz w:val="20"/>
          <w:szCs w:val="20"/>
        </w:rPr>
      </w:pPr>
      <w:r>
        <w:rPr>
          <w:sz w:val="20"/>
          <w:szCs w:val="20"/>
        </w:rPr>
        <w:br w:type="page"/>
      </w:r>
    </w:p>
    <w:p w14:paraId="40A1691C" w14:textId="4EDEEEE5" w:rsidR="004D0176" w:rsidRPr="005B5241" w:rsidRDefault="00B539C5" w:rsidP="00C53562">
      <w:pPr>
        <w:ind w:left="426" w:hanging="426"/>
        <w:jc w:val="both"/>
        <w:rPr>
          <w:sz w:val="20"/>
          <w:szCs w:val="20"/>
        </w:rPr>
      </w:pPr>
      <w:r w:rsidRPr="005B5241">
        <w:rPr>
          <w:sz w:val="20"/>
          <w:szCs w:val="20"/>
        </w:rPr>
        <w:lastRenderedPageBreak/>
        <w:t>11</w:t>
      </w:r>
      <w:r w:rsidR="00BB02C1" w:rsidRPr="005B5241">
        <w:rPr>
          <w:sz w:val="20"/>
          <w:szCs w:val="20"/>
        </w:rPr>
        <w:t>.</w:t>
      </w:r>
      <w:r w:rsidR="00BB02C1" w:rsidRPr="005B5241">
        <w:rPr>
          <w:sz w:val="20"/>
          <w:szCs w:val="20"/>
        </w:rPr>
        <w:tab/>
      </w:r>
      <w:r w:rsidR="000B375B" w:rsidRPr="005B5241">
        <w:rPr>
          <w:sz w:val="20"/>
          <w:szCs w:val="20"/>
        </w:rPr>
        <w:t xml:space="preserve">Les CPC devront déclarer au Secrétariat de l’ICCAT, conformément aux exigences de déclaration des données de l’ICCAT, les prises totales, y compris les </w:t>
      </w:r>
      <w:r w:rsidR="004D0176" w:rsidRPr="005B5241">
        <w:rPr>
          <w:sz w:val="20"/>
          <w:szCs w:val="20"/>
        </w:rPr>
        <w:t xml:space="preserve">éventuels </w:t>
      </w:r>
      <w:r w:rsidR="000B375B" w:rsidRPr="005B5241">
        <w:rPr>
          <w:sz w:val="20"/>
          <w:szCs w:val="20"/>
        </w:rPr>
        <w:t xml:space="preserve">débarquements, les rejets morts et les remises à l'eau de spécimens vivants, de requin-taupe bleu de l'Atlantique Nord. </w:t>
      </w:r>
      <w:r w:rsidR="00BB02C1" w:rsidRPr="005B5241">
        <w:rPr>
          <w:rFonts w:ascii="Cambria" w:hAnsi="Cambria"/>
          <w:sz w:val="20"/>
        </w:rPr>
        <w:t>La fréquence de déclaration devra être</w:t>
      </w:r>
      <w:r w:rsidR="00730853" w:rsidRPr="005B5241">
        <w:rPr>
          <w:rFonts w:ascii="Cambria" w:hAnsi="Cambria"/>
          <w:sz w:val="20"/>
        </w:rPr>
        <w:t xml:space="preserve"> </w:t>
      </w:r>
      <w:r w:rsidR="00BB02C1" w:rsidRPr="005B5241">
        <w:rPr>
          <w:rFonts w:ascii="Cambria" w:hAnsi="Cambria"/>
          <w:sz w:val="20"/>
        </w:rPr>
        <w:t>mensuelle pour tout débarquement autorisé</w:t>
      </w:r>
      <w:r w:rsidR="00BB02C1" w:rsidRPr="005B5241">
        <w:rPr>
          <w:rFonts w:ascii="Cambria" w:hAnsi="Cambria"/>
        </w:rPr>
        <w:t xml:space="preserve"> </w:t>
      </w:r>
      <w:r w:rsidR="00BB02C1" w:rsidRPr="005B5241">
        <w:rPr>
          <w:rFonts w:ascii="Cambria" w:hAnsi="Cambria"/>
          <w:sz w:val="20"/>
        </w:rPr>
        <w:t>afin de suivre de près l'utilisation de la tolérance de rétention et annuelle pour les rejets morts, les remises à l’eau de spécimens vivants et les captures totales.</w:t>
      </w:r>
      <w:r w:rsidR="00F21766" w:rsidRPr="005B5241">
        <w:rPr>
          <w:rFonts w:ascii="Cambria" w:hAnsi="Cambria"/>
          <w:sz w:val="20"/>
        </w:rPr>
        <w:t xml:space="preserve"> </w:t>
      </w:r>
      <w:r w:rsidR="00C5192F" w:rsidRPr="005B5241">
        <w:rPr>
          <w:rFonts w:ascii="Cambria" w:hAnsi="Cambria"/>
          <w:sz w:val="20"/>
        </w:rPr>
        <w:t>Le Secrétariat devra notifier à toutes les CPC lorsqu'une CPC a atteint sa limite de rétention sur la base des débarquements déclarés mensuellement.</w:t>
      </w:r>
    </w:p>
    <w:p w14:paraId="3A63FD3E" w14:textId="77777777" w:rsidR="00B539C5" w:rsidRPr="005B5241" w:rsidRDefault="00B539C5" w:rsidP="00C53562">
      <w:pPr>
        <w:ind w:left="426" w:hanging="426"/>
        <w:jc w:val="both"/>
        <w:rPr>
          <w:rFonts w:ascii="Cambria" w:hAnsi="Cambria"/>
          <w:sz w:val="20"/>
        </w:rPr>
      </w:pPr>
    </w:p>
    <w:p w14:paraId="4AEB3BFB" w14:textId="070AFD0F" w:rsidR="00BB02C1" w:rsidRPr="005B5241" w:rsidRDefault="00B539C5" w:rsidP="00C53562">
      <w:pPr>
        <w:ind w:left="426" w:hanging="426"/>
        <w:jc w:val="both"/>
        <w:rPr>
          <w:rFonts w:ascii="Cambria" w:hAnsi="Cambria"/>
          <w:sz w:val="20"/>
          <w:szCs w:val="20"/>
        </w:rPr>
      </w:pPr>
      <w:r w:rsidRPr="005B5241">
        <w:rPr>
          <w:rFonts w:ascii="Cambria" w:hAnsi="Cambria"/>
          <w:sz w:val="20"/>
        </w:rPr>
        <w:t>12.</w:t>
      </w:r>
      <w:r w:rsidRPr="005B5241">
        <w:rPr>
          <w:rFonts w:ascii="Cambria" w:hAnsi="Cambria"/>
          <w:sz w:val="20"/>
        </w:rPr>
        <w:tab/>
      </w:r>
      <w:r w:rsidR="00BB02C1" w:rsidRPr="005B5241">
        <w:rPr>
          <w:rFonts w:ascii="Cambria" w:hAnsi="Cambria"/>
          <w:sz w:val="20"/>
        </w:rPr>
        <w:t xml:space="preserve">Toute rétention par une CPC excédant sa tolérance de rétention calculée au paragraphe </w:t>
      </w:r>
      <w:r w:rsidRPr="005B5241">
        <w:rPr>
          <w:rFonts w:ascii="Cambria" w:hAnsi="Cambria"/>
          <w:sz w:val="20"/>
        </w:rPr>
        <w:t>5</w:t>
      </w:r>
      <w:r w:rsidR="00BB02C1" w:rsidRPr="005B5241">
        <w:rPr>
          <w:rFonts w:ascii="Cambria" w:hAnsi="Cambria"/>
          <w:sz w:val="20"/>
        </w:rPr>
        <w:t xml:space="preserve"> entraînera une réduction de la</w:t>
      </w:r>
      <w:r w:rsidR="00F21766" w:rsidRPr="005B5241">
        <w:rPr>
          <w:rFonts w:ascii="Cambria" w:hAnsi="Cambria"/>
          <w:sz w:val="20"/>
        </w:rPr>
        <w:t xml:space="preserve"> tolérance </w:t>
      </w:r>
      <w:r w:rsidR="00BB02C1" w:rsidRPr="005B5241">
        <w:rPr>
          <w:rFonts w:ascii="Cambria" w:hAnsi="Cambria"/>
          <w:sz w:val="20"/>
        </w:rPr>
        <w:t xml:space="preserve">de cette CPC pour l'année suivante d'un montant égal à l'excédent. La rétention par cette CPC devra être interdite jusqu'à ce que tout </w:t>
      </w:r>
      <w:r w:rsidR="00F21766" w:rsidRPr="005B5241">
        <w:rPr>
          <w:rFonts w:ascii="Cambria" w:hAnsi="Cambria"/>
          <w:sz w:val="20"/>
        </w:rPr>
        <w:t xml:space="preserve">dépassement </w:t>
      </w:r>
      <w:r w:rsidR="00BB02C1" w:rsidRPr="005B5241">
        <w:rPr>
          <w:rFonts w:ascii="Cambria" w:hAnsi="Cambria"/>
          <w:sz w:val="20"/>
        </w:rPr>
        <w:t>soit remboursé en totalité</w:t>
      </w:r>
      <w:r w:rsidR="00A5451A" w:rsidRPr="005B5241">
        <w:rPr>
          <w:rFonts w:ascii="Cambria" w:hAnsi="Cambria"/>
          <w:sz w:val="20"/>
        </w:rPr>
        <w:t>.</w:t>
      </w:r>
    </w:p>
    <w:p w14:paraId="799F0C9C" w14:textId="77777777" w:rsidR="00F21766" w:rsidRPr="005B5241" w:rsidRDefault="00F21766" w:rsidP="00C53562">
      <w:pPr>
        <w:widowControl w:val="0"/>
        <w:tabs>
          <w:tab w:val="left" w:pos="284"/>
          <w:tab w:val="left" w:pos="3725"/>
        </w:tabs>
        <w:autoSpaceDE w:val="0"/>
        <w:autoSpaceDN w:val="0"/>
        <w:adjustRightInd w:val="0"/>
        <w:ind w:left="284" w:hanging="284"/>
        <w:jc w:val="both"/>
        <w:rPr>
          <w:sz w:val="20"/>
          <w:szCs w:val="20"/>
        </w:rPr>
      </w:pPr>
    </w:p>
    <w:p w14:paraId="01E943C8" w14:textId="6FA64650" w:rsidR="00AD5FE4" w:rsidRPr="005B5241" w:rsidRDefault="00B539C5" w:rsidP="00C53562">
      <w:pPr>
        <w:ind w:left="426" w:hanging="426"/>
        <w:jc w:val="both"/>
        <w:rPr>
          <w:sz w:val="20"/>
          <w:szCs w:val="20"/>
        </w:rPr>
      </w:pPr>
      <w:r w:rsidRPr="005B5241">
        <w:rPr>
          <w:sz w:val="20"/>
          <w:szCs w:val="20"/>
        </w:rPr>
        <w:t>13.</w:t>
      </w:r>
      <w:r w:rsidRPr="005B5241">
        <w:rPr>
          <w:sz w:val="20"/>
          <w:szCs w:val="20"/>
        </w:rPr>
        <w:tab/>
      </w:r>
      <w:r w:rsidR="00AD5FE4" w:rsidRPr="005B5241">
        <w:rPr>
          <w:sz w:val="20"/>
          <w:szCs w:val="20"/>
        </w:rPr>
        <w:t xml:space="preserve"> Au plus tard le 31 juillet 2022, les CPC qui ont déclaré des captures moyennes annuelles (débarquements et rejets morts) de requin-taupe bleu de l'Atlantique Nord supérieures à 1 t entre 2018-2020 devront présenter au SCRS la méthodologie statistique utilisée pour estimer les rejets morts et les </w:t>
      </w:r>
      <w:r w:rsidR="00BC5A31" w:rsidRPr="005B5241">
        <w:rPr>
          <w:sz w:val="20"/>
          <w:szCs w:val="20"/>
        </w:rPr>
        <w:t>remises à l’eau de spécimens</w:t>
      </w:r>
      <w:r w:rsidR="00AD5FE4" w:rsidRPr="005B5241">
        <w:rPr>
          <w:sz w:val="20"/>
          <w:szCs w:val="20"/>
        </w:rPr>
        <w:t xml:space="preserve"> vivants. Les CPC ayant des pêcheries artisanales et de petits métiers devront également fournir des informations sur leurs programmes de collecte de données. Le SCRS devra réviser et approuver les méthodes et, s’il détermine que les méthodes ne sont pas scientifiquement fondées, le SCRS devra fournir des observations pertinentes aux CPC concernées afin de les améliorer.</w:t>
      </w:r>
    </w:p>
    <w:p w14:paraId="0149F174" w14:textId="77777777" w:rsidR="00AD5FE4" w:rsidRPr="005B5241" w:rsidRDefault="00AD5FE4" w:rsidP="00C53562">
      <w:pPr>
        <w:tabs>
          <w:tab w:val="left" w:pos="426"/>
        </w:tabs>
        <w:jc w:val="both"/>
        <w:rPr>
          <w:sz w:val="20"/>
          <w:szCs w:val="20"/>
        </w:rPr>
      </w:pPr>
    </w:p>
    <w:p w14:paraId="05372176" w14:textId="15101425" w:rsidR="00FC53A4" w:rsidRPr="005B5241" w:rsidRDefault="00B539C5" w:rsidP="00C53562">
      <w:pPr>
        <w:tabs>
          <w:tab w:val="left" w:pos="426"/>
        </w:tabs>
        <w:ind w:left="426" w:hanging="426"/>
        <w:jc w:val="both"/>
        <w:rPr>
          <w:sz w:val="20"/>
          <w:szCs w:val="20"/>
        </w:rPr>
      </w:pPr>
      <w:r w:rsidRPr="005B5241">
        <w:rPr>
          <w:sz w:val="20"/>
          <w:szCs w:val="20"/>
        </w:rPr>
        <w:t>14.</w:t>
      </w:r>
      <w:r w:rsidRPr="005B5241">
        <w:rPr>
          <w:sz w:val="20"/>
          <w:szCs w:val="20"/>
        </w:rPr>
        <w:tab/>
      </w:r>
      <w:r w:rsidR="0030462F" w:rsidRPr="005B5241">
        <w:rPr>
          <w:sz w:val="20"/>
          <w:szCs w:val="20"/>
        </w:rPr>
        <w:t xml:space="preserve"> </w:t>
      </w:r>
      <w:r w:rsidR="004D0176" w:rsidRPr="005B5241">
        <w:rPr>
          <w:sz w:val="20"/>
          <w:szCs w:val="20"/>
        </w:rPr>
        <w:t>Dans le cadre de leur soumission annuelle de</w:t>
      </w:r>
      <w:r w:rsidR="00FF5730" w:rsidRPr="005B5241">
        <w:rPr>
          <w:sz w:val="20"/>
          <w:szCs w:val="20"/>
        </w:rPr>
        <w:t>s</w:t>
      </w:r>
      <w:r w:rsidR="004D0176" w:rsidRPr="005B5241">
        <w:rPr>
          <w:sz w:val="20"/>
          <w:szCs w:val="20"/>
        </w:rPr>
        <w:t xml:space="preserve"> données des tâches 1 et 2, les CPC devront fournir toutes les données pertinentes </w:t>
      </w:r>
      <w:r w:rsidR="000440CD" w:rsidRPr="005B5241">
        <w:rPr>
          <w:sz w:val="20"/>
          <w:szCs w:val="20"/>
        </w:rPr>
        <w:t>concernant</w:t>
      </w:r>
      <w:r w:rsidR="004D0176" w:rsidRPr="005B5241">
        <w:rPr>
          <w:sz w:val="20"/>
          <w:szCs w:val="20"/>
        </w:rPr>
        <w:t xml:space="preserve"> le requin-taupe bleu de l'Atlantique Nord, y compris les estimations de </w:t>
      </w:r>
      <w:r w:rsidR="000B375B" w:rsidRPr="005B5241">
        <w:rPr>
          <w:sz w:val="20"/>
          <w:szCs w:val="20"/>
        </w:rPr>
        <w:t>rejets morts et les remises à l'eau de spécimens vivants</w:t>
      </w:r>
      <w:r w:rsidR="00F21766" w:rsidRPr="005B5241">
        <w:rPr>
          <w:sz w:val="20"/>
          <w:szCs w:val="20"/>
        </w:rPr>
        <w:t xml:space="preserve">, </w:t>
      </w:r>
      <w:r w:rsidR="000440CD" w:rsidRPr="005B5241">
        <w:rPr>
          <w:sz w:val="20"/>
          <w:szCs w:val="20"/>
        </w:rPr>
        <w:t xml:space="preserve">en </w:t>
      </w:r>
      <w:r w:rsidR="00F21766" w:rsidRPr="005B5241">
        <w:rPr>
          <w:sz w:val="20"/>
          <w:szCs w:val="20"/>
        </w:rPr>
        <w:t xml:space="preserve">utilisant les méthodes approuvées par le SCRS au </w:t>
      </w:r>
      <w:r w:rsidR="0032369E" w:rsidRPr="005B5241">
        <w:rPr>
          <w:sz w:val="20"/>
          <w:szCs w:val="20"/>
        </w:rPr>
        <w:t>paragraphe 13</w:t>
      </w:r>
      <w:r w:rsidR="00F21766" w:rsidRPr="005B5241">
        <w:rPr>
          <w:sz w:val="20"/>
          <w:szCs w:val="20"/>
        </w:rPr>
        <w:t>.</w:t>
      </w:r>
      <w:r w:rsidR="000B375B" w:rsidRPr="005B5241">
        <w:rPr>
          <w:sz w:val="20"/>
          <w:szCs w:val="20"/>
        </w:rPr>
        <w:t xml:space="preserve"> </w:t>
      </w:r>
      <w:r w:rsidR="00FB4968" w:rsidRPr="005B5241">
        <w:rPr>
          <w:sz w:val="20"/>
          <w:szCs w:val="20"/>
        </w:rPr>
        <w:t>S</w:t>
      </w:r>
      <w:r w:rsidR="000B375B" w:rsidRPr="005B5241">
        <w:rPr>
          <w:sz w:val="20"/>
          <w:szCs w:val="20"/>
        </w:rPr>
        <w:t xml:space="preserve">i le Comité d’application détermine que les CPC qui autorisent leurs navires à retenir à bord et à débarquer du requin-taupe bleu de l'Atlantique Nord conformément au paragraphe </w:t>
      </w:r>
      <w:r w:rsidR="0032369E" w:rsidRPr="005B5241">
        <w:rPr>
          <w:sz w:val="20"/>
          <w:szCs w:val="20"/>
        </w:rPr>
        <w:t>5</w:t>
      </w:r>
      <w:r w:rsidR="000B375B" w:rsidRPr="005B5241">
        <w:rPr>
          <w:sz w:val="20"/>
          <w:szCs w:val="20"/>
        </w:rPr>
        <w:t xml:space="preserve"> ne déclarent pas leurs données de capture, y compris les rejets morts et les remises à l'eau de spécimens vivants, les CPC concernées devront demander à leurs navires de pêche de s’abstenir de retenir toute quantité de requin-taupe bleu de l'Atlantique Nord tant que ces données n’auront pas été déclarées.</w:t>
      </w:r>
    </w:p>
    <w:p w14:paraId="21F58A83" w14:textId="77777777" w:rsidR="004C775E" w:rsidRPr="005B5241" w:rsidRDefault="004C775E" w:rsidP="00C53562">
      <w:pPr>
        <w:widowControl w:val="0"/>
        <w:tabs>
          <w:tab w:val="left" w:pos="284"/>
          <w:tab w:val="left" w:pos="3725"/>
        </w:tabs>
        <w:autoSpaceDE w:val="0"/>
        <w:autoSpaceDN w:val="0"/>
        <w:adjustRightInd w:val="0"/>
        <w:ind w:left="284" w:hanging="284"/>
        <w:jc w:val="both"/>
        <w:rPr>
          <w:rFonts w:ascii="Cambria" w:hAnsi="Cambria"/>
          <w:color w:val="000000" w:themeColor="text1"/>
          <w:sz w:val="20"/>
          <w:szCs w:val="20"/>
        </w:rPr>
      </w:pPr>
    </w:p>
    <w:p w14:paraId="3F54430A" w14:textId="01EBC5CD" w:rsidR="00FB4968" w:rsidRPr="005B5241" w:rsidRDefault="0032369E" w:rsidP="0032369E">
      <w:pPr>
        <w:tabs>
          <w:tab w:val="left" w:pos="426"/>
        </w:tabs>
        <w:ind w:left="426" w:hanging="426"/>
        <w:jc w:val="both"/>
        <w:rPr>
          <w:rFonts w:cs="Times New Roman"/>
          <w:sz w:val="20"/>
          <w:szCs w:val="20"/>
        </w:rPr>
      </w:pPr>
      <w:r w:rsidRPr="005B5241">
        <w:rPr>
          <w:rFonts w:ascii="Cambria" w:hAnsi="Cambria"/>
          <w:color w:val="000000" w:themeColor="text1"/>
          <w:sz w:val="20"/>
          <w:szCs w:val="20"/>
        </w:rPr>
        <w:t>15.</w:t>
      </w:r>
      <w:r w:rsidRPr="005B5241">
        <w:rPr>
          <w:rFonts w:ascii="Cambria" w:hAnsi="Cambria"/>
          <w:color w:val="000000" w:themeColor="text1"/>
          <w:sz w:val="20"/>
          <w:szCs w:val="20"/>
        </w:rPr>
        <w:tab/>
      </w:r>
      <w:r w:rsidR="00BB02C1" w:rsidRPr="005B5241">
        <w:rPr>
          <w:rFonts w:ascii="Cambria" w:hAnsi="Cambria"/>
          <w:i/>
          <w:iCs/>
          <w:color w:val="000000" w:themeColor="text1"/>
          <w:sz w:val="20"/>
        </w:rPr>
        <w:t xml:space="preserve"> </w:t>
      </w:r>
      <w:r w:rsidR="00BB02C1" w:rsidRPr="005B5241">
        <w:rPr>
          <w:rFonts w:ascii="Cambria" w:hAnsi="Cambria"/>
          <w:color w:val="000000" w:themeColor="text1"/>
          <w:sz w:val="20"/>
        </w:rPr>
        <w:t>Le SCRS devra évaluer l'exhaustivité des soumissions de</w:t>
      </w:r>
      <w:r w:rsidR="00117293" w:rsidRPr="005B5241">
        <w:rPr>
          <w:rFonts w:ascii="Cambria" w:hAnsi="Cambria"/>
          <w:color w:val="000000" w:themeColor="text1"/>
          <w:sz w:val="20"/>
        </w:rPr>
        <w:t>s</w:t>
      </w:r>
      <w:r w:rsidR="00BB02C1" w:rsidRPr="005B5241">
        <w:rPr>
          <w:rFonts w:ascii="Cambria" w:hAnsi="Cambria"/>
          <w:color w:val="000000" w:themeColor="text1"/>
          <w:sz w:val="20"/>
        </w:rPr>
        <w:t xml:space="preserve"> données des tâches 1 et 2, y compris les estimations du total des rejets morts et des </w:t>
      </w:r>
      <w:r w:rsidR="00117293" w:rsidRPr="005B5241">
        <w:rPr>
          <w:rFonts w:ascii="Cambria" w:hAnsi="Cambria"/>
          <w:color w:val="000000" w:themeColor="text1"/>
          <w:sz w:val="20"/>
        </w:rPr>
        <w:t>remises à l’eau des spécimens</w:t>
      </w:r>
      <w:r w:rsidR="00BB02C1" w:rsidRPr="005B5241">
        <w:rPr>
          <w:rFonts w:ascii="Cambria" w:hAnsi="Cambria"/>
          <w:color w:val="000000" w:themeColor="text1"/>
          <w:sz w:val="20"/>
        </w:rPr>
        <w:t xml:space="preserve"> vivants. Si, après avoir réalisé cette évaluation, le SCRS détermine qu'il </w:t>
      </w:r>
      <w:r w:rsidR="00BB02C1" w:rsidRPr="005B5241">
        <w:rPr>
          <w:sz w:val="20"/>
          <w:szCs w:val="20"/>
        </w:rPr>
        <w:t>existe</w:t>
      </w:r>
      <w:r w:rsidR="00BB02C1" w:rsidRPr="005B5241">
        <w:rPr>
          <w:rFonts w:ascii="Cambria" w:hAnsi="Cambria"/>
          <w:color w:val="000000" w:themeColor="text1"/>
          <w:sz w:val="20"/>
        </w:rPr>
        <w:t xml:space="preserve"> des lacunes importantes dans la déclaration des données</w:t>
      </w:r>
      <w:r w:rsidR="005336A4" w:rsidRPr="005B5241">
        <w:rPr>
          <w:rFonts w:ascii="Cambria" w:hAnsi="Cambria"/>
          <w:color w:val="000000" w:themeColor="text1"/>
          <w:sz w:val="20"/>
        </w:rPr>
        <w:t xml:space="preserve"> </w:t>
      </w:r>
      <w:r w:rsidR="005336A4" w:rsidRPr="005B5241">
        <w:rPr>
          <w:rFonts w:ascii="Cambria" w:hAnsi="Cambria"/>
          <w:sz w:val="20"/>
          <w:szCs w:val="20"/>
        </w:rPr>
        <w:t xml:space="preserve">ou, à la suite de l'examen prévu au paragraphe </w:t>
      </w:r>
      <w:r w:rsidRPr="005B5241">
        <w:rPr>
          <w:rFonts w:ascii="Cambria" w:hAnsi="Cambria"/>
          <w:sz w:val="20"/>
          <w:szCs w:val="20"/>
        </w:rPr>
        <w:t>13</w:t>
      </w:r>
      <w:r w:rsidR="005336A4" w:rsidRPr="005B5241">
        <w:rPr>
          <w:rFonts w:ascii="Cambria" w:hAnsi="Cambria"/>
          <w:sz w:val="20"/>
          <w:szCs w:val="20"/>
        </w:rPr>
        <w:t xml:space="preserve">, que la méthodologie utilisée par une ou plusieurs CPC pour estimer les rejets de poissons morts et les remises à l’eau de </w:t>
      </w:r>
      <w:r w:rsidR="00117293" w:rsidRPr="005B5241">
        <w:rPr>
          <w:rFonts w:ascii="Cambria" w:hAnsi="Cambria"/>
          <w:sz w:val="20"/>
          <w:szCs w:val="20"/>
        </w:rPr>
        <w:t>spécimens</w:t>
      </w:r>
      <w:r w:rsidR="005336A4" w:rsidRPr="005B5241">
        <w:rPr>
          <w:rFonts w:ascii="Cambria" w:hAnsi="Cambria"/>
          <w:sz w:val="20"/>
          <w:szCs w:val="20"/>
        </w:rPr>
        <w:t xml:space="preserve"> vivants n'est pas scientifiquement valable</w:t>
      </w:r>
      <w:r w:rsidR="00BB02C1" w:rsidRPr="005B5241">
        <w:rPr>
          <w:rFonts w:ascii="Cambria" w:hAnsi="Cambria"/>
          <w:color w:val="000000" w:themeColor="text1"/>
          <w:sz w:val="20"/>
        </w:rPr>
        <w:t xml:space="preserve">, </w:t>
      </w:r>
      <w:r w:rsidR="00C5192F" w:rsidRPr="005B5241">
        <w:rPr>
          <w:rFonts w:ascii="Cambria" w:hAnsi="Cambria"/>
          <w:sz w:val="20"/>
        </w:rPr>
        <w:t xml:space="preserve">le SCRS devra informer la Commission que les données de ces CPC sont considérées comme inappropriées pour être incluses dans le calcul de la tolérance de rétention. Dans ce cas, le SCRS devra estimer les rejets morts et les </w:t>
      </w:r>
      <w:r w:rsidR="00117293" w:rsidRPr="005B5241">
        <w:rPr>
          <w:rFonts w:ascii="Cambria" w:hAnsi="Cambria"/>
          <w:sz w:val="20"/>
        </w:rPr>
        <w:t>remises à l’eau</w:t>
      </w:r>
      <w:r w:rsidR="00C5192F" w:rsidRPr="005B5241">
        <w:rPr>
          <w:rFonts w:ascii="Cambria" w:hAnsi="Cambria"/>
          <w:sz w:val="20"/>
        </w:rPr>
        <w:t xml:space="preserve"> de spécimens vivants pour ces CPC afin de les utiliser dans le calcul de la tolérance de </w:t>
      </w:r>
      <w:r w:rsidR="00C5192F" w:rsidRPr="005B5241">
        <w:rPr>
          <w:rFonts w:ascii="Cambria" w:hAnsi="Cambria"/>
          <w:sz w:val="20"/>
          <w:szCs w:val="20"/>
        </w:rPr>
        <w:t>rétention</w:t>
      </w:r>
      <w:r w:rsidR="00FB4968" w:rsidRPr="005B5241">
        <w:rPr>
          <w:sz w:val="20"/>
          <w:szCs w:val="20"/>
        </w:rPr>
        <w:t>.</w:t>
      </w:r>
    </w:p>
    <w:p w14:paraId="27653283" w14:textId="77777777" w:rsidR="004C775E" w:rsidRPr="005B5241" w:rsidRDefault="004C775E" w:rsidP="00C53562">
      <w:pPr>
        <w:widowControl w:val="0"/>
        <w:autoSpaceDE w:val="0"/>
        <w:autoSpaceDN w:val="0"/>
        <w:adjustRightInd w:val="0"/>
        <w:ind w:left="284" w:hanging="284"/>
        <w:jc w:val="both"/>
        <w:rPr>
          <w:b/>
          <w:sz w:val="20"/>
          <w:szCs w:val="20"/>
        </w:rPr>
      </w:pPr>
    </w:p>
    <w:p w14:paraId="628C222E" w14:textId="7AFBC298" w:rsidR="006A00C1" w:rsidRPr="005B5241" w:rsidRDefault="002738E9" w:rsidP="00C53562">
      <w:pPr>
        <w:widowControl w:val="0"/>
        <w:autoSpaceDE w:val="0"/>
        <w:autoSpaceDN w:val="0"/>
        <w:adjustRightInd w:val="0"/>
        <w:ind w:left="284" w:hanging="284"/>
        <w:jc w:val="both"/>
        <w:rPr>
          <w:rFonts w:eastAsia="MS Mincho" w:cs="Times New Roman"/>
          <w:b/>
          <w:sz w:val="20"/>
          <w:szCs w:val="20"/>
        </w:rPr>
      </w:pPr>
      <w:r w:rsidRPr="005B5241">
        <w:rPr>
          <w:b/>
          <w:sz w:val="20"/>
          <w:szCs w:val="20"/>
        </w:rPr>
        <w:t>Échantillonnage biologique et couverture des observateurs</w:t>
      </w:r>
    </w:p>
    <w:p w14:paraId="0FC11770" w14:textId="77777777" w:rsidR="000440CD" w:rsidRPr="005B5241" w:rsidRDefault="000440CD" w:rsidP="00C53562">
      <w:pPr>
        <w:widowControl w:val="0"/>
        <w:autoSpaceDE w:val="0"/>
        <w:autoSpaceDN w:val="0"/>
        <w:adjustRightInd w:val="0"/>
        <w:ind w:left="284" w:hanging="284"/>
        <w:jc w:val="both"/>
        <w:rPr>
          <w:rFonts w:eastAsia="MS Mincho" w:cs="Times New Roman"/>
          <w:sz w:val="20"/>
          <w:szCs w:val="20"/>
          <w:lang w:eastAsia="ja-JP"/>
        </w:rPr>
      </w:pPr>
    </w:p>
    <w:p w14:paraId="1814CC2D" w14:textId="0B66EEFB" w:rsidR="006A00C1" w:rsidRPr="005B5241" w:rsidRDefault="0032369E" w:rsidP="00C53562">
      <w:pPr>
        <w:ind w:left="426" w:hanging="426"/>
        <w:jc w:val="both"/>
        <w:rPr>
          <w:sz w:val="20"/>
          <w:szCs w:val="20"/>
        </w:rPr>
      </w:pPr>
      <w:r w:rsidRPr="005B5241">
        <w:rPr>
          <w:sz w:val="20"/>
          <w:szCs w:val="20"/>
        </w:rPr>
        <w:t>16</w:t>
      </w:r>
      <w:r w:rsidR="00BB02C1" w:rsidRPr="005B5241">
        <w:rPr>
          <w:sz w:val="20"/>
          <w:szCs w:val="20"/>
        </w:rPr>
        <w:t>.</w:t>
      </w:r>
      <w:r w:rsidR="00BB02C1" w:rsidRPr="005B5241">
        <w:rPr>
          <w:sz w:val="20"/>
          <w:szCs w:val="20"/>
        </w:rPr>
        <w:tab/>
      </w:r>
      <w:r w:rsidR="000813D3" w:rsidRPr="005B5241">
        <w:rPr>
          <w:sz w:val="20"/>
          <w:szCs w:val="20"/>
        </w:rPr>
        <w:t>L</w:t>
      </w:r>
      <w:r w:rsidR="005C1A96" w:rsidRPr="005B5241">
        <w:rPr>
          <w:sz w:val="20"/>
          <w:szCs w:val="20"/>
        </w:rPr>
        <w:t xml:space="preserve">es CPC devront </w:t>
      </w:r>
      <w:r w:rsidR="00FB4968" w:rsidRPr="005B5241">
        <w:rPr>
          <w:sz w:val="20"/>
          <w:szCs w:val="20"/>
        </w:rPr>
        <w:t xml:space="preserve">s’efforcer </w:t>
      </w:r>
      <w:r w:rsidR="00327A70" w:rsidRPr="005B5241">
        <w:rPr>
          <w:rFonts w:ascii="Cambria" w:hAnsi="Cambria"/>
          <w:sz w:val="20"/>
          <w:szCs w:val="20"/>
        </w:rPr>
        <w:t>d'augmenter progressivement</w:t>
      </w:r>
      <w:r w:rsidR="00327A70" w:rsidRPr="005B5241">
        <w:rPr>
          <w:sz w:val="20"/>
          <w:szCs w:val="20"/>
        </w:rPr>
        <w:t xml:space="preserve"> </w:t>
      </w:r>
      <w:r w:rsidR="00C5192F" w:rsidRPr="005B5241">
        <w:rPr>
          <w:sz w:val="20"/>
          <w:szCs w:val="20"/>
        </w:rPr>
        <w:t xml:space="preserve">jusqu’à </w:t>
      </w:r>
      <w:r w:rsidR="00FB4968" w:rsidRPr="005B5241">
        <w:rPr>
          <w:sz w:val="20"/>
          <w:szCs w:val="20"/>
        </w:rPr>
        <w:t xml:space="preserve">10% </w:t>
      </w:r>
      <w:r w:rsidR="005C1A96" w:rsidRPr="005B5241">
        <w:rPr>
          <w:sz w:val="20"/>
          <w:szCs w:val="20"/>
        </w:rPr>
        <w:t xml:space="preserve">la couverture d'observateurs, y compris </w:t>
      </w:r>
      <w:r w:rsidR="00EC5E16" w:rsidRPr="005B5241">
        <w:rPr>
          <w:sz w:val="20"/>
          <w:szCs w:val="20"/>
        </w:rPr>
        <w:t>par le biais d</w:t>
      </w:r>
      <w:r w:rsidR="00A40BE7" w:rsidRPr="005B5241">
        <w:rPr>
          <w:sz w:val="20"/>
          <w:szCs w:val="20"/>
        </w:rPr>
        <w:t>e l’</w:t>
      </w:r>
      <w:r w:rsidR="005C1A96" w:rsidRPr="005B5241">
        <w:rPr>
          <w:sz w:val="20"/>
          <w:szCs w:val="20"/>
        </w:rPr>
        <w:t xml:space="preserve">EMS de tous les palangriers </w:t>
      </w:r>
      <w:r w:rsidR="00290F58" w:rsidRPr="005B5241">
        <w:rPr>
          <w:sz w:val="20"/>
          <w:szCs w:val="20"/>
        </w:rPr>
        <w:t xml:space="preserve">dans les pêcheries </w:t>
      </w:r>
      <w:r w:rsidR="005C1A96" w:rsidRPr="005B5241">
        <w:rPr>
          <w:sz w:val="20"/>
          <w:szCs w:val="20"/>
        </w:rPr>
        <w:t xml:space="preserve">de l’ICCAT </w:t>
      </w:r>
      <w:r w:rsidR="008C32B7" w:rsidRPr="005B5241">
        <w:rPr>
          <w:sz w:val="20"/>
          <w:szCs w:val="20"/>
        </w:rPr>
        <w:t>qui pourraient avoir une interaction potentielle avec les requins-taupes bleus de l'Atlantique Nord</w:t>
      </w:r>
      <w:r w:rsidR="00A70B17" w:rsidRPr="005B5241">
        <w:rPr>
          <w:sz w:val="20"/>
          <w:szCs w:val="20"/>
        </w:rPr>
        <w:t>.</w:t>
      </w:r>
      <w:r w:rsidR="008C32B7" w:rsidRPr="005B5241">
        <w:rPr>
          <w:sz w:val="20"/>
          <w:szCs w:val="20"/>
        </w:rPr>
        <w:t xml:space="preserve"> </w:t>
      </w:r>
      <w:r w:rsidR="005C1A96" w:rsidRPr="005B5241">
        <w:rPr>
          <w:sz w:val="20"/>
          <w:szCs w:val="20"/>
        </w:rPr>
        <w:t>Cette augmentation de la couverture devrait être mise en œuvre conformément aux dispositions de la Recommandation 16-14, soit par le déploiement d'observateurs humains à bord des navires, soit par l'utilisation d</w:t>
      </w:r>
      <w:r w:rsidR="00EC5E16" w:rsidRPr="005B5241">
        <w:rPr>
          <w:sz w:val="20"/>
          <w:szCs w:val="20"/>
        </w:rPr>
        <w:t>e l</w:t>
      </w:r>
      <w:r w:rsidR="005C1A96" w:rsidRPr="005B5241">
        <w:rPr>
          <w:sz w:val="20"/>
          <w:szCs w:val="20"/>
        </w:rPr>
        <w:t>'EMS, en tenant compte des normes minimales à convenir par l’ICCAT, sur la base de l’avis du SCRS et du PWG</w:t>
      </w:r>
      <w:r w:rsidR="00BB02C1" w:rsidRPr="005B5241">
        <w:rPr>
          <w:sz w:val="20"/>
          <w:szCs w:val="20"/>
        </w:rPr>
        <w:t>.</w:t>
      </w:r>
    </w:p>
    <w:p w14:paraId="2A69EE80" w14:textId="73688473" w:rsidR="00FB4968" w:rsidRPr="005B5241" w:rsidRDefault="00FB4968" w:rsidP="00C53562">
      <w:pPr>
        <w:rPr>
          <w:sz w:val="20"/>
          <w:szCs w:val="20"/>
        </w:rPr>
      </w:pPr>
    </w:p>
    <w:p w14:paraId="355F0FCA" w14:textId="0405AA1F" w:rsidR="007B765F" w:rsidRPr="005B5241" w:rsidRDefault="0032369E" w:rsidP="0032369E">
      <w:pPr>
        <w:ind w:left="426" w:hanging="426"/>
        <w:jc w:val="both"/>
        <w:rPr>
          <w:sz w:val="20"/>
          <w:szCs w:val="20"/>
        </w:rPr>
      </w:pPr>
      <w:r w:rsidRPr="005B5241">
        <w:rPr>
          <w:sz w:val="20"/>
          <w:szCs w:val="20"/>
        </w:rPr>
        <w:t>17.</w:t>
      </w:r>
      <w:r w:rsidRPr="005B5241">
        <w:rPr>
          <w:sz w:val="20"/>
          <w:szCs w:val="20"/>
        </w:rPr>
        <w:tab/>
      </w:r>
      <w:r w:rsidR="00732B1A" w:rsidRPr="005B5241">
        <w:rPr>
          <w:sz w:val="20"/>
          <w:szCs w:val="20"/>
        </w:rPr>
        <w:t xml:space="preserve"> La collecte d'échantillons biologiques pendant les opérations de pêche commerciale devra être conforme à la </w:t>
      </w:r>
      <w:r w:rsidR="00732B1A" w:rsidRPr="005B5241">
        <w:rPr>
          <w:i/>
          <w:iCs/>
          <w:sz w:val="20"/>
          <w:szCs w:val="20"/>
        </w:rPr>
        <w:t xml:space="preserve">Recommandation de l’ICCAT sur l'échantillonnage biologique des espèces interdites de requins par des observateurs scientifiques </w:t>
      </w:r>
      <w:r w:rsidR="00732B1A" w:rsidRPr="005B5241">
        <w:rPr>
          <w:sz w:val="20"/>
          <w:szCs w:val="20"/>
        </w:rPr>
        <w:t>(Rec. 13-10). Les CPC devraient encourager l</w:t>
      </w:r>
      <w:r w:rsidR="001A43B9" w:rsidRPr="005B5241">
        <w:rPr>
          <w:sz w:val="20"/>
          <w:szCs w:val="20"/>
        </w:rPr>
        <w:t xml:space="preserve">a collecte </w:t>
      </w:r>
      <w:r w:rsidR="00290F58" w:rsidRPr="005B5241">
        <w:rPr>
          <w:sz w:val="20"/>
          <w:szCs w:val="20"/>
        </w:rPr>
        <w:t>de données</w:t>
      </w:r>
      <w:r w:rsidR="00732B1A" w:rsidRPr="005B5241">
        <w:rPr>
          <w:sz w:val="20"/>
          <w:szCs w:val="20"/>
        </w:rPr>
        <w:t xml:space="preserve"> biologiques </w:t>
      </w:r>
      <w:r w:rsidR="00290F58" w:rsidRPr="005B5241">
        <w:rPr>
          <w:sz w:val="20"/>
          <w:szCs w:val="20"/>
        </w:rPr>
        <w:t xml:space="preserve">et d’échantillons biologiques </w:t>
      </w:r>
      <w:r w:rsidR="00732B1A" w:rsidRPr="005B5241">
        <w:rPr>
          <w:sz w:val="20"/>
          <w:szCs w:val="20"/>
        </w:rPr>
        <w:t>des spécimens de requin-taupe bleu de l’Atlantique Nord morts à la remontée, tels que les muscles, les vertèbres</w:t>
      </w:r>
      <w:r w:rsidR="00277218" w:rsidRPr="005B5241">
        <w:rPr>
          <w:sz w:val="20"/>
          <w:szCs w:val="20"/>
        </w:rPr>
        <w:t xml:space="preserve"> </w:t>
      </w:r>
      <w:r w:rsidR="00732B1A" w:rsidRPr="005B5241">
        <w:rPr>
          <w:sz w:val="20"/>
          <w:szCs w:val="20"/>
        </w:rPr>
        <w:t>et les tissus reproducteurs, conformément aux dispositions de la présente Recommandation et selon les recommandations du SCRS.</w:t>
      </w:r>
      <w:bookmarkStart w:id="1" w:name="_Hlk88230449"/>
    </w:p>
    <w:p w14:paraId="25351308" w14:textId="77777777" w:rsidR="00147A78" w:rsidRPr="005B5241" w:rsidRDefault="00147A78" w:rsidP="0032369E">
      <w:pPr>
        <w:ind w:left="426" w:hanging="426"/>
        <w:jc w:val="both"/>
        <w:rPr>
          <w:sz w:val="20"/>
          <w:szCs w:val="20"/>
        </w:rPr>
      </w:pPr>
    </w:p>
    <w:p w14:paraId="4925D880" w14:textId="77777777" w:rsidR="007B2021" w:rsidRDefault="007B2021">
      <w:pPr>
        <w:rPr>
          <w:rFonts w:ascii="Cambria" w:hAnsi="Cambria"/>
          <w:sz w:val="20"/>
          <w:szCs w:val="20"/>
        </w:rPr>
      </w:pPr>
      <w:r>
        <w:rPr>
          <w:rFonts w:ascii="Cambria" w:hAnsi="Cambria"/>
          <w:sz w:val="20"/>
          <w:szCs w:val="20"/>
        </w:rPr>
        <w:br w:type="page"/>
      </w:r>
    </w:p>
    <w:p w14:paraId="6D4D77C9" w14:textId="111AB887" w:rsidR="007233FB" w:rsidRPr="005B5241" w:rsidRDefault="0032369E" w:rsidP="00C53562">
      <w:pPr>
        <w:widowControl w:val="0"/>
        <w:autoSpaceDE w:val="0"/>
        <w:autoSpaceDN w:val="0"/>
        <w:adjustRightInd w:val="0"/>
        <w:ind w:left="426" w:hanging="426"/>
        <w:jc w:val="both"/>
        <w:rPr>
          <w:rFonts w:ascii="Cambria" w:hAnsi="Cambria"/>
          <w:sz w:val="20"/>
        </w:rPr>
      </w:pPr>
      <w:r w:rsidRPr="005B5241">
        <w:rPr>
          <w:rFonts w:ascii="Cambria" w:hAnsi="Cambria"/>
          <w:sz w:val="20"/>
          <w:szCs w:val="20"/>
        </w:rPr>
        <w:lastRenderedPageBreak/>
        <w:t>1</w:t>
      </w:r>
      <w:r w:rsidR="00BB02C1" w:rsidRPr="005B5241">
        <w:rPr>
          <w:rFonts w:ascii="Cambria" w:hAnsi="Cambria"/>
          <w:sz w:val="20"/>
          <w:szCs w:val="20"/>
        </w:rPr>
        <w:t>8</w:t>
      </w:r>
      <w:r w:rsidRPr="005B5241">
        <w:rPr>
          <w:rFonts w:ascii="Cambria" w:hAnsi="Cambria"/>
          <w:sz w:val="20"/>
          <w:szCs w:val="20"/>
        </w:rPr>
        <w:t>.</w:t>
      </w:r>
      <w:r w:rsidR="00BB02C1" w:rsidRPr="005B5241">
        <w:rPr>
          <w:rFonts w:ascii="Cambria" w:hAnsi="Cambria"/>
          <w:sz w:val="20"/>
          <w:szCs w:val="20"/>
        </w:rPr>
        <w:tab/>
        <w:t xml:space="preserve">Nonobstant le paragraphe </w:t>
      </w:r>
      <w:r w:rsidRPr="005B5241">
        <w:rPr>
          <w:rFonts w:ascii="Cambria" w:hAnsi="Cambria"/>
          <w:sz w:val="20"/>
          <w:szCs w:val="20"/>
        </w:rPr>
        <w:t>7</w:t>
      </w:r>
      <w:r w:rsidR="00BB02C1" w:rsidRPr="005B5241">
        <w:rPr>
          <w:rFonts w:ascii="Cambria" w:hAnsi="Cambria"/>
          <w:sz w:val="20"/>
          <w:szCs w:val="20"/>
        </w:rPr>
        <w:t xml:space="preserve">, dans le contexte de la présente Recommandation et uniquement pour les navires de </w:t>
      </w:r>
      <w:r w:rsidR="00C12BB4" w:rsidRPr="005B5241">
        <w:rPr>
          <w:rFonts w:ascii="Cambria" w:hAnsi="Cambria"/>
          <w:sz w:val="20"/>
          <w:szCs w:val="20"/>
        </w:rPr>
        <w:t>moins de 15</w:t>
      </w:r>
      <w:r w:rsidR="00CC459F" w:rsidRPr="005B5241">
        <w:rPr>
          <w:rFonts w:ascii="Cambria" w:hAnsi="Cambria"/>
          <w:sz w:val="20"/>
          <w:szCs w:val="20"/>
        </w:rPr>
        <w:t xml:space="preserve"> </w:t>
      </w:r>
      <w:r w:rsidR="00BB02C1" w:rsidRPr="005B5241">
        <w:rPr>
          <w:rFonts w:ascii="Cambria" w:hAnsi="Cambria"/>
          <w:sz w:val="20"/>
          <w:szCs w:val="20"/>
        </w:rPr>
        <w:t>mètres, lorsqu'il existe un problème de sécurité extraordinaire qui empêche</w:t>
      </w:r>
      <w:r w:rsidR="00BB02C1" w:rsidRPr="005B5241">
        <w:rPr>
          <w:rFonts w:ascii="Cambria" w:hAnsi="Cambria"/>
          <w:sz w:val="20"/>
        </w:rPr>
        <w:t xml:space="preserve"> le déploiement d'un observateur à bord, une CPC peut exceptionnellement appliquer une approche alternative telle que définie </w:t>
      </w:r>
      <w:r w:rsidR="00CC459F" w:rsidRPr="005B5241">
        <w:rPr>
          <w:rFonts w:ascii="Cambria" w:hAnsi="Cambria"/>
          <w:sz w:val="20"/>
        </w:rPr>
        <w:t>dans</w:t>
      </w:r>
      <w:r w:rsidR="00BB02C1" w:rsidRPr="005B5241">
        <w:rPr>
          <w:rFonts w:ascii="Cambria" w:hAnsi="Cambria"/>
          <w:sz w:val="20"/>
        </w:rPr>
        <w:t xml:space="preserve"> la Recommandation 16-14. Cette dérogation au paragraphe </w:t>
      </w:r>
      <w:r w:rsidRPr="005B5241">
        <w:rPr>
          <w:rFonts w:ascii="Cambria" w:hAnsi="Cambria"/>
          <w:sz w:val="20"/>
        </w:rPr>
        <w:t>7</w:t>
      </w:r>
      <w:r w:rsidR="00BB02C1" w:rsidRPr="005B5241">
        <w:rPr>
          <w:rFonts w:ascii="Cambria" w:hAnsi="Cambria"/>
          <w:sz w:val="20"/>
        </w:rPr>
        <w:t xml:space="preserve"> devra être sans préjudice de l'engagement général de toutes les CPC, tel que décrit dans cette mesure, à mettre immédiatement fin à la surpêche et à réduire les niveaux de mortalité. Toute CPC souhaitant se prévaloir de cette approche alternative doit</w:t>
      </w:r>
      <w:r w:rsidR="009B3EF0" w:rsidRPr="005B5241">
        <w:rPr>
          <w:rFonts w:ascii="Cambria" w:hAnsi="Cambria"/>
          <w:sz w:val="20"/>
        </w:rPr>
        <w:t> :</w:t>
      </w:r>
      <w:r w:rsidR="00BB02C1" w:rsidRPr="005B5241">
        <w:rPr>
          <w:rFonts w:ascii="Cambria" w:hAnsi="Cambria"/>
          <w:sz w:val="20"/>
        </w:rPr>
        <w:t xml:space="preserve"> 1) présenter les détails de l'approche au SCRS sur la base de l'avis du SCRS pour évaluation et </w:t>
      </w:r>
      <w:r w:rsidR="009B3EF0" w:rsidRPr="005B5241">
        <w:rPr>
          <w:rFonts w:ascii="Cambria" w:hAnsi="Cambria"/>
          <w:sz w:val="20"/>
        </w:rPr>
        <w:t xml:space="preserve">2) </w:t>
      </w:r>
      <w:r w:rsidR="00BB02C1" w:rsidRPr="005B5241">
        <w:rPr>
          <w:rFonts w:ascii="Cambria" w:hAnsi="Cambria"/>
          <w:sz w:val="20"/>
        </w:rPr>
        <w:t xml:space="preserve">obtenir l'approbation de la Commission (tel que stipulé </w:t>
      </w:r>
      <w:r w:rsidR="00CC459F" w:rsidRPr="005B5241">
        <w:rPr>
          <w:rFonts w:ascii="Cambria" w:hAnsi="Cambria"/>
          <w:sz w:val="20"/>
        </w:rPr>
        <w:t>dans</w:t>
      </w:r>
      <w:r w:rsidR="00BB02C1" w:rsidRPr="005B5241">
        <w:rPr>
          <w:rFonts w:ascii="Cambria" w:hAnsi="Cambria"/>
          <w:sz w:val="20"/>
        </w:rPr>
        <w:t xml:space="preserve"> la Recommandation 16-14).</w:t>
      </w:r>
      <w:bookmarkEnd w:id="1"/>
    </w:p>
    <w:p w14:paraId="0056DF89" w14:textId="77777777" w:rsidR="00FB4968" w:rsidRPr="005B5241" w:rsidRDefault="00FB4968" w:rsidP="00C53562">
      <w:pPr>
        <w:widowControl w:val="0"/>
        <w:autoSpaceDE w:val="0"/>
        <w:autoSpaceDN w:val="0"/>
        <w:adjustRightInd w:val="0"/>
        <w:ind w:left="426" w:hanging="426"/>
        <w:jc w:val="both"/>
        <w:rPr>
          <w:b/>
          <w:sz w:val="20"/>
          <w:szCs w:val="20"/>
        </w:rPr>
      </w:pPr>
    </w:p>
    <w:p w14:paraId="4646B3B3" w14:textId="0D93771E" w:rsidR="00210231" w:rsidRPr="005B5241" w:rsidRDefault="00210231" w:rsidP="00C53562">
      <w:pPr>
        <w:widowControl w:val="0"/>
        <w:autoSpaceDE w:val="0"/>
        <w:autoSpaceDN w:val="0"/>
        <w:adjustRightInd w:val="0"/>
        <w:ind w:left="284" w:hanging="284"/>
        <w:jc w:val="both"/>
        <w:rPr>
          <w:rFonts w:eastAsia="MS Mincho" w:cs="Times New Roman"/>
          <w:b/>
          <w:bCs/>
          <w:iCs/>
          <w:sz w:val="20"/>
          <w:szCs w:val="20"/>
        </w:rPr>
      </w:pPr>
      <w:r w:rsidRPr="005B5241">
        <w:rPr>
          <w:b/>
          <w:sz w:val="20"/>
          <w:szCs w:val="20"/>
        </w:rPr>
        <w:t>Activités scientifiques et de recherche</w:t>
      </w:r>
    </w:p>
    <w:p w14:paraId="2168A721" w14:textId="50C18C23" w:rsidR="00210231" w:rsidRPr="005B5241" w:rsidRDefault="00210231" w:rsidP="00C53562">
      <w:pPr>
        <w:widowControl w:val="0"/>
        <w:autoSpaceDE w:val="0"/>
        <w:autoSpaceDN w:val="0"/>
        <w:adjustRightInd w:val="0"/>
        <w:ind w:left="284" w:hanging="284"/>
        <w:jc w:val="both"/>
        <w:rPr>
          <w:rFonts w:eastAsia="MS Mincho" w:cs="Times New Roman"/>
          <w:sz w:val="20"/>
          <w:szCs w:val="20"/>
          <w:lang w:eastAsia="ja-JP"/>
        </w:rPr>
      </w:pPr>
    </w:p>
    <w:p w14:paraId="46E0734E" w14:textId="6E75CF39" w:rsidR="00210231" w:rsidRPr="005B5241" w:rsidRDefault="0032369E" w:rsidP="00C53562">
      <w:pPr>
        <w:pStyle w:val="ListParagraph"/>
        <w:tabs>
          <w:tab w:val="left" w:pos="426"/>
        </w:tabs>
        <w:ind w:left="426" w:hanging="426"/>
        <w:jc w:val="both"/>
        <w:rPr>
          <w:sz w:val="20"/>
          <w:szCs w:val="20"/>
        </w:rPr>
      </w:pPr>
      <w:r w:rsidRPr="005B5241">
        <w:rPr>
          <w:sz w:val="20"/>
          <w:szCs w:val="20"/>
        </w:rPr>
        <w:t>1</w:t>
      </w:r>
      <w:r w:rsidR="005946CA" w:rsidRPr="005B5241">
        <w:rPr>
          <w:sz w:val="20"/>
          <w:szCs w:val="20"/>
        </w:rPr>
        <w:t>9</w:t>
      </w:r>
      <w:r w:rsidR="009A4F3A" w:rsidRPr="005B5241">
        <w:rPr>
          <w:sz w:val="20"/>
          <w:szCs w:val="20"/>
        </w:rPr>
        <w:t>.</w:t>
      </w:r>
      <w:r w:rsidR="009A4F3A" w:rsidRPr="005B5241">
        <w:rPr>
          <w:sz w:val="20"/>
          <w:szCs w:val="20"/>
        </w:rPr>
        <w:tab/>
        <w:t>Le SCRS devra continuer à donner la priorité</w:t>
      </w:r>
      <w:r w:rsidR="00110222" w:rsidRPr="005B5241">
        <w:rPr>
          <w:sz w:val="20"/>
          <w:szCs w:val="20"/>
        </w:rPr>
        <w:t xml:space="preserve"> : </w:t>
      </w:r>
      <w:r w:rsidR="009A4F3A" w:rsidRPr="005B5241">
        <w:rPr>
          <w:sz w:val="20"/>
          <w:szCs w:val="20"/>
        </w:rPr>
        <w:t>à</w:t>
      </w:r>
      <w:r w:rsidR="00110222" w:rsidRPr="005B5241">
        <w:rPr>
          <w:sz w:val="20"/>
          <w:szCs w:val="20"/>
        </w:rPr>
        <w:t xml:space="preserve"> </w:t>
      </w:r>
      <w:r w:rsidR="009A4F3A" w:rsidRPr="005B5241">
        <w:rPr>
          <w:sz w:val="20"/>
          <w:szCs w:val="20"/>
        </w:rPr>
        <w:t>la recherche sur l’identification des zones de reproduction, de mise bas et de nourricerie, ainsi que d'autres zones de forte concentration de requins-taupes bleus</w:t>
      </w:r>
      <w:r w:rsidR="00110222" w:rsidRPr="005B5241">
        <w:rPr>
          <w:sz w:val="20"/>
          <w:szCs w:val="20"/>
        </w:rPr>
        <w:t xml:space="preserve"> </w:t>
      </w:r>
      <w:r w:rsidR="009A4F3A" w:rsidRPr="005B5241">
        <w:rPr>
          <w:sz w:val="20"/>
          <w:szCs w:val="20"/>
        </w:rPr>
        <w:t xml:space="preserve">; </w:t>
      </w:r>
      <w:r w:rsidR="00110222" w:rsidRPr="005B5241">
        <w:rPr>
          <w:sz w:val="20"/>
          <w:szCs w:val="20"/>
        </w:rPr>
        <w:t>aux</w:t>
      </w:r>
      <w:r w:rsidR="009A4F3A" w:rsidRPr="005B5241">
        <w:rPr>
          <w:sz w:val="20"/>
          <w:szCs w:val="20"/>
        </w:rPr>
        <w:t xml:space="preserve"> options pour des mesures spatio-temporelles</w:t>
      </w:r>
      <w:r w:rsidR="00110222" w:rsidRPr="005B5241">
        <w:rPr>
          <w:sz w:val="20"/>
          <w:szCs w:val="20"/>
        </w:rPr>
        <w:t> ;</w:t>
      </w:r>
      <w:r w:rsidR="009A4F3A" w:rsidRPr="005B5241">
        <w:rPr>
          <w:sz w:val="20"/>
          <w:szCs w:val="20"/>
        </w:rPr>
        <w:t xml:space="preserve"> </w:t>
      </w:r>
      <w:r w:rsidR="00110222" w:rsidRPr="005B5241">
        <w:rPr>
          <w:sz w:val="20"/>
          <w:szCs w:val="20"/>
        </w:rPr>
        <w:t>d</w:t>
      </w:r>
      <w:r w:rsidR="009A4F3A" w:rsidRPr="005B5241">
        <w:rPr>
          <w:sz w:val="20"/>
          <w:szCs w:val="20"/>
        </w:rPr>
        <w:t>es mesures d'atténuation (</w:t>
      </w:r>
      <w:r w:rsidR="00290F58" w:rsidRPr="005B5241">
        <w:rPr>
          <w:sz w:val="20"/>
          <w:szCs w:val="20"/>
        </w:rPr>
        <w:t>entre autres</w:t>
      </w:r>
      <w:r w:rsidR="009A4F3A" w:rsidRPr="005B5241">
        <w:rPr>
          <w:sz w:val="20"/>
          <w:szCs w:val="20"/>
        </w:rPr>
        <w:t xml:space="preserve"> la configuration </w:t>
      </w:r>
      <w:r w:rsidR="00290F58" w:rsidRPr="005B5241">
        <w:rPr>
          <w:sz w:val="20"/>
          <w:szCs w:val="20"/>
        </w:rPr>
        <w:t>et la modification de l’engin, les options de déploiement</w:t>
      </w:r>
      <w:r w:rsidR="009A4F3A" w:rsidRPr="005B5241">
        <w:rPr>
          <w:sz w:val="20"/>
          <w:szCs w:val="20"/>
        </w:rPr>
        <w:t xml:space="preserve">), conjointement avec les avantages et les inconvénients </w:t>
      </w:r>
      <w:r w:rsidR="002778D9" w:rsidRPr="005B5241">
        <w:rPr>
          <w:sz w:val="20"/>
          <w:szCs w:val="20"/>
        </w:rPr>
        <w:t xml:space="preserve">pour </w:t>
      </w:r>
      <w:r w:rsidR="009A4F3A" w:rsidRPr="005B5241">
        <w:rPr>
          <w:sz w:val="20"/>
          <w:szCs w:val="20"/>
        </w:rPr>
        <w:t>les objectifs du programme de rétablissement, visant à améliorer davantage l’état des stocks</w:t>
      </w:r>
      <w:r w:rsidR="00110222" w:rsidRPr="005B5241">
        <w:rPr>
          <w:sz w:val="20"/>
          <w:szCs w:val="20"/>
        </w:rPr>
        <w:t xml:space="preserve"> ; </w:t>
      </w:r>
      <w:r w:rsidR="009A4F3A" w:rsidRPr="005B5241">
        <w:rPr>
          <w:sz w:val="20"/>
          <w:szCs w:val="20"/>
        </w:rPr>
        <w:t xml:space="preserve">et </w:t>
      </w:r>
      <w:r w:rsidR="00110222" w:rsidRPr="005B5241">
        <w:rPr>
          <w:sz w:val="20"/>
          <w:szCs w:val="20"/>
        </w:rPr>
        <w:t xml:space="preserve">à </w:t>
      </w:r>
      <w:r w:rsidR="009A4F3A" w:rsidRPr="005B5241">
        <w:rPr>
          <w:sz w:val="20"/>
          <w:szCs w:val="20"/>
        </w:rPr>
        <w:t>d'autres domaines que le SCRS juge utiles pour améliorer les évaluations de stocks et réduire la mortalité du requin-taupe bleu. En outre, les CPC sont encouragées à enquêter sur la mortalité à bord et après la remise à l'eau du requin-taupe bleu, y compris, mais pas exclusivement, au moyen de l'incorporation de minuteurs d’hameçons et de programmes de marquage par satellite.</w:t>
      </w:r>
    </w:p>
    <w:p w14:paraId="2BB45AC4" w14:textId="77777777" w:rsidR="00357F08" w:rsidRPr="005B5241" w:rsidRDefault="00357F08" w:rsidP="00C53562">
      <w:pPr>
        <w:pStyle w:val="ListParagraph"/>
        <w:tabs>
          <w:tab w:val="left" w:pos="426"/>
        </w:tabs>
        <w:ind w:hanging="720"/>
        <w:jc w:val="both"/>
        <w:rPr>
          <w:sz w:val="20"/>
          <w:szCs w:val="20"/>
        </w:rPr>
      </w:pPr>
    </w:p>
    <w:p w14:paraId="116308CD" w14:textId="04B0C3BE" w:rsidR="00BB02C1" w:rsidRPr="005B5241" w:rsidRDefault="0032369E" w:rsidP="00C53562">
      <w:pPr>
        <w:tabs>
          <w:tab w:val="left" w:pos="426"/>
        </w:tabs>
        <w:ind w:left="426" w:hanging="426"/>
        <w:jc w:val="both"/>
        <w:rPr>
          <w:bCs/>
          <w:sz w:val="20"/>
          <w:szCs w:val="20"/>
        </w:rPr>
      </w:pPr>
      <w:r w:rsidRPr="005B5241">
        <w:rPr>
          <w:bCs/>
          <w:sz w:val="20"/>
          <w:szCs w:val="20"/>
        </w:rPr>
        <w:t>20</w:t>
      </w:r>
      <w:r w:rsidR="00FD007A">
        <w:rPr>
          <w:bCs/>
          <w:sz w:val="20"/>
          <w:szCs w:val="20"/>
        </w:rPr>
        <w:t>.</w:t>
      </w:r>
      <w:r w:rsidR="00357F08" w:rsidRPr="005B5241">
        <w:rPr>
          <w:bCs/>
          <w:sz w:val="20"/>
          <w:szCs w:val="20"/>
        </w:rPr>
        <w:tab/>
      </w:r>
      <w:r w:rsidR="00ED69CD" w:rsidRPr="005B5241">
        <w:rPr>
          <w:rFonts w:ascii="Cambria" w:hAnsi="Cambria"/>
          <w:sz w:val="20"/>
        </w:rPr>
        <w:t xml:space="preserve">Compte tenu du fait que </w:t>
      </w:r>
      <w:r w:rsidR="00E06098" w:rsidRPr="005B5241">
        <w:rPr>
          <w:rFonts w:ascii="Cambria" w:hAnsi="Cambria"/>
          <w:sz w:val="20"/>
        </w:rPr>
        <w:t xml:space="preserve">des captures accessoires réalisées dans </w:t>
      </w:r>
      <w:r w:rsidR="00ED69CD" w:rsidRPr="005B5241">
        <w:rPr>
          <w:rFonts w:ascii="Cambria" w:hAnsi="Cambria"/>
          <w:sz w:val="20"/>
        </w:rPr>
        <w:t xml:space="preserve">des points névralgiques pourraient se produire dans des zones et des périodes présentant des conditions océanographiques spécifiques, le SCRS </w:t>
      </w:r>
      <w:r w:rsidR="00357F08" w:rsidRPr="005B5241">
        <w:rPr>
          <w:bCs/>
          <w:sz w:val="20"/>
          <w:szCs w:val="20"/>
        </w:rPr>
        <w:t xml:space="preserve">devra lancer un projet pilote pour explorer les avantages de l'installation de mini-enregistreurs de données sur la ligne mère et sur les avançons des palangriers </w:t>
      </w:r>
      <w:r w:rsidR="00290F58" w:rsidRPr="005B5241">
        <w:rPr>
          <w:bCs/>
          <w:sz w:val="20"/>
          <w:szCs w:val="20"/>
        </w:rPr>
        <w:t xml:space="preserve">qui participent au projet sur une base volontaire </w:t>
      </w:r>
      <w:r w:rsidR="00357F08" w:rsidRPr="005B5241">
        <w:rPr>
          <w:bCs/>
          <w:sz w:val="20"/>
          <w:szCs w:val="20"/>
        </w:rPr>
        <w:t xml:space="preserve">ciblant les espèces de l'ICCAT qui ont des interactions potentielles avec le requin-taupe bleu. Le SCRS devra fournir des orientations sur les caractéristiques de base, le nombre minimum et les positions d'installation des mini enregistreurs de données afin de mieux comprendre les effets du temps de mouillage, des profondeurs de pêche et des caractéristiques environnementales à l'origine des captures accidentelles plus élevées de requins-taupes bleus. </w:t>
      </w:r>
    </w:p>
    <w:p w14:paraId="6D29C8C4" w14:textId="77777777" w:rsidR="00C11C6F" w:rsidRPr="005B5241" w:rsidRDefault="00C11C6F" w:rsidP="00C53562">
      <w:pPr>
        <w:tabs>
          <w:tab w:val="left" w:pos="426"/>
        </w:tabs>
        <w:ind w:left="426" w:hanging="426"/>
        <w:jc w:val="both"/>
        <w:rPr>
          <w:sz w:val="20"/>
          <w:szCs w:val="20"/>
        </w:rPr>
      </w:pPr>
    </w:p>
    <w:p w14:paraId="5D8B4B94" w14:textId="79AFFBBE" w:rsidR="00290F58" w:rsidRPr="005B5241" w:rsidRDefault="0032369E" w:rsidP="00C53562">
      <w:pPr>
        <w:pStyle w:val="ListParagraph"/>
        <w:tabs>
          <w:tab w:val="left" w:pos="426"/>
        </w:tabs>
        <w:ind w:left="426" w:hanging="426"/>
        <w:jc w:val="both"/>
        <w:rPr>
          <w:strike/>
          <w:sz w:val="20"/>
          <w:szCs w:val="20"/>
        </w:rPr>
      </w:pPr>
      <w:r w:rsidRPr="005B5241">
        <w:rPr>
          <w:sz w:val="20"/>
          <w:szCs w:val="20"/>
        </w:rPr>
        <w:t>2</w:t>
      </w:r>
      <w:r w:rsidR="00726205" w:rsidRPr="005B5241">
        <w:rPr>
          <w:sz w:val="20"/>
          <w:szCs w:val="20"/>
        </w:rPr>
        <w:t>1</w:t>
      </w:r>
      <w:r w:rsidR="00C50908" w:rsidRPr="005B5241">
        <w:rPr>
          <w:b/>
          <w:bCs/>
          <w:sz w:val="20"/>
          <w:szCs w:val="20"/>
        </w:rPr>
        <w:t xml:space="preserve">. </w:t>
      </w:r>
    </w:p>
    <w:p w14:paraId="670C20D5" w14:textId="77777777" w:rsidR="00290F58" w:rsidRPr="005B5241" w:rsidRDefault="00290F58" w:rsidP="00C53562">
      <w:pPr>
        <w:pStyle w:val="ListParagraph"/>
        <w:tabs>
          <w:tab w:val="left" w:pos="426"/>
        </w:tabs>
        <w:ind w:left="426" w:hanging="426"/>
        <w:jc w:val="both"/>
        <w:rPr>
          <w:sz w:val="20"/>
          <w:szCs w:val="20"/>
        </w:rPr>
      </w:pPr>
    </w:p>
    <w:p w14:paraId="605A137F" w14:textId="01554E61" w:rsidR="003640C1" w:rsidRPr="005B5241" w:rsidRDefault="003640C1" w:rsidP="0032369E">
      <w:pPr>
        <w:pStyle w:val="ListParagraph"/>
        <w:ind w:left="851" w:hanging="426"/>
        <w:jc w:val="both"/>
        <w:rPr>
          <w:sz w:val="20"/>
          <w:szCs w:val="20"/>
        </w:rPr>
      </w:pPr>
      <w:r w:rsidRPr="005B5241">
        <w:rPr>
          <w:sz w:val="20"/>
          <w:szCs w:val="20"/>
        </w:rPr>
        <w:t xml:space="preserve">a) </w:t>
      </w:r>
      <w:r w:rsidRPr="005B5241">
        <w:rPr>
          <w:sz w:val="20"/>
          <w:szCs w:val="20"/>
        </w:rPr>
        <w:tab/>
        <w:t>Le SCRS devra fournir à la Commission, d'ici 2023, et dès que de nouvelles informations s</w:t>
      </w:r>
      <w:r w:rsidR="007F384F" w:rsidRPr="005B5241">
        <w:rPr>
          <w:sz w:val="20"/>
          <w:szCs w:val="20"/>
        </w:rPr>
        <w:t>er</w:t>
      </w:r>
      <w:r w:rsidRPr="005B5241">
        <w:rPr>
          <w:sz w:val="20"/>
          <w:szCs w:val="20"/>
        </w:rPr>
        <w:t xml:space="preserve">ont disponibles, un avis actualisé sur les mesures d'atténuation visant à réduire davantage la mortalité du requin-taupe bleu. À cette fin, </w:t>
      </w:r>
      <w:r w:rsidR="00D9750B" w:rsidRPr="005B5241">
        <w:rPr>
          <w:sz w:val="20"/>
          <w:szCs w:val="20"/>
        </w:rPr>
        <w:t>d’ici le 30</w:t>
      </w:r>
      <w:r w:rsidRPr="005B5241">
        <w:rPr>
          <w:sz w:val="20"/>
          <w:szCs w:val="20"/>
        </w:rPr>
        <w:t xml:space="preserve"> avril 2023, les CPC devront soumettre au SCRS des informations </w:t>
      </w:r>
      <w:r w:rsidR="00D9750B" w:rsidRPr="005B5241">
        <w:rPr>
          <w:sz w:val="20"/>
          <w:szCs w:val="20"/>
        </w:rPr>
        <w:t>par</w:t>
      </w:r>
      <w:r w:rsidRPr="005B5241">
        <w:rPr>
          <w:sz w:val="20"/>
          <w:szCs w:val="20"/>
        </w:rPr>
        <w:t xml:space="preserve"> pêcherie sur les mesures techniques et autres mesures de gestion qu'elles ont mises en œuvre afin de réduire la mortalité totale par pêche du requin-taupe bleu de l'Atlantique Nord, à l’exception des CPC qui ont déjà fourni cette information au Secrétariat. Le SCRS devra examiner ces informations et conseiller la Commission sur les outils et les approches qui ont été les plus efficaces pour réduire la mortalité par pêche, en vue de recommander des mesures spécifiques qui devraient être considérées pour adoption par la Commission.</w:t>
      </w:r>
    </w:p>
    <w:p w14:paraId="5BD0061A" w14:textId="77777777" w:rsidR="00BB02C1" w:rsidRPr="005B5241" w:rsidRDefault="00BB02C1" w:rsidP="0032369E">
      <w:pPr>
        <w:pStyle w:val="ListParagraph"/>
        <w:ind w:left="851" w:hanging="426"/>
        <w:jc w:val="both"/>
        <w:rPr>
          <w:b/>
          <w:sz w:val="20"/>
          <w:szCs w:val="20"/>
        </w:rPr>
      </w:pPr>
    </w:p>
    <w:p w14:paraId="434C4949" w14:textId="63F1D3F4" w:rsidR="00BB02C1" w:rsidRPr="005B5241" w:rsidRDefault="00BB02C1" w:rsidP="0032369E">
      <w:pPr>
        <w:pStyle w:val="ListParagraph"/>
        <w:ind w:left="851" w:hanging="426"/>
        <w:jc w:val="both"/>
        <w:rPr>
          <w:rFonts w:ascii="Cambria" w:hAnsi="Cambria"/>
          <w:sz w:val="20"/>
          <w:szCs w:val="20"/>
        </w:rPr>
      </w:pPr>
      <w:r w:rsidRPr="005B5241">
        <w:rPr>
          <w:sz w:val="20"/>
          <w:szCs w:val="20"/>
        </w:rPr>
        <w:t>b)</w:t>
      </w:r>
      <w:r w:rsidRPr="005B5241">
        <w:rPr>
          <w:sz w:val="20"/>
          <w:szCs w:val="20"/>
        </w:rPr>
        <w:tab/>
        <w:t>En tenant compte de l'information sur les mesures techniques et autres mesures de gestion</w:t>
      </w:r>
      <w:r w:rsidRPr="005B5241">
        <w:rPr>
          <w:rFonts w:ascii="Cambria" w:hAnsi="Cambria"/>
          <w:sz w:val="20"/>
        </w:rPr>
        <w:t xml:space="preserve"> soumises par les CPC au sous-paragraphe (a) ci-dessus, le SCRS devra évaluer les avantages potentiels des limites de taille </w:t>
      </w:r>
      <w:r w:rsidR="005521DE" w:rsidRPr="005B5241">
        <w:rPr>
          <w:rFonts w:ascii="Cambria" w:hAnsi="Cambria"/>
          <w:sz w:val="20"/>
        </w:rPr>
        <w:t xml:space="preserve">tant </w:t>
      </w:r>
      <w:r w:rsidR="00C0694E" w:rsidRPr="005B5241">
        <w:rPr>
          <w:rFonts w:ascii="Cambria" w:hAnsi="Cambria"/>
          <w:sz w:val="20"/>
        </w:rPr>
        <w:t xml:space="preserve">minimale </w:t>
      </w:r>
      <w:r w:rsidR="005521DE" w:rsidRPr="005B5241">
        <w:rPr>
          <w:rFonts w:ascii="Cambria" w:hAnsi="Cambria"/>
          <w:sz w:val="20"/>
        </w:rPr>
        <w:t>que</w:t>
      </w:r>
      <w:r w:rsidR="00C0694E" w:rsidRPr="005B5241">
        <w:rPr>
          <w:rFonts w:ascii="Cambria" w:hAnsi="Cambria"/>
          <w:sz w:val="20"/>
        </w:rPr>
        <w:t xml:space="preserve"> maximale </w:t>
      </w:r>
      <w:r w:rsidRPr="005B5241">
        <w:rPr>
          <w:rFonts w:ascii="Cambria" w:hAnsi="Cambria"/>
          <w:sz w:val="20"/>
        </w:rPr>
        <w:t>pour la rétention</w:t>
      </w:r>
      <w:r w:rsidR="00C0694E" w:rsidRPr="005B5241">
        <w:rPr>
          <w:rFonts w:ascii="Cambria" w:hAnsi="Cambria"/>
          <w:sz w:val="20"/>
        </w:rPr>
        <w:t xml:space="preserve"> </w:t>
      </w:r>
      <w:r w:rsidR="00FE24FD" w:rsidRPr="005B5241">
        <w:rPr>
          <w:rFonts w:ascii="Cambria" w:hAnsi="Cambria"/>
          <w:sz w:val="20"/>
        </w:rPr>
        <w:t>de spécimens vivants</w:t>
      </w:r>
      <w:r w:rsidR="005946CA" w:rsidRPr="005B5241">
        <w:rPr>
          <w:rFonts w:ascii="Cambria" w:hAnsi="Cambria"/>
          <w:sz w:val="20"/>
        </w:rPr>
        <w:t xml:space="preserve"> (appliquées séparément ou en combinaison),</w:t>
      </w:r>
      <w:r w:rsidRPr="005B5241">
        <w:rPr>
          <w:rFonts w:ascii="Cambria" w:hAnsi="Cambria"/>
          <w:sz w:val="20"/>
        </w:rPr>
        <w:t xml:space="preserve"> en particulier les tailles spécifiques au sexe à maturité basées sur les meilleures données scientifiques disponibles, </w:t>
      </w:r>
      <w:r w:rsidR="005946CA" w:rsidRPr="005B5241">
        <w:rPr>
          <w:rFonts w:ascii="Cambria" w:hAnsi="Cambria"/>
          <w:sz w:val="20"/>
        </w:rPr>
        <w:t>particulièrement</w:t>
      </w:r>
      <w:r w:rsidRPr="005B5241">
        <w:rPr>
          <w:rFonts w:ascii="Cambria" w:hAnsi="Cambria"/>
          <w:sz w:val="20"/>
        </w:rPr>
        <w:t xml:space="preserve"> lorsqu'elles sont considérées en combinaison avec d'autres mesures de gestion, </w:t>
      </w:r>
      <w:r w:rsidR="00911956" w:rsidRPr="005B5241">
        <w:rPr>
          <w:rFonts w:ascii="Cambria" w:hAnsi="Cambria"/>
          <w:sz w:val="20"/>
        </w:rPr>
        <w:t>afin de respecter les réductions requises de mortalité</w:t>
      </w:r>
      <w:r w:rsidR="00B86C9C" w:rsidRPr="005B5241">
        <w:rPr>
          <w:rFonts w:ascii="Cambria" w:hAnsi="Cambria"/>
          <w:sz w:val="20"/>
        </w:rPr>
        <w:t>.</w:t>
      </w:r>
      <w:r w:rsidR="00911956" w:rsidRPr="005B5241">
        <w:rPr>
          <w:rFonts w:ascii="Cambria" w:hAnsi="Cambria"/>
          <w:sz w:val="20"/>
        </w:rPr>
        <w:t xml:space="preserve"> </w:t>
      </w:r>
      <w:r w:rsidRPr="005B5241">
        <w:rPr>
          <w:rFonts w:ascii="Cambria" w:hAnsi="Cambria"/>
          <w:sz w:val="20"/>
        </w:rPr>
        <w:t>Le SCRS devra indiquer à la Commission, d'ici 2024, si les restrictions de taille sont des outils efficaces, surtout lorsqu'elles sont utilisées en combinaison avec d'autres mesures, pour atteindre les réductions de mortalité requises.</w:t>
      </w:r>
    </w:p>
    <w:p w14:paraId="60A44444" w14:textId="77777777" w:rsidR="00BB02C1" w:rsidRPr="005B5241" w:rsidRDefault="00BB02C1" w:rsidP="00C53562">
      <w:pPr>
        <w:pStyle w:val="ListParagraph"/>
        <w:ind w:left="426" w:hanging="426"/>
        <w:jc w:val="both"/>
        <w:rPr>
          <w:rFonts w:ascii="Cambria" w:hAnsi="Cambria"/>
          <w:sz w:val="20"/>
          <w:szCs w:val="20"/>
        </w:rPr>
      </w:pPr>
    </w:p>
    <w:p w14:paraId="273D1E00" w14:textId="77777777" w:rsidR="00726205" w:rsidRPr="005B5241" w:rsidRDefault="00726205" w:rsidP="00C53562">
      <w:pPr>
        <w:rPr>
          <w:bCs/>
          <w:sz w:val="20"/>
          <w:szCs w:val="20"/>
        </w:rPr>
      </w:pPr>
      <w:r w:rsidRPr="005B5241">
        <w:rPr>
          <w:bCs/>
          <w:sz w:val="20"/>
          <w:szCs w:val="20"/>
        </w:rPr>
        <w:br w:type="page"/>
      </w:r>
    </w:p>
    <w:p w14:paraId="6C8AE28B" w14:textId="42858CD4" w:rsidR="00B07007" w:rsidRPr="005B5241" w:rsidRDefault="0032369E" w:rsidP="0032369E">
      <w:pPr>
        <w:tabs>
          <w:tab w:val="left" w:pos="426"/>
        </w:tabs>
        <w:ind w:left="426" w:hanging="426"/>
        <w:jc w:val="both"/>
        <w:rPr>
          <w:bCs/>
          <w:sz w:val="20"/>
          <w:szCs w:val="20"/>
        </w:rPr>
      </w:pPr>
      <w:r w:rsidRPr="005B5241">
        <w:rPr>
          <w:bCs/>
          <w:sz w:val="20"/>
          <w:szCs w:val="20"/>
        </w:rPr>
        <w:lastRenderedPageBreak/>
        <w:t>22</w:t>
      </w:r>
      <w:r w:rsidR="00B07007" w:rsidRPr="005B5241">
        <w:rPr>
          <w:bCs/>
          <w:sz w:val="20"/>
          <w:szCs w:val="20"/>
        </w:rPr>
        <w:t>.</w:t>
      </w:r>
      <w:r w:rsidRPr="005B5241">
        <w:rPr>
          <w:bCs/>
          <w:sz w:val="20"/>
          <w:szCs w:val="20"/>
        </w:rPr>
        <w:tab/>
      </w:r>
      <w:r w:rsidR="00B07007" w:rsidRPr="005B5241">
        <w:rPr>
          <w:bCs/>
          <w:sz w:val="20"/>
          <w:szCs w:val="20"/>
        </w:rPr>
        <w:t xml:space="preserve"> </w:t>
      </w:r>
      <w:r w:rsidR="004C07D1" w:rsidRPr="005B5241">
        <w:rPr>
          <w:bCs/>
          <w:sz w:val="20"/>
          <w:szCs w:val="20"/>
        </w:rPr>
        <w:t>L</w:t>
      </w:r>
      <w:r w:rsidR="00B07007" w:rsidRPr="005B5241">
        <w:rPr>
          <w:bCs/>
          <w:sz w:val="20"/>
          <w:szCs w:val="20"/>
        </w:rPr>
        <w:t xml:space="preserve">e SCRS devra </w:t>
      </w:r>
      <w:r w:rsidR="00B07007" w:rsidRPr="005B5241">
        <w:rPr>
          <w:rFonts w:ascii="Cambria" w:hAnsi="Cambria"/>
          <w:sz w:val="20"/>
        </w:rPr>
        <w:t>réviser</w:t>
      </w:r>
      <w:r w:rsidR="00B07007" w:rsidRPr="005B5241">
        <w:rPr>
          <w:bCs/>
          <w:sz w:val="20"/>
          <w:szCs w:val="20"/>
        </w:rPr>
        <w:t xml:space="preserve"> les débarquements et les rejets</w:t>
      </w:r>
      <w:r w:rsidR="00327A70" w:rsidRPr="005B5241">
        <w:rPr>
          <w:rFonts w:ascii="Cambria" w:hAnsi="Cambria"/>
          <w:sz w:val="20"/>
        </w:rPr>
        <w:t xml:space="preserve"> déclarés</w:t>
      </w:r>
      <w:r w:rsidR="00B07007" w:rsidRPr="005B5241">
        <w:rPr>
          <w:bCs/>
          <w:sz w:val="20"/>
          <w:szCs w:val="20"/>
        </w:rPr>
        <w:t xml:space="preserve"> de petite taupe afin d’identifier les éventuelles incohérences inattendues qui pourraient être le résultat d’erreurs d’identification entre les deux espèces de requin</w:t>
      </w:r>
      <w:r w:rsidR="004C07D1" w:rsidRPr="005B5241">
        <w:rPr>
          <w:bCs/>
          <w:sz w:val="20"/>
          <w:szCs w:val="20"/>
        </w:rPr>
        <w:t>-taupe, aux fins de la formulation de l’avis de gestion.</w:t>
      </w:r>
    </w:p>
    <w:p w14:paraId="596AD665" w14:textId="77777777" w:rsidR="00B07007" w:rsidRPr="005B5241" w:rsidRDefault="00B07007" w:rsidP="00C53562">
      <w:pPr>
        <w:tabs>
          <w:tab w:val="left" w:pos="426"/>
        </w:tabs>
        <w:jc w:val="both"/>
        <w:rPr>
          <w:b/>
          <w:sz w:val="20"/>
          <w:szCs w:val="20"/>
        </w:rPr>
      </w:pPr>
    </w:p>
    <w:p w14:paraId="681E2F41" w14:textId="28A791F3" w:rsidR="00210231" w:rsidRPr="005B5241" w:rsidRDefault="00210231" w:rsidP="00C53562">
      <w:pPr>
        <w:tabs>
          <w:tab w:val="left" w:pos="426"/>
        </w:tabs>
        <w:jc w:val="both"/>
        <w:rPr>
          <w:b/>
          <w:bCs/>
          <w:iCs/>
          <w:sz w:val="20"/>
          <w:szCs w:val="20"/>
        </w:rPr>
      </w:pPr>
      <w:r w:rsidRPr="005B5241">
        <w:rPr>
          <w:b/>
          <w:sz w:val="20"/>
          <w:szCs w:val="20"/>
        </w:rPr>
        <w:t>Prochaine</w:t>
      </w:r>
      <w:r w:rsidR="00290F58" w:rsidRPr="005B5241">
        <w:rPr>
          <w:b/>
          <w:sz w:val="20"/>
          <w:szCs w:val="20"/>
        </w:rPr>
        <w:t>s</w:t>
      </w:r>
      <w:r w:rsidRPr="005B5241">
        <w:rPr>
          <w:b/>
          <w:sz w:val="20"/>
          <w:szCs w:val="20"/>
        </w:rPr>
        <w:t xml:space="preserve"> évaluation</w:t>
      </w:r>
      <w:r w:rsidR="00290F58" w:rsidRPr="005B5241">
        <w:rPr>
          <w:b/>
          <w:sz w:val="20"/>
          <w:szCs w:val="20"/>
        </w:rPr>
        <w:t>s</w:t>
      </w:r>
      <w:r w:rsidRPr="005B5241">
        <w:rPr>
          <w:b/>
          <w:sz w:val="20"/>
          <w:szCs w:val="20"/>
        </w:rPr>
        <w:t xml:space="preserve"> du stock et examen de l'efficacité des mesures</w:t>
      </w:r>
    </w:p>
    <w:p w14:paraId="6907AFD8" w14:textId="77777777" w:rsidR="00210231" w:rsidRPr="005B5241" w:rsidRDefault="00210231" w:rsidP="00C53562">
      <w:pPr>
        <w:pStyle w:val="ListParagraph"/>
        <w:tabs>
          <w:tab w:val="left" w:pos="426"/>
        </w:tabs>
        <w:ind w:left="426"/>
        <w:jc w:val="both"/>
        <w:rPr>
          <w:sz w:val="20"/>
          <w:szCs w:val="20"/>
        </w:rPr>
      </w:pPr>
    </w:p>
    <w:p w14:paraId="66B5CA87" w14:textId="2AFA9827" w:rsidR="007233FB" w:rsidRPr="005B5241" w:rsidRDefault="0032369E" w:rsidP="00C53562">
      <w:pPr>
        <w:pStyle w:val="ListParagraph"/>
        <w:tabs>
          <w:tab w:val="left" w:pos="426"/>
        </w:tabs>
        <w:ind w:left="426" w:hanging="426"/>
        <w:jc w:val="both"/>
        <w:rPr>
          <w:sz w:val="20"/>
          <w:szCs w:val="20"/>
        </w:rPr>
      </w:pPr>
      <w:r w:rsidRPr="005B5241">
        <w:rPr>
          <w:sz w:val="20"/>
          <w:szCs w:val="20"/>
        </w:rPr>
        <w:t>23</w:t>
      </w:r>
      <w:r w:rsidR="00C50908" w:rsidRPr="005B5241">
        <w:rPr>
          <w:b/>
          <w:bCs/>
          <w:sz w:val="20"/>
          <w:szCs w:val="20"/>
        </w:rPr>
        <w:t xml:space="preserve">. </w:t>
      </w:r>
      <w:r w:rsidR="00C50908" w:rsidRPr="005B5241">
        <w:rPr>
          <w:sz w:val="20"/>
          <w:szCs w:val="20"/>
        </w:rPr>
        <w:tab/>
        <w:t xml:space="preserve">Le SCRS devra réaliser une évaluation </w:t>
      </w:r>
      <w:r w:rsidR="00290F58" w:rsidRPr="005B5241">
        <w:rPr>
          <w:sz w:val="20"/>
          <w:szCs w:val="20"/>
        </w:rPr>
        <w:t>de référence</w:t>
      </w:r>
      <w:r w:rsidR="00C50908" w:rsidRPr="005B5241">
        <w:rPr>
          <w:sz w:val="20"/>
          <w:szCs w:val="20"/>
        </w:rPr>
        <w:t xml:space="preserve"> du stock</w:t>
      </w:r>
      <w:r w:rsidR="00290F58" w:rsidRPr="005B5241">
        <w:rPr>
          <w:sz w:val="20"/>
          <w:szCs w:val="20"/>
        </w:rPr>
        <w:t xml:space="preserve">, y compris la </w:t>
      </w:r>
      <w:r w:rsidR="002A24DF" w:rsidRPr="005B5241">
        <w:rPr>
          <w:sz w:val="20"/>
          <w:szCs w:val="20"/>
        </w:rPr>
        <w:t xml:space="preserve">production de la </w:t>
      </w:r>
      <w:r w:rsidR="00290F58" w:rsidRPr="005B5241">
        <w:rPr>
          <w:sz w:val="20"/>
          <w:szCs w:val="20"/>
        </w:rPr>
        <w:t xml:space="preserve">matrice </w:t>
      </w:r>
      <w:r w:rsidR="00FE24FD" w:rsidRPr="005B5241">
        <w:rPr>
          <w:sz w:val="20"/>
          <w:szCs w:val="20"/>
        </w:rPr>
        <w:t>de stratégie de</w:t>
      </w:r>
      <w:r w:rsidR="00290F58" w:rsidRPr="005B5241">
        <w:rPr>
          <w:sz w:val="20"/>
          <w:szCs w:val="20"/>
        </w:rPr>
        <w:t xml:space="preserve"> </w:t>
      </w:r>
      <w:r w:rsidR="00B40A2D" w:rsidRPr="005B5241">
        <w:rPr>
          <w:rFonts w:ascii="Cambria" w:hAnsi="Cambria"/>
          <w:sz w:val="20"/>
        </w:rPr>
        <w:t xml:space="preserve">Kobe II </w:t>
      </w:r>
      <w:r w:rsidR="00290F58" w:rsidRPr="005B5241">
        <w:rPr>
          <w:sz w:val="20"/>
          <w:szCs w:val="20"/>
        </w:rPr>
        <w:t xml:space="preserve">qui reflète le calendrier du rétablissement jusqu'en 2070, </w:t>
      </w:r>
      <w:r w:rsidR="00C50908" w:rsidRPr="005B5241">
        <w:rPr>
          <w:sz w:val="20"/>
          <w:szCs w:val="20"/>
        </w:rPr>
        <w:t>de requin-taupe bleu de l'Atlantique Nord d’ici</w:t>
      </w:r>
      <w:r w:rsidR="00906E71" w:rsidRPr="005B5241">
        <w:rPr>
          <w:sz w:val="20"/>
          <w:szCs w:val="20"/>
        </w:rPr>
        <w:t xml:space="preserve"> </w:t>
      </w:r>
      <w:r w:rsidR="00C50908" w:rsidRPr="005B5241">
        <w:rPr>
          <w:sz w:val="20"/>
          <w:szCs w:val="20"/>
        </w:rPr>
        <w:t xml:space="preserve">2024. </w:t>
      </w:r>
      <w:r w:rsidR="008D1030" w:rsidRPr="005B5241">
        <w:rPr>
          <w:sz w:val="20"/>
          <w:szCs w:val="20"/>
        </w:rPr>
        <w:t xml:space="preserve">De nouvelles évaluations devront être réalisées d’ici </w:t>
      </w:r>
      <w:r w:rsidR="001548B4" w:rsidRPr="005B5241">
        <w:rPr>
          <w:sz w:val="20"/>
          <w:szCs w:val="20"/>
        </w:rPr>
        <w:t>2029</w:t>
      </w:r>
      <w:r w:rsidR="00906E71" w:rsidRPr="005B5241">
        <w:rPr>
          <w:sz w:val="20"/>
          <w:szCs w:val="20"/>
        </w:rPr>
        <w:t xml:space="preserve"> et 2034</w:t>
      </w:r>
      <w:r w:rsidR="008D1030" w:rsidRPr="005B5241">
        <w:rPr>
          <w:sz w:val="20"/>
          <w:szCs w:val="20"/>
        </w:rPr>
        <w:t xml:space="preserve">, en vue d'évaluer l'état et la trajectoire du stock ainsi que l'efficacité des mesures prises conformément à la présente Recommandation et des </w:t>
      </w:r>
      <w:r w:rsidR="00594EB7" w:rsidRPr="005B5241">
        <w:rPr>
          <w:sz w:val="20"/>
          <w:szCs w:val="20"/>
        </w:rPr>
        <w:t>amendements</w:t>
      </w:r>
      <w:r w:rsidR="008D1030" w:rsidRPr="005B5241">
        <w:rPr>
          <w:sz w:val="20"/>
          <w:szCs w:val="20"/>
        </w:rPr>
        <w:t xml:space="preserve"> ultérieurs</w:t>
      </w:r>
      <w:r w:rsidR="00594EB7" w:rsidRPr="005B5241">
        <w:rPr>
          <w:sz w:val="20"/>
          <w:szCs w:val="20"/>
        </w:rPr>
        <w:t xml:space="preserve"> de celle-ci</w:t>
      </w:r>
      <w:r w:rsidR="008D1030" w:rsidRPr="005B5241">
        <w:rPr>
          <w:sz w:val="20"/>
          <w:szCs w:val="20"/>
        </w:rPr>
        <w:t xml:space="preserve"> pour atteindre les objectifs du programme </w:t>
      </w:r>
      <w:r w:rsidR="00C50908" w:rsidRPr="005B5241">
        <w:rPr>
          <w:sz w:val="20"/>
          <w:szCs w:val="20"/>
        </w:rPr>
        <w:t>de rétablissement.</w:t>
      </w:r>
    </w:p>
    <w:p w14:paraId="5272C58B" w14:textId="77777777" w:rsidR="00A029F5" w:rsidRPr="005B5241" w:rsidRDefault="00A029F5" w:rsidP="00C53562">
      <w:pPr>
        <w:pStyle w:val="ListParagraph"/>
        <w:tabs>
          <w:tab w:val="left" w:pos="426"/>
        </w:tabs>
        <w:ind w:left="426" w:hanging="426"/>
        <w:jc w:val="both"/>
        <w:rPr>
          <w:b/>
          <w:bCs/>
          <w:sz w:val="20"/>
          <w:szCs w:val="20"/>
        </w:rPr>
      </w:pPr>
    </w:p>
    <w:p w14:paraId="0C16AF3A" w14:textId="2C3ACC21" w:rsidR="003C45AD" w:rsidRPr="005B5241" w:rsidRDefault="003C45AD" w:rsidP="00C53562">
      <w:pPr>
        <w:tabs>
          <w:tab w:val="left" w:pos="426"/>
        </w:tabs>
        <w:jc w:val="both"/>
        <w:rPr>
          <w:b/>
          <w:bCs/>
          <w:sz w:val="20"/>
          <w:szCs w:val="20"/>
        </w:rPr>
      </w:pPr>
      <w:r w:rsidRPr="005B5241">
        <w:rPr>
          <w:b/>
          <w:bCs/>
          <w:sz w:val="20"/>
          <w:szCs w:val="20"/>
        </w:rPr>
        <w:t>Mise en œuvre</w:t>
      </w:r>
    </w:p>
    <w:p w14:paraId="596CC7AC" w14:textId="69844375" w:rsidR="003C45AD" w:rsidRPr="005B5241" w:rsidRDefault="003C45AD" w:rsidP="00C53562">
      <w:pPr>
        <w:tabs>
          <w:tab w:val="left" w:pos="426"/>
        </w:tabs>
        <w:jc w:val="both"/>
        <w:rPr>
          <w:sz w:val="20"/>
          <w:szCs w:val="20"/>
        </w:rPr>
      </w:pPr>
    </w:p>
    <w:p w14:paraId="663CC3A8" w14:textId="01BCF273" w:rsidR="00C16478" w:rsidRPr="005B5241" w:rsidRDefault="0032369E" w:rsidP="00C53562">
      <w:pPr>
        <w:pStyle w:val="ListParagraph"/>
        <w:tabs>
          <w:tab w:val="left" w:pos="426"/>
        </w:tabs>
        <w:ind w:left="426" w:hanging="426"/>
        <w:jc w:val="both"/>
        <w:rPr>
          <w:sz w:val="20"/>
          <w:szCs w:val="20"/>
        </w:rPr>
      </w:pPr>
      <w:r w:rsidRPr="005B5241">
        <w:rPr>
          <w:sz w:val="20"/>
          <w:szCs w:val="20"/>
        </w:rPr>
        <w:t>24</w:t>
      </w:r>
      <w:r w:rsidR="00C50908" w:rsidRPr="005B5241">
        <w:rPr>
          <w:b/>
          <w:bCs/>
          <w:sz w:val="20"/>
          <w:szCs w:val="20"/>
        </w:rPr>
        <w:t xml:space="preserve">. </w:t>
      </w:r>
      <w:r w:rsidR="00C50908" w:rsidRPr="005B5241">
        <w:rPr>
          <w:sz w:val="20"/>
          <w:szCs w:val="20"/>
        </w:rPr>
        <w:tab/>
        <w:t xml:space="preserve">Nonobstant les dispositions de l'article VIII, paragraphe 2 de la Convention, les CPC sont </w:t>
      </w:r>
      <w:r w:rsidR="00B86C9C" w:rsidRPr="005B5241">
        <w:rPr>
          <w:sz w:val="20"/>
          <w:szCs w:val="20"/>
        </w:rPr>
        <w:t>vivement</w:t>
      </w:r>
      <w:r w:rsidR="00C50908" w:rsidRPr="005B5241">
        <w:rPr>
          <w:sz w:val="20"/>
          <w:szCs w:val="20"/>
        </w:rPr>
        <w:t xml:space="preserve"> encouragées à mettre en œuvre, conformément à leurs procédures réglementaires, la présente Recommandation dès que possible et avant la date de son entrée en vigueur.</w:t>
      </w:r>
    </w:p>
    <w:p w14:paraId="442AF8B2" w14:textId="3F6EDB91" w:rsidR="0062083C" w:rsidRPr="005B5241" w:rsidRDefault="0062083C" w:rsidP="00C53562">
      <w:pPr>
        <w:tabs>
          <w:tab w:val="left" w:pos="426"/>
        </w:tabs>
        <w:jc w:val="both"/>
        <w:rPr>
          <w:sz w:val="20"/>
          <w:szCs w:val="20"/>
        </w:rPr>
      </w:pPr>
    </w:p>
    <w:p w14:paraId="36EDF475" w14:textId="62D5B77F" w:rsidR="00BB02C1" w:rsidRPr="005B5241" w:rsidRDefault="0032369E" w:rsidP="00C53562">
      <w:pPr>
        <w:ind w:left="426" w:hanging="426"/>
        <w:jc w:val="both"/>
        <w:rPr>
          <w:rFonts w:ascii="Cambria" w:hAnsi="Cambria"/>
          <w:b/>
          <w:sz w:val="20"/>
        </w:rPr>
      </w:pPr>
      <w:r w:rsidRPr="005B5241">
        <w:rPr>
          <w:rFonts w:ascii="Cambria" w:hAnsi="Cambria"/>
          <w:sz w:val="20"/>
        </w:rPr>
        <w:t>25.</w:t>
      </w:r>
      <w:r w:rsidRPr="005B5241">
        <w:rPr>
          <w:rFonts w:ascii="Cambria" w:hAnsi="Cambria"/>
          <w:sz w:val="20"/>
        </w:rPr>
        <w:tab/>
      </w:r>
      <w:r w:rsidR="00BB02C1" w:rsidRPr="005B5241">
        <w:rPr>
          <w:rFonts w:ascii="Cambria" w:hAnsi="Cambria"/>
          <w:sz w:val="20"/>
        </w:rPr>
        <w:t xml:space="preserve">En 2023, une réunion intersessions de la Sous-commission 4 devra avoir lieu pour promouvoir le partage des meilleures pratiques entre les CPC, afin de réduire la rencontre, les captures et la mortalité par pêche du requin-taupe bleu. La Sous-commission 4 devra solliciter la contribution des opérateurs de pêche, des autres parties prenantes concernées et des scientifiques et devra encourager leur participation à cette réunion. Toute recommandation de cette réunion concernant des mesures techniques efficaces </w:t>
      </w:r>
      <w:r w:rsidR="00745AD4" w:rsidRPr="005B5241">
        <w:rPr>
          <w:sz w:val="20"/>
          <w:szCs w:val="20"/>
        </w:rPr>
        <w:t>qui ont le potentiel</w:t>
      </w:r>
      <w:r w:rsidR="00BB02C1" w:rsidRPr="005B5241">
        <w:rPr>
          <w:sz w:val="20"/>
          <w:szCs w:val="20"/>
        </w:rPr>
        <w:t xml:space="preserve"> </w:t>
      </w:r>
      <w:r w:rsidR="00BB02C1" w:rsidRPr="005B5241">
        <w:rPr>
          <w:rFonts w:ascii="Cambria" w:hAnsi="Cambria"/>
          <w:sz w:val="20"/>
        </w:rPr>
        <w:t>de réduire la mortalité par pêche du requin-taupe bleu devra être transmise au SCRS pour examen et considération. Sur la base de cet examen, en 2024</w:t>
      </w:r>
      <w:r w:rsidR="008A267E" w:rsidRPr="005B5241">
        <w:rPr>
          <w:rFonts w:ascii="Cambria" w:hAnsi="Cambria"/>
          <w:sz w:val="20"/>
        </w:rPr>
        <w:t>,</w:t>
      </w:r>
      <w:r w:rsidR="00BB02C1" w:rsidRPr="005B5241">
        <w:rPr>
          <w:rFonts w:ascii="Cambria" w:hAnsi="Cambria"/>
          <w:sz w:val="20"/>
        </w:rPr>
        <w:t xml:space="preserve"> le SCRS devra donner un avis à la Commission sur les mesures techniques les plus efficaces qui devraient être mises en œuvre pour réduire la mortalité par pêche du requin-taupe bleu tout en fournissant également des informations et des avis sur les avantages et inconvénients pour les captures de</w:t>
      </w:r>
      <w:r w:rsidR="00D74F3B" w:rsidRPr="005B5241">
        <w:rPr>
          <w:rFonts w:ascii="Cambria" w:hAnsi="Cambria"/>
          <w:sz w:val="20"/>
        </w:rPr>
        <w:t xml:space="preserve"> l’</w:t>
      </w:r>
      <w:r w:rsidR="00BB02C1" w:rsidRPr="005B5241">
        <w:rPr>
          <w:rFonts w:ascii="Cambria" w:hAnsi="Cambria"/>
          <w:sz w:val="20"/>
        </w:rPr>
        <w:t>espèce cible par pêcherie.</w:t>
      </w:r>
    </w:p>
    <w:p w14:paraId="1AEA1D00" w14:textId="22673BE1" w:rsidR="008D1030" w:rsidRPr="005B5241" w:rsidRDefault="008D1030" w:rsidP="00C53562">
      <w:pPr>
        <w:tabs>
          <w:tab w:val="left" w:pos="426"/>
        </w:tabs>
        <w:jc w:val="both"/>
        <w:rPr>
          <w:sz w:val="20"/>
          <w:szCs w:val="20"/>
        </w:rPr>
      </w:pPr>
    </w:p>
    <w:p w14:paraId="3F939763" w14:textId="4B5EB83B" w:rsidR="00210231" w:rsidRPr="005B5241" w:rsidRDefault="004C07D1" w:rsidP="00C53562">
      <w:pPr>
        <w:tabs>
          <w:tab w:val="left" w:pos="426"/>
        </w:tabs>
        <w:jc w:val="both"/>
        <w:rPr>
          <w:b/>
          <w:bCs/>
          <w:sz w:val="20"/>
          <w:szCs w:val="20"/>
        </w:rPr>
      </w:pPr>
      <w:r w:rsidRPr="005B5241">
        <w:rPr>
          <w:b/>
          <w:sz w:val="20"/>
          <w:szCs w:val="20"/>
        </w:rPr>
        <w:t>Réexamen et a</w:t>
      </w:r>
      <w:r w:rsidR="00210231" w:rsidRPr="005B5241">
        <w:rPr>
          <w:b/>
          <w:sz w:val="20"/>
          <w:szCs w:val="20"/>
        </w:rPr>
        <w:t>nnulation</w:t>
      </w:r>
    </w:p>
    <w:p w14:paraId="1C2378D3" w14:textId="38C6CDBE" w:rsidR="00F60466" w:rsidRPr="005B5241" w:rsidRDefault="00F60466" w:rsidP="00C53562">
      <w:pPr>
        <w:widowControl w:val="0"/>
        <w:tabs>
          <w:tab w:val="left" w:pos="284"/>
        </w:tabs>
        <w:autoSpaceDE w:val="0"/>
        <w:autoSpaceDN w:val="0"/>
        <w:adjustRightInd w:val="0"/>
        <w:ind w:left="284" w:hanging="284"/>
        <w:jc w:val="both"/>
        <w:rPr>
          <w:rFonts w:eastAsia="MS Mincho" w:cs="Times New Roman"/>
          <w:sz w:val="20"/>
          <w:szCs w:val="20"/>
        </w:rPr>
      </w:pPr>
    </w:p>
    <w:p w14:paraId="1B4816B0" w14:textId="18DFF0E5" w:rsidR="00E550B4" w:rsidRPr="005B5241" w:rsidRDefault="0032369E" w:rsidP="0032369E">
      <w:pPr>
        <w:ind w:left="426" w:hanging="426"/>
        <w:jc w:val="both"/>
        <w:rPr>
          <w:sz w:val="20"/>
          <w:szCs w:val="20"/>
        </w:rPr>
      </w:pPr>
      <w:r w:rsidRPr="005B5241">
        <w:rPr>
          <w:sz w:val="20"/>
          <w:szCs w:val="20"/>
        </w:rPr>
        <w:t>26</w:t>
      </w:r>
      <w:r w:rsidR="00C50908" w:rsidRPr="005B5241">
        <w:rPr>
          <w:b/>
          <w:bCs/>
          <w:sz w:val="20"/>
          <w:szCs w:val="20"/>
        </w:rPr>
        <w:t xml:space="preserve">. </w:t>
      </w:r>
      <w:r w:rsidR="00C50908" w:rsidRPr="005B5241">
        <w:rPr>
          <w:sz w:val="20"/>
          <w:szCs w:val="20"/>
        </w:rPr>
        <w:tab/>
        <w:t xml:space="preserve">La présente </w:t>
      </w:r>
      <w:r w:rsidR="00C50908" w:rsidRPr="005B5241">
        <w:rPr>
          <w:rFonts w:ascii="Cambria" w:hAnsi="Cambria"/>
          <w:sz w:val="20"/>
        </w:rPr>
        <w:t>Recommandation</w:t>
      </w:r>
      <w:r w:rsidR="00C50908" w:rsidRPr="005B5241">
        <w:rPr>
          <w:sz w:val="20"/>
          <w:szCs w:val="20"/>
        </w:rPr>
        <w:t xml:space="preserve"> remplace et annule la </w:t>
      </w:r>
      <w:r w:rsidR="00C50908" w:rsidRPr="005B5241">
        <w:rPr>
          <w:i/>
          <w:iCs/>
          <w:sz w:val="20"/>
          <w:szCs w:val="20"/>
        </w:rPr>
        <w:t xml:space="preserve">Recommandation de l’ICCAT sur la conservation du stock de requin-taupe bleu de l'Atlantique Nord capturé en association avec les pêcheries de l’ICCAT </w:t>
      </w:r>
      <w:r w:rsidR="00C50908" w:rsidRPr="005B5241">
        <w:rPr>
          <w:sz w:val="20"/>
          <w:szCs w:val="20"/>
        </w:rPr>
        <w:t>(Rec.</w:t>
      </w:r>
      <w:r w:rsidR="00235917" w:rsidRPr="005B5241">
        <w:rPr>
          <w:sz w:val="20"/>
          <w:szCs w:val="20"/>
        </w:rPr>
        <w:t> </w:t>
      </w:r>
      <w:r w:rsidR="00C50908" w:rsidRPr="005B5241">
        <w:rPr>
          <w:sz w:val="20"/>
          <w:szCs w:val="20"/>
        </w:rPr>
        <w:t>19-06).</w:t>
      </w:r>
    </w:p>
    <w:p w14:paraId="6229339E" w14:textId="77777777" w:rsidR="0032369E" w:rsidRPr="005B5241" w:rsidRDefault="0032369E" w:rsidP="0032369E">
      <w:pPr>
        <w:ind w:left="426" w:hanging="426"/>
        <w:jc w:val="both"/>
        <w:rPr>
          <w:sz w:val="20"/>
          <w:szCs w:val="20"/>
        </w:rPr>
      </w:pPr>
    </w:p>
    <w:p w14:paraId="61E9F209" w14:textId="421200C5" w:rsidR="004C07D1" w:rsidRPr="005B5241" w:rsidRDefault="0032369E" w:rsidP="0032369E">
      <w:pPr>
        <w:ind w:left="426" w:hanging="426"/>
        <w:jc w:val="both"/>
        <w:rPr>
          <w:rFonts w:ascii="Cambria" w:hAnsi="Cambria"/>
          <w:bCs/>
          <w:color w:val="000000" w:themeColor="text1"/>
          <w:sz w:val="20"/>
          <w:szCs w:val="20"/>
        </w:rPr>
      </w:pPr>
      <w:r w:rsidRPr="005B5241">
        <w:rPr>
          <w:rFonts w:ascii="Cambria" w:hAnsi="Cambria"/>
          <w:bCs/>
          <w:color w:val="000000" w:themeColor="text1"/>
          <w:sz w:val="20"/>
          <w:szCs w:val="20"/>
        </w:rPr>
        <w:t>27.</w:t>
      </w:r>
      <w:r w:rsidRPr="005B5241">
        <w:rPr>
          <w:rFonts w:ascii="Cambria" w:hAnsi="Cambria"/>
          <w:bCs/>
          <w:color w:val="000000" w:themeColor="text1"/>
          <w:sz w:val="20"/>
          <w:szCs w:val="20"/>
        </w:rPr>
        <w:tab/>
      </w:r>
      <w:r w:rsidR="00AD5FE4" w:rsidRPr="005B5241">
        <w:rPr>
          <w:rFonts w:ascii="Cambria" w:hAnsi="Cambria"/>
          <w:bCs/>
          <w:color w:val="000000" w:themeColor="text1"/>
          <w:sz w:val="20"/>
          <w:szCs w:val="20"/>
        </w:rPr>
        <w:t xml:space="preserve">Lors de sa </w:t>
      </w:r>
      <w:r w:rsidR="00AD5FE4" w:rsidRPr="005B5241">
        <w:rPr>
          <w:rFonts w:ascii="Cambria" w:hAnsi="Cambria"/>
          <w:sz w:val="20"/>
        </w:rPr>
        <w:t>réunion</w:t>
      </w:r>
      <w:r w:rsidR="00AD5FE4" w:rsidRPr="005B5241">
        <w:rPr>
          <w:rFonts w:ascii="Cambria" w:hAnsi="Cambria"/>
          <w:bCs/>
          <w:color w:val="000000" w:themeColor="text1"/>
          <w:sz w:val="20"/>
          <w:szCs w:val="20"/>
        </w:rPr>
        <w:t xml:space="preserve"> </w:t>
      </w:r>
      <w:r w:rsidR="00AD5FE4" w:rsidRPr="005B5241">
        <w:rPr>
          <w:color w:val="000000" w:themeColor="text1"/>
          <w:sz w:val="20"/>
          <w:szCs w:val="20"/>
        </w:rPr>
        <w:t>annuelle</w:t>
      </w:r>
      <w:r w:rsidR="00AD5FE4" w:rsidRPr="005B5241">
        <w:rPr>
          <w:rFonts w:ascii="Cambria" w:hAnsi="Cambria"/>
          <w:bCs/>
          <w:color w:val="000000" w:themeColor="text1"/>
          <w:sz w:val="20"/>
          <w:szCs w:val="20"/>
        </w:rPr>
        <w:t xml:space="preserve"> de 2024, la Commission devra examiner cette mesure par rapport aux objectifs du programme de rétablissement, en tenant compte de l'avis reçu du SCRS, y compris l'avis relatif au paragraphe </w:t>
      </w:r>
      <w:r w:rsidR="00EC5587" w:rsidRPr="005B5241">
        <w:rPr>
          <w:rFonts w:ascii="Cambria" w:hAnsi="Cambria"/>
          <w:bCs/>
          <w:color w:val="000000" w:themeColor="text1"/>
          <w:sz w:val="20"/>
          <w:szCs w:val="20"/>
        </w:rPr>
        <w:t>2</w:t>
      </w:r>
      <w:r w:rsidR="00AD5FE4" w:rsidRPr="005B5241">
        <w:rPr>
          <w:rFonts w:ascii="Cambria" w:hAnsi="Cambria"/>
          <w:bCs/>
          <w:color w:val="000000" w:themeColor="text1"/>
          <w:sz w:val="20"/>
          <w:szCs w:val="20"/>
        </w:rPr>
        <w:t>1 (a) et (b), ainsi que des discussions de la Sous-commission 4.</w:t>
      </w:r>
    </w:p>
    <w:p w14:paraId="42D52FA8" w14:textId="77777777" w:rsidR="0032369E" w:rsidRPr="005B5241" w:rsidRDefault="0032369E" w:rsidP="0032369E">
      <w:pPr>
        <w:ind w:left="426" w:hanging="426"/>
        <w:jc w:val="both"/>
        <w:rPr>
          <w:rFonts w:ascii="Cambria" w:hAnsi="Cambria"/>
          <w:sz w:val="20"/>
        </w:rPr>
      </w:pPr>
    </w:p>
    <w:p w14:paraId="18650DE5" w14:textId="7EE56EB6" w:rsidR="00327A70" w:rsidRPr="005B5241" w:rsidRDefault="0032369E" w:rsidP="0032369E">
      <w:pPr>
        <w:ind w:left="426" w:hanging="426"/>
        <w:jc w:val="both"/>
        <w:rPr>
          <w:rFonts w:ascii="Cambria" w:hAnsi="Cambria" w:cs="Times New Roman"/>
          <w:b/>
          <w:bCs/>
          <w:sz w:val="20"/>
          <w:szCs w:val="20"/>
        </w:rPr>
      </w:pPr>
      <w:r w:rsidRPr="005B5241">
        <w:rPr>
          <w:rFonts w:ascii="Cambria" w:hAnsi="Cambria"/>
          <w:sz w:val="20"/>
        </w:rPr>
        <w:t>28</w:t>
      </w:r>
      <w:r w:rsidR="00D9750B" w:rsidRPr="005B5241">
        <w:rPr>
          <w:rFonts w:ascii="Cambria" w:hAnsi="Cambria"/>
          <w:sz w:val="20"/>
        </w:rPr>
        <w:t>.</w:t>
      </w:r>
      <w:r w:rsidR="00D9750B" w:rsidRPr="005B5241">
        <w:rPr>
          <w:rFonts w:ascii="Cambria" w:hAnsi="Cambria"/>
          <w:sz w:val="20"/>
        </w:rPr>
        <w:tab/>
        <w:t>L</w:t>
      </w:r>
      <w:r w:rsidR="00327A70" w:rsidRPr="005B5241">
        <w:rPr>
          <w:rFonts w:ascii="Cambria" w:hAnsi="Cambria"/>
          <w:sz w:val="20"/>
        </w:rPr>
        <w:t xml:space="preserve">a </w:t>
      </w:r>
      <w:r w:rsidR="00327A70" w:rsidRPr="005B5241">
        <w:rPr>
          <w:rFonts w:ascii="Cambria" w:hAnsi="Cambria"/>
          <w:bCs/>
          <w:color w:val="000000" w:themeColor="text1"/>
          <w:sz w:val="20"/>
          <w:szCs w:val="20"/>
        </w:rPr>
        <w:t>Commission</w:t>
      </w:r>
      <w:r w:rsidR="00327A70" w:rsidRPr="005B5241">
        <w:rPr>
          <w:rFonts w:ascii="Cambria" w:hAnsi="Cambria"/>
          <w:sz w:val="20"/>
        </w:rPr>
        <w:t xml:space="preserve"> devra réexaminer cette mesure </w:t>
      </w:r>
      <w:r w:rsidR="00D9750B" w:rsidRPr="005B5241">
        <w:rPr>
          <w:rFonts w:ascii="Cambria" w:hAnsi="Cambria"/>
          <w:sz w:val="20"/>
        </w:rPr>
        <w:t xml:space="preserve">au plus tard lors de sa réunion annuelle de 2024 </w:t>
      </w:r>
      <w:r w:rsidR="00327A70" w:rsidRPr="005B5241">
        <w:rPr>
          <w:rFonts w:ascii="Cambria" w:hAnsi="Cambria"/>
          <w:sz w:val="20"/>
        </w:rPr>
        <w:t>afin d'envisager des mesures supplémentaires pour réduire la mortalité totale par pêche.</w:t>
      </w:r>
    </w:p>
    <w:p w14:paraId="3324BBE1" w14:textId="77777777" w:rsidR="004C07D1" w:rsidRPr="005B5241" w:rsidRDefault="004C07D1" w:rsidP="00C53562">
      <w:pPr>
        <w:tabs>
          <w:tab w:val="left" w:pos="426"/>
        </w:tabs>
        <w:ind w:left="360" w:hanging="360"/>
        <w:jc w:val="both"/>
        <w:rPr>
          <w:sz w:val="20"/>
          <w:szCs w:val="20"/>
        </w:rPr>
      </w:pPr>
    </w:p>
    <w:p w14:paraId="2B159201" w14:textId="77777777" w:rsidR="004C07D1" w:rsidRPr="005B5241" w:rsidRDefault="004C07D1" w:rsidP="00C53562">
      <w:pPr>
        <w:tabs>
          <w:tab w:val="left" w:pos="426"/>
        </w:tabs>
        <w:ind w:left="360" w:hanging="360"/>
        <w:jc w:val="both"/>
        <w:rPr>
          <w:sz w:val="20"/>
          <w:szCs w:val="20"/>
        </w:rPr>
      </w:pPr>
    </w:p>
    <w:p w14:paraId="0B78DF36" w14:textId="77777777" w:rsidR="004C07D1" w:rsidRPr="005B5241" w:rsidRDefault="004C07D1" w:rsidP="00C53562">
      <w:pPr>
        <w:tabs>
          <w:tab w:val="left" w:pos="426"/>
        </w:tabs>
        <w:ind w:left="360" w:hanging="360"/>
        <w:jc w:val="both"/>
        <w:rPr>
          <w:sz w:val="20"/>
          <w:szCs w:val="20"/>
        </w:rPr>
      </w:pPr>
    </w:p>
    <w:p w14:paraId="1F8EB0F6" w14:textId="758F09D3" w:rsidR="004C07D1" w:rsidRPr="005B5241" w:rsidRDefault="004C07D1" w:rsidP="00C53562">
      <w:pPr>
        <w:tabs>
          <w:tab w:val="left" w:pos="426"/>
        </w:tabs>
        <w:ind w:left="360" w:hanging="360"/>
        <w:jc w:val="both"/>
        <w:rPr>
          <w:rFonts w:cs="Times New Roman"/>
          <w:sz w:val="20"/>
          <w:szCs w:val="20"/>
        </w:rPr>
        <w:sectPr w:rsidR="004C07D1" w:rsidRPr="005B5241" w:rsidSect="00A64C41">
          <w:footerReference w:type="default" r:id="rId11"/>
          <w:pgSz w:w="11906" w:h="16838" w:code="9"/>
          <w:pgMar w:top="1418" w:right="1418" w:bottom="1418" w:left="1418" w:header="851" w:footer="1134" w:gutter="0"/>
          <w:cols w:space="720"/>
        </w:sectPr>
      </w:pPr>
    </w:p>
    <w:p w14:paraId="34D5BD52" w14:textId="77777777" w:rsidR="004C07D1" w:rsidRPr="005B5241" w:rsidRDefault="004C07D1" w:rsidP="00C53562">
      <w:pPr>
        <w:rPr>
          <w:b/>
          <w:sz w:val="20"/>
          <w:szCs w:val="20"/>
        </w:rPr>
      </w:pPr>
      <w:r w:rsidRPr="005B5241">
        <w:rPr>
          <w:b/>
          <w:sz w:val="20"/>
          <w:szCs w:val="20"/>
        </w:rPr>
        <w:br w:type="page"/>
      </w:r>
    </w:p>
    <w:p w14:paraId="7875AF39" w14:textId="77777777" w:rsidR="004C07D1" w:rsidRPr="005B5241" w:rsidRDefault="004C07D1" w:rsidP="00C53562">
      <w:pPr>
        <w:jc w:val="right"/>
        <w:rPr>
          <w:b/>
          <w:sz w:val="20"/>
          <w:szCs w:val="20"/>
        </w:rPr>
      </w:pPr>
      <w:r w:rsidRPr="005B5241">
        <w:rPr>
          <w:b/>
          <w:sz w:val="20"/>
          <w:szCs w:val="20"/>
        </w:rPr>
        <w:lastRenderedPageBreak/>
        <w:t>Annexe 1</w:t>
      </w:r>
    </w:p>
    <w:p w14:paraId="6D108382" w14:textId="77777777" w:rsidR="00327A70" w:rsidRPr="005B5241" w:rsidRDefault="00327A70" w:rsidP="00C53562">
      <w:pPr>
        <w:tabs>
          <w:tab w:val="left" w:pos="426"/>
        </w:tabs>
        <w:jc w:val="center"/>
        <w:rPr>
          <w:rFonts w:ascii="Cambria" w:hAnsi="Cambria"/>
          <w:b/>
          <w:sz w:val="20"/>
        </w:rPr>
      </w:pPr>
    </w:p>
    <w:p w14:paraId="4B50853C" w14:textId="77777777" w:rsidR="007B765F" w:rsidRPr="005B5241" w:rsidRDefault="007B765F" w:rsidP="00C53562">
      <w:pPr>
        <w:tabs>
          <w:tab w:val="left" w:pos="426"/>
        </w:tabs>
        <w:jc w:val="center"/>
        <w:rPr>
          <w:rFonts w:ascii="Cambria" w:eastAsia="Times New Roman" w:hAnsi="Cambria" w:cs="Times New Roman"/>
          <w:b/>
          <w:sz w:val="20"/>
          <w:szCs w:val="20"/>
        </w:rPr>
      </w:pPr>
      <w:r w:rsidRPr="005B5241">
        <w:rPr>
          <w:rFonts w:ascii="Cambria" w:hAnsi="Cambria"/>
          <w:b/>
          <w:sz w:val="20"/>
        </w:rPr>
        <w:t>Processus de détermination d'une éventuelle rétention</w:t>
      </w:r>
    </w:p>
    <w:p w14:paraId="6B142470" w14:textId="77777777" w:rsidR="007B765F" w:rsidRPr="005B5241" w:rsidRDefault="007B765F" w:rsidP="00C53562">
      <w:pPr>
        <w:ind w:left="426" w:hanging="426"/>
        <w:jc w:val="both"/>
        <w:rPr>
          <w:rFonts w:ascii="Cambria" w:eastAsia="Times New Roman" w:hAnsi="Cambria" w:cs="Times New Roman"/>
          <w:sz w:val="20"/>
          <w:szCs w:val="20"/>
        </w:rPr>
      </w:pPr>
    </w:p>
    <w:p w14:paraId="7EC6CE20" w14:textId="77777777" w:rsidR="007B765F" w:rsidRPr="005B5241" w:rsidRDefault="007B765F" w:rsidP="00C53562">
      <w:pPr>
        <w:pBdr>
          <w:top w:val="nil"/>
          <w:left w:val="nil"/>
          <w:bottom w:val="nil"/>
          <w:right w:val="nil"/>
          <w:between w:val="nil"/>
        </w:pBdr>
        <w:ind w:left="426" w:hanging="426"/>
        <w:jc w:val="both"/>
        <w:rPr>
          <w:rFonts w:ascii="Cambria" w:eastAsia="Times New Roman" w:hAnsi="Cambria" w:cs="Times New Roman"/>
          <w:color w:val="000000"/>
          <w:sz w:val="20"/>
          <w:szCs w:val="20"/>
        </w:rPr>
      </w:pPr>
      <w:r w:rsidRPr="005B5241">
        <w:rPr>
          <w:rFonts w:ascii="Cambria" w:hAnsi="Cambria"/>
          <w:color w:val="000000"/>
          <w:sz w:val="20"/>
        </w:rPr>
        <w:t>1)</w:t>
      </w:r>
      <w:r w:rsidRPr="005B5241">
        <w:rPr>
          <w:rFonts w:ascii="Cambria" w:hAnsi="Cambria"/>
          <w:color w:val="000000"/>
          <w:sz w:val="20"/>
        </w:rPr>
        <w:tab/>
        <w:t>Afin de déterminer si une rétention est autorisée, les règles suivantes devront s’appliquer lors de la prise de décisions de gestion au cours de l'année Y :</w:t>
      </w:r>
    </w:p>
    <w:p w14:paraId="2BDEA221" w14:textId="77777777" w:rsidR="007B765F" w:rsidRPr="005B5241" w:rsidRDefault="007B765F" w:rsidP="00C53562">
      <w:pPr>
        <w:jc w:val="both"/>
        <w:rPr>
          <w:rFonts w:ascii="Cambria" w:eastAsia="Times New Roman" w:hAnsi="Cambria" w:cs="Times New Roman"/>
          <w:sz w:val="20"/>
          <w:szCs w:val="20"/>
        </w:rPr>
      </w:pPr>
    </w:p>
    <w:p w14:paraId="16FE933F" w14:textId="6A7E9195" w:rsidR="007B765F" w:rsidRPr="005B5241" w:rsidRDefault="007B765F" w:rsidP="00C53562">
      <w:pPr>
        <w:numPr>
          <w:ilvl w:val="0"/>
          <w:numId w:val="34"/>
        </w:numPr>
        <w:jc w:val="both"/>
        <w:rPr>
          <w:rFonts w:ascii="Cambria" w:eastAsia="Times New Roman" w:hAnsi="Cambria" w:cs="Times New Roman"/>
          <w:sz w:val="20"/>
          <w:szCs w:val="20"/>
        </w:rPr>
      </w:pPr>
      <w:r w:rsidRPr="005B5241">
        <w:rPr>
          <w:rFonts w:ascii="Cambria" w:hAnsi="Cambria"/>
          <w:sz w:val="20"/>
        </w:rPr>
        <w:t>Toutes les sources de mortalité par pêche pour l’année antérieur</w:t>
      </w:r>
      <w:r w:rsidR="00131731" w:rsidRPr="005B5241">
        <w:rPr>
          <w:rFonts w:ascii="Cambria" w:hAnsi="Cambria"/>
          <w:sz w:val="20"/>
        </w:rPr>
        <w:t>e</w:t>
      </w:r>
      <w:r w:rsidRPr="005B5241">
        <w:rPr>
          <w:rFonts w:ascii="Cambria" w:hAnsi="Cambria"/>
          <w:sz w:val="20"/>
        </w:rPr>
        <w:t xml:space="preserve"> (Y-1) devront être estimées par le SCRS sur la base des données soumises par les CPC ainsi que des preuves scientifiques actualisées. Dans le cas où toutes les CPC ne déclarent pas toutes les données requises et les jeux de données complets pour Y-1 (c'est-à-dire les rejets morts, les remises à l’eau de spécimens vivants et, lorsque cela est autorisé, les rétentions) ou si le SCRS détermine que les données fournies par une CPC ne sont pas scientifiquement valables, le SCRS devra fournir des estimations, le cas échéant, afin de combler toute lacune connue dans les données.</w:t>
      </w:r>
    </w:p>
    <w:p w14:paraId="3F63A7C3" w14:textId="77777777" w:rsidR="007B765F" w:rsidRPr="005B5241" w:rsidRDefault="007B765F" w:rsidP="00C53562">
      <w:pPr>
        <w:ind w:left="720"/>
        <w:jc w:val="both"/>
        <w:rPr>
          <w:rFonts w:ascii="Cambria" w:eastAsia="Times New Roman" w:hAnsi="Cambria" w:cs="Times New Roman"/>
          <w:sz w:val="20"/>
          <w:szCs w:val="20"/>
        </w:rPr>
      </w:pPr>
    </w:p>
    <w:p w14:paraId="6D27AF71" w14:textId="5640A07E" w:rsidR="007B765F" w:rsidRPr="005B5241" w:rsidRDefault="007B765F" w:rsidP="00C53562">
      <w:pPr>
        <w:numPr>
          <w:ilvl w:val="0"/>
          <w:numId w:val="34"/>
        </w:numPr>
        <w:jc w:val="both"/>
        <w:rPr>
          <w:rFonts w:ascii="Cambria" w:eastAsia="Times New Roman" w:hAnsi="Cambria" w:cs="Times New Roman"/>
          <w:color w:val="000000"/>
          <w:sz w:val="20"/>
          <w:szCs w:val="20"/>
        </w:rPr>
      </w:pPr>
      <w:r w:rsidRPr="005B5241">
        <w:rPr>
          <w:rFonts w:ascii="Cambria" w:hAnsi="Cambria"/>
          <w:sz w:val="20"/>
        </w:rPr>
        <w:t>La mortalité totale par pêche de toutes les sources pour l'année Y-1, telle que calculée à l'</w:t>
      </w:r>
      <w:r w:rsidRPr="005B5241">
        <w:rPr>
          <w:rFonts w:ascii="Cambria" w:hAnsi="Cambria"/>
          <w:b/>
          <w:bCs/>
          <w:sz w:val="20"/>
        </w:rPr>
        <w:t>annexe</w:t>
      </w:r>
      <w:r w:rsidR="005E27B5" w:rsidRPr="005B5241">
        <w:rPr>
          <w:rFonts w:ascii="Cambria" w:hAnsi="Cambria"/>
          <w:b/>
          <w:bCs/>
          <w:sz w:val="20"/>
        </w:rPr>
        <w:t> </w:t>
      </w:r>
      <w:r w:rsidRPr="005B5241">
        <w:rPr>
          <w:rFonts w:ascii="Cambria" w:hAnsi="Cambria"/>
          <w:b/>
          <w:bCs/>
          <w:sz w:val="20"/>
        </w:rPr>
        <w:t>1</w:t>
      </w:r>
      <w:r w:rsidRPr="005B5241">
        <w:rPr>
          <w:rFonts w:ascii="Cambria" w:hAnsi="Cambria"/>
          <w:sz w:val="20"/>
        </w:rPr>
        <w:t xml:space="preserve">, paragraphe 1a), est soustraite du chiffre établi par le paragraphe </w:t>
      </w:r>
      <w:r w:rsidR="00C02401" w:rsidRPr="005B5241">
        <w:rPr>
          <w:rFonts w:ascii="Cambria" w:hAnsi="Cambria"/>
          <w:sz w:val="20"/>
        </w:rPr>
        <w:t>4</w:t>
      </w:r>
      <w:r w:rsidRPr="005B5241">
        <w:rPr>
          <w:rFonts w:ascii="Cambria" w:hAnsi="Cambria"/>
          <w:sz w:val="20"/>
        </w:rPr>
        <w:t xml:space="preserve">. Le volume qui en résulte devra être dénommé « tolérance de rétention de prises accessoires mortes » (ci-après « tolérance de rétention ») pour l’année suivante Y+1. </w:t>
      </w:r>
    </w:p>
    <w:p w14:paraId="26826675" w14:textId="77777777" w:rsidR="007B765F" w:rsidRPr="005B5241" w:rsidRDefault="007B765F" w:rsidP="00C53562">
      <w:pPr>
        <w:jc w:val="both"/>
        <w:rPr>
          <w:rFonts w:ascii="Cambria" w:eastAsia="Times New Roman" w:hAnsi="Cambria" w:cs="Times New Roman"/>
          <w:sz w:val="20"/>
          <w:szCs w:val="20"/>
        </w:rPr>
      </w:pPr>
    </w:p>
    <w:p w14:paraId="73A15943" w14:textId="77777777" w:rsidR="007B765F" w:rsidRPr="005B5241" w:rsidRDefault="007B765F" w:rsidP="00C53562">
      <w:pPr>
        <w:numPr>
          <w:ilvl w:val="0"/>
          <w:numId w:val="34"/>
        </w:numPr>
        <w:pBdr>
          <w:top w:val="nil"/>
          <w:left w:val="nil"/>
          <w:bottom w:val="nil"/>
          <w:right w:val="nil"/>
          <w:between w:val="nil"/>
        </w:pBdr>
        <w:jc w:val="both"/>
        <w:rPr>
          <w:rFonts w:ascii="Cambria" w:eastAsia="Times New Roman" w:hAnsi="Cambria" w:cs="Times New Roman"/>
          <w:sz w:val="20"/>
          <w:szCs w:val="20"/>
        </w:rPr>
      </w:pPr>
      <w:r w:rsidRPr="005B5241">
        <w:rPr>
          <w:rFonts w:ascii="Cambria" w:hAnsi="Cambria"/>
          <w:sz w:val="20"/>
        </w:rPr>
        <w:t>Si la tolérance de rétention établie par l’</w:t>
      </w:r>
      <w:r w:rsidRPr="005B5241">
        <w:rPr>
          <w:rFonts w:ascii="Cambria" w:hAnsi="Cambria"/>
          <w:b/>
          <w:bCs/>
          <w:sz w:val="20"/>
        </w:rPr>
        <w:t>annexe 1</w:t>
      </w:r>
      <w:r w:rsidRPr="005B5241">
        <w:rPr>
          <w:rFonts w:ascii="Cambria" w:hAnsi="Cambria"/>
          <w:sz w:val="20"/>
        </w:rPr>
        <w:t>-paragraphe 1b) est égale ou inférieure à zéro, les CPC devront interdire la rétention à bord, le transbordement et le débarquement, en totalité ou en partie, du requin-taupe bleu de l'Atlantique Nord capturé en association avec les pêcheries de l'ICCAT au cours de l’année Y+1.</w:t>
      </w:r>
    </w:p>
    <w:p w14:paraId="0FEA597A" w14:textId="77777777" w:rsidR="007B765F" w:rsidRPr="005B5241" w:rsidRDefault="007B765F" w:rsidP="00C53562">
      <w:pPr>
        <w:pBdr>
          <w:top w:val="nil"/>
          <w:left w:val="nil"/>
          <w:bottom w:val="nil"/>
          <w:right w:val="nil"/>
          <w:between w:val="nil"/>
        </w:pBdr>
        <w:ind w:left="720"/>
        <w:jc w:val="both"/>
        <w:rPr>
          <w:rFonts w:ascii="Cambria" w:eastAsia="Times New Roman" w:hAnsi="Cambria" w:cs="Times New Roman"/>
          <w:color w:val="000000"/>
          <w:sz w:val="20"/>
          <w:szCs w:val="20"/>
        </w:rPr>
      </w:pPr>
    </w:p>
    <w:p w14:paraId="2C7753CB" w14:textId="55BFA3EC" w:rsidR="007B765F" w:rsidRPr="005B5241" w:rsidRDefault="007B765F" w:rsidP="00C53562">
      <w:pPr>
        <w:numPr>
          <w:ilvl w:val="0"/>
          <w:numId w:val="34"/>
        </w:numPr>
        <w:pBdr>
          <w:top w:val="nil"/>
          <w:left w:val="nil"/>
          <w:bottom w:val="nil"/>
          <w:right w:val="nil"/>
          <w:between w:val="nil"/>
        </w:pBdr>
        <w:jc w:val="both"/>
        <w:rPr>
          <w:rFonts w:ascii="Cambria" w:eastAsia="Times New Roman" w:hAnsi="Cambria" w:cs="Times New Roman"/>
          <w:color w:val="000000"/>
          <w:sz w:val="20"/>
          <w:szCs w:val="20"/>
        </w:rPr>
      </w:pPr>
      <w:r w:rsidRPr="005B5241">
        <w:rPr>
          <w:rFonts w:ascii="Cambria" w:hAnsi="Cambria"/>
          <w:color w:val="000000"/>
          <w:sz w:val="20"/>
        </w:rPr>
        <w:t>Si la tolérance de rétention établie par l'</w:t>
      </w:r>
      <w:r w:rsidRPr="005B5241">
        <w:rPr>
          <w:rFonts w:ascii="Cambria" w:hAnsi="Cambria"/>
          <w:b/>
          <w:bCs/>
          <w:color w:val="000000"/>
          <w:sz w:val="20"/>
        </w:rPr>
        <w:t>annexe 1</w:t>
      </w:r>
      <w:r w:rsidRPr="005B5241">
        <w:rPr>
          <w:rFonts w:ascii="Cambria" w:hAnsi="Cambria"/>
          <w:color w:val="000000"/>
          <w:sz w:val="20"/>
        </w:rPr>
        <w:t xml:space="preserve">-paragraphe 1b) est supérieure à zéro, les CPC pourraient être autorisées à retenir </w:t>
      </w:r>
      <w:r w:rsidRPr="005B5241">
        <w:rPr>
          <w:rFonts w:ascii="Cambria" w:hAnsi="Cambria"/>
          <w:sz w:val="20"/>
        </w:rPr>
        <w:t>jusqu'à concurrence du volume résultant de l'</w:t>
      </w:r>
      <w:r w:rsidRPr="005B5241">
        <w:rPr>
          <w:rFonts w:ascii="Cambria" w:hAnsi="Cambria"/>
          <w:b/>
          <w:bCs/>
          <w:sz w:val="20"/>
        </w:rPr>
        <w:t>annexe 1</w:t>
      </w:r>
      <w:r w:rsidRPr="005B5241">
        <w:rPr>
          <w:rFonts w:ascii="Cambria" w:hAnsi="Cambria"/>
          <w:sz w:val="20"/>
        </w:rPr>
        <w:t xml:space="preserve">-paragraphe 2 ci-dessous. </w:t>
      </w:r>
    </w:p>
    <w:p w14:paraId="78D66E9B" w14:textId="77777777" w:rsidR="007B765F" w:rsidRPr="005B5241" w:rsidRDefault="007B765F" w:rsidP="00C53562">
      <w:pPr>
        <w:pBdr>
          <w:top w:val="nil"/>
          <w:left w:val="nil"/>
          <w:bottom w:val="nil"/>
          <w:right w:val="nil"/>
          <w:between w:val="nil"/>
        </w:pBdr>
        <w:jc w:val="both"/>
        <w:rPr>
          <w:rFonts w:ascii="Cambria" w:eastAsia="Times New Roman" w:hAnsi="Cambria" w:cs="Times New Roman"/>
          <w:color w:val="000000"/>
          <w:sz w:val="20"/>
          <w:szCs w:val="20"/>
        </w:rPr>
      </w:pPr>
    </w:p>
    <w:p w14:paraId="555E24AC" w14:textId="77777777" w:rsidR="007B765F" w:rsidRPr="005B5241" w:rsidRDefault="007B765F" w:rsidP="00C53562">
      <w:pPr>
        <w:jc w:val="both"/>
        <w:rPr>
          <w:rFonts w:ascii="Cambria" w:eastAsia="Times New Roman" w:hAnsi="Cambria" w:cs="Times New Roman"/>
          <w:b/>
          <w:sz w:val="20"/>
          <w:szCs w:val="20"/>
        </w:rPr>
      </w:pPr>
    </w:p>
    <w:p w14:paraId="17B1B7C6" w14:textId="77777777" w:rsidR="007B765F" w:rsidRPr="005B5241" w:rsidRDefault="007B765F" w:rsidP="00C53562">
      <w:pPr>
        <w:jc w:val="both"/>
        <w:rPr>
          <w:rFonts w:ascii="Cambria" w:eastAsia="Times New Roman" w:hAnsi="Cambria" w:cs="Times New Roman"/>
          <w:b/>
          <w:sz w:val="20"/>
          <w:szCs w:val="20"/>
        </w:rPr>
      </w:pPr>
      <w:r w:rsidRPr="005B5241">
        <w:rPr>
          <w:rFonts w:ascii="Cambria" w:hAnsi="Cambria"/>
          <w:b/>
          <w:sz w:val="20"/>
        </w:rPr>
        <w:t>Tolérance de rétention des CPC</w:t>
      </w:r>
    </w:p>
    <w:p w14:paraId="17E3DFE1" w14:textId="77777777" w:rsidR="007B765F" w:rsidRPr="005B5241" w:rsidRDefault="007B765F" w:rsidP="00C53562">
      <w:pPr>
        <w:tabs>
          <w:tab w:val="left" w:pos="0"/>
        </w:tabs>
        <w:jc w:val="both"/>
        <w:rPr>
          <w:rFonts w:ascii="Cambria" w:eastAsia="Times New Roman" w:hAnsi="Cambria" w:cs="Times New Roman"/>
          <w:sz w:val="20"/>
          <w:szCs w:val="20"/>
        </w:rPr>
      </w:pPr>
    </w:p>
    <w:p w14:paraId="1C107004" w14:textId="3400826E" w:rsidR="007B765F" w:rsidRPr="005B5241" w:rsidRDefault="007B765F" w:rsidP="00C53562">
      <w:pPr>
        <w:ind w:left="426" w:hanging="426"/>
        <w:jc w:val="both"/>
        <w:rPr>
          <w:rFonts w:ascii="Cambria" w:eastAsia="Times New Roman" w:hAnsi="Cambria" w:cs="Times New Roman"/>
          <w:sz w:val="20"/>
          <w:szCs w:val="20"/>
        </w:rPr>
      </w:pPr>
      <w:r w:rsidRPr="005B5241">
        <w:rPr>
          <w:rFonts w:ascii="Cambria" w:hAnsi="Cambria"/>
          <w:sz w:val="20"/>
        </w:rPr>
        <w:t xml:space="preserve">2) </w:t>
      </w:r>
      <w:r w:rsidRPr="005B5241">
        <w:rPr>
          <w:rFonts w:ascii="Cambria" w:hAnsi="Cambria"/>
          <w:sz w:val="20"/>
        </w:rPr>
        <w:tab/>
        <w:t>Si, conformément à l'</w:t>
      </w:r>
      <w:r w:rsidRPr="005B5241">
        <w:rPr>
          <w:rFonts w:ascii="Cambria" w:hAnsi="Cambria"/>
          <w:b/>
          <w:bCs/>
          <w:sz w:val="20"/>
        </w:rPr>
        <w:t>annexe 1</w:t>
      </w:r>
      <w:r w:rsidRPr="005B5241">
        <w:rPr>
          <w:rFonts w:ascii="Cambria" w:hAnsi="Cambria"/>
          <w:sz w:val="20"/>
        </w:rPr>
        <w:t xml:space="preserve">-paragraphe 1d), la rétention est autorisée, la tolérance de </w:t>
      </w:r>
      <w:r w:rsidRPr="005B5241">
        <w:rPr>
          <w:rFonts w:ascii="Cambria" w:hAnsi="Cambria"/>
          <w:color w:val="000000"/>
          <w:sz w:val="20"/>
        </w:rPr>
        <w:t xml:space="preserve">rétention pour chaque CPC sera calculée selon la formule suivante : </w:t>
      </w:r>
    </w:p>
    <w:p w14:paraId="3DA6028D" w14:textId="77777777" w:rsidR="007B765F" w:rsidRPr="005B5241" w:rsidRDefault="007B765F" w:rsidP="00C53562">
      <w:pPr>
        <w:tabs>
          <w:tab w:val="left" w:pos="0"/>
        </w:tabs>
        <w:jc w:val="both"/>
        <w:rPr>
          <w:rFonts w:ascii="Cambria" w:eastAsia="Times New Roman" w:hAnsi="Cambria" w:cs="Times New Roman"/>
          <w:sz w:val="20"/>
          <w:szCs w:val="20"/>
        </w:rPr>
      </w:pPr>
    </w:p>
    <w:p w14:paraId="74C21243" w14:textId="77777777" w:rsidR="00B40A2D" w:rsidRPr="005B5241" w:rsidRDefault="007B765F" w:rsidP="00C53562">
      <w:pPr>
        <w:tabs>
          <w:tab w:val="left" w:pos="0"/>
        </w:tabs>
        <w:jc w:val="center"/>
        <w:rPr>
          <w:rFonts w:ascii="Cambria" w:hAnsi="Cambria"/>
          <w:sz w:val="20"/>
        </w:rPr>
      </w:pPr>
      <w:r w:rsidRPr="005B5241">
        <w:rPr>
          <w:rFonts w:ascii="Cambria" w:hAnsi="Cambria"/>
          <w:i/>
          <w:iCs/>
          <w:sz w:val="20"/>
        </w:rPr>
        <w:t xml:space="preserve">Tolérance </w:t>
      </w:r>
      <w:r w:rsidRPr="005B5241">
        <w:rPr>
          <w:rFonts w:ascii="Cambria" w:hAnsi="Cambria"/>
          <w:i/>
          <w:sz w:val="20"/>
        </w:rPr>
        <w:t>de rétention des CPC individuelles (t) =</w:t>
      </w:r>
      <w:r w:rsidRPr="005B5241">
        <w:rPr>
          <w:rFonts w:ascii="Cambria" w:hAnsi="Cambria"/>
          <w:sz w:val="20"/>
        </w:rPr>
        <w:t xml:space="preserve"> </w:t>
      </w:r>
    </w:p>
    <w:p w14:paraId="24BC9E6F" w14:textId="7CEEEB34" w:rsidR="007B765F" w:rsidRPr="005B5241" w:rsidRDefault="007B765F" w:rsidP="00C53562">
      <w:pPr>
        <w:tabs>
          <w:tab w:val="left" w:pos="0"/>
        </w:tabs>
        <w:jc w:val="center"/>
        <w:rPr>
          <w:rFonts w:ascii="Cambria" w:eastAsia="Times New Roman" w:hAnsi="Cambria" w:cs="Times New Roman"/>
          <w:sz w:val="20"/>
          <w:szCs w:val="20"/>
          <w:u w:val="single"/>
        </w:rPr>
      </w:pPr>
      <w:r w:rsidRPr="005B5241">
        <w:rPr>
          <w:rFonts w:ascii="Cambria" w:hAnsi="Cambria"/>
          <w:sz w:val="20"/>
          <w:u w:val="single"/>
        </w:rPr>
        <w:t>(captures annuelles moyennes des CPC de 2013 à 2016) x (tolérance de rétention)</w:t>
      </w:r>
    </w:p>
    <w:p w14:paraId="7316DF8A" w14:textId="307F07D2" w:rsidR="007B765F" w:rsidRPr="005B5241" w:rsidRDefault="007B765F" w:rsidP="00C53562">
      <w:pPr>
        <w:tabs>
          <w:tab w:val="left" w:pos="0"/>
        </w:tabs>
        <w:jc w:val="center"/>
        <w:rPr>
          <w:rFonts w:ascii="Cambria" w:eastAsia="Times New Roman" w:hAnsi="Cambria" w:cs="Times New Roman"/>
          <w:sz w:val="20"/>
          <w:szCs w:val="20"/>
        </w:rPr>
      </w:pPr>
      <w:r w:rsidRPr="005B5241">
        <w:rPr>
          <w:rFonts w:ascii="Cambria" w:hAnsi="Cambria"/>
          <w:sz w:val="20"/>
        </w:rPr>
        <w:t>Captures totales moyennes de l’ICCAT de 2013-2016</w:t>
      </w:r>
    </w:p>
    <w:p w14:paraId="4F8A9B75" w14:textId="7D0E8436" w:rsidR="007B765F" w:rsidRPr="005B5241" w:rsidRDefault="007B765F" w:rsidP="00C53562">
      <w:pPr>
        <w:tabs>
          <w:tab w:val="left" w:pos="0"/>
        </w:tabs>
        <w:jc w:val="both"/>
        <w:rPr>
          <w:rFonts w:ascii="Cambria" w:eastAsia="Times New Roman" w:hAnsi="Cambria" w:cs="Times New Roman"/>
          <w:sz w:val="20"/>
          <w:szCs w:val="20"/>
        </w:rPr>
      </w:pPr>
    </w:p>
    <w:p w14:paraId="37B7547B" w14:textId="4B27DC28" w:rsidR="00AC620E" w:rsidRPr="005B5241" w:rsidRDefault="00AC620E" w:rsidP="00C53562">
      <w:pPr>
        <w:tabs>
          <w:tab w:val="left" w:pos="0"/>
        </w:tabs>
        <w:jc w:val="both"/>
        <w:rPr>
          <w:rFonts w:eastAsia="Times New Roman" w:cs="Times New Roman"/>
          <w:sz w:val="20"/>
          <w:szCs w:val="20"/>
        </w:rPr>
      </w:pPr>
      <w:r w:rsidRPr="005B5241">
        <w:rPr>
          <w:sz w:val="20"/>
          <w:szCs w:val="20"/>
        </w:rPr>
        <w:t>Où : les « captures annuelles moyennes des CPC de 2013-2016 » sont la moyenne des captures annuelles (débarquements déclarés + rejets morts tels que vérifiés par le SCRS</w:t>
      </w:r>
      <w:r w:rsidR="00C20DBF" w:rsidRPr="005B5241">
        <w:rPr>
          <w:sz w:val="20"/>
          <w:szCs w:val="20"/>
        </w:rPr>
        <w:t xml:space="preserve"> sur la base des données soumises et de l’analyse réalisée en vertu d</w:t>
      </w:r>
      <w:r w:rsidR="00B81569" w:rsidRPr="005B5241">
        <w:rPr>
          <w:sz w:val="20"/>
          <w:szCs w:val="20"/>
        </w:rPr>
        <w:t xml:space="preserve">es </w:t>
      </w:r>
      <w:r w:rsidR="00C20DBF" w:rsidRPr="005B5241">
        <w:rPr>
          <w:sz w:val="20"/>
          <w:szCs w:val="20"/>
        </w:rPr>
        <w:t>paragraphe</w:t>
      </w:r>
      <w:r w:rsidR="00B81569" w:rsidRPr="005B5241">
        <w:rPr>
          <w:sz w:val="20"/>
          <w:szCs w:val="20"/>
        </w:rPr>
        <w:t>s</w:t>
      </w:r>
      <w:r w:rsidR="00C02401" w:rsidRPr="005B5241">
        <w:rPr>
          <w:sz w:val="20"/>
          <w:szCs w:val="20"/>
        </w:rPr>
        <w:t xml:space="preserve"> 13</w:t>
      </w:r>
      <w:r w:rsidR="00B81569" w:rsidRPr="005B5241">
        <w:rPr>
          <w:rFonts w:cs="Segoe UI"/>
          <w:sz w:val="20"/>
          <w:szCs w:val="20"/>
          <w:shd w:val="clear" w:color="auto" w:fill="FFFFFF"/>
        </w:rPr>
        <w:t xml:space="preserve"> </w:t>
      </w:r>
      <w:r w:rsidR="00C20DBF" w:rsidRPr="005B5241">
        <w:rPr>
          <w:rFonts w:cs="Segoe UI"/>
          <w:sz w:val="20"/>
          <w:szCs w:val="20"/>
          <w:shd w:val="clear" w:color="auto" w:fill="FFFFFF"/>
        </w:rPr>
        <w:t xml:space="preserve">et </w:t>
      </w:r>
      <w:r w:rsidR="00C02401" w:rsidRPr="005B5241">
        <w:rPr>
          <w:rFonts w:cs="Segoe UI"/>
          <w:sz w:val="20"/>
          <w:szCs w:val="20"/>
          <w:shd w:val="clear" w:color="auto" w:fill="FFFFFF"/>
        </w:rPr>
        <w:t>15</w:t>
      </w:r>
      <w:r w:rsidRPr="005B5241">
        <w:rPr>
          <w:sz w:val="20"/>
          <w:szCs w:val="20"/>
        </w:rPr>
        <w:t xml:space="preserve">) pour une CPC individuelle pour les quatre années couvrant 2013-2016 ; la «tolérance de rétention » est définie </w:t>
      </w:r>
      <w:r w:rsidR="00FE3CF9" w:rsidRPr="005B5241">
        <w:rPr>
          <w:sz w:val="20"/>
          <w:szCs w:val="20"/>
        </w:rPr>
        <w:t>au paragraphe 1 de l’</w:t>
      </w:r>
      <w:r w:rsidRPr="005B5241">
        <w:rPr>
          <w:b/>
          <w:bCs/>
          <w:sz w:val="20"/>
          <w:szCs w:val="20"/>
        </w:rPr>
        <w:t>annexe</w:t>
      </w:r>
      <w:r w:rsidR="00C20DBF" w:rsidRPr="005B5241">
        <w:rPr>
          <w:b/>
          <w:bCs/>
          <w:sz w:val="20"/>
          <w:szCs w:val="20"/>
        </w:rPr>
        <w:t> </w:t>
      </w:r>
      <w:r w:rsidRPr="005B5241">
        <w:rPr>
          <w:b/>
          <w:bCs/>
          <w:sz w:val="20"/>
          <w:szCs w:val="20"/>
        </w:rPr>
        <w:t>1</w:t>
      </w:r>
      <w:r w:rsidRPr="005B5241">
        <w:rPr>
          <w:sz w:val="20"/>
          <w:szCs w:val="20"/>
        </w:rPr>
        <w:t xml:space="preserve"> et les « captures totales moyennes de l'ICCAT de 2013-2016 » sont la moyenne des captures annuelles (débarquements déclarés + rejets morts </w:t>
      </w:r>
      <w:r w:rsidR="00C20DBF" w:rsidRPr="005B5241">
        <w:rPr>
          <w:sz w:val="20"/>
          <w:szCs w:val="20"/>
        </w:rPr>
        <w:t xml:space="preserve">tels que vérifiés par le SCRS sur la base des données soumises et de l’analyse réalisée en vertu </w:t>
      </w:r>
      <w:r w:rsidR="00427DF7" w:rsidRPr="005B5241">
        <w:rPr>
          <w:sz w:val="20"/>
          <w:szCs w:val="20"/>
        </w:rPr>
        <w:t xml:space="preserve">des </w:t>
      </w:r>
      <w:r w:rsidR="00E67EE1" w:rsidRPr="005B5241">
        <w:rPr>
          <w:sz w:val="20"/>
          <w:szCs w:val="20"/>
        </w:rPr>
        <w:t>paragraphes 13</w:t>
      </w:r>
      <w:r w:rsidR="00E67EE1" w:rsidRPr="005B5241">
        <w:rPr>
          <w:rFonts w:cs="Segoe UI"/>
          <w:sz w:val="20"/>
          <w:szCs w:val="20"/>
          <w:shd w:val="clear" w:color="auto" w:fill="FFFFFF"/>
        </w:rPr>
        <w:t xml:space="preserve"> et 15</w:t>
      </w:r>
      <w:r w:rsidR="00822F5D" w:rsidRPr="005B5241">
        <w:rPr>
          <w:sz w:val="20"/>
          <w:szCs w:val="20"/>
        </w:rPr>
        <w:t xml:space="preserve">) </w:t>
      </w:r>
      <w:r w:rsidRPr="005B5241">
        <w:rPr>
          <w:sz w:val="20"/>
          <w:szCs w:val="20"/>
        </w:rPr>
        <w:t>de toutes les CPC de 2013 à 2016</w:t>
      </w:r>
      <w:r w:rsidR="00822F5D" w:rsidRPr="005B5241">
        <w:rPr>
          <w:sz w:val="20"/>
          <w:szCs w:val="20"/>
        </w:rPr>
        <w:t>.</w:t>
      </w:r>
    </w:p>
    <w:p w14:paraId="2904E042" w14:textId="279306B3" w:rsidR="00AC620E" w:rsidRPr="005B5241" w:rsidRDefault="00AC620E" w:rsidP="00C53562">
      <w:pPr>
        <w:tabs>
          <w:tab w:val="left" w:pos="0"/>
        </w:tabs>
        <w:jc w:val="both"/>
        <w:rPr>
          <w:rFonts w:ascii="Cambria" w:eastAsia="Times New Roman" w:hAnsi="Cambria" w:cs="Times New Roman"/>
          <w:sz w:val="20"/>
          <w:szCs w:val="20"/>
        </w:rPr>
      </w:pPr>
    </w:p>
    <w:p w14:paraId="1B8AD0F7" w14:textId="57964C63" w:rsidR="007B765F" w:rsidRPr="005B5241" w:rsidRDefault="007B765F" w:rsidP="00C53562">
      <w:pPr>
        <w:ind w:left="426" w:hanging="426"/>
        <w:jc w:val="both"/>
        <w:rPr>
          <w:rFonts w:ascii="Cambria" w:eastAsia="Times New Roman" w:hAnsi="Cambria" w:cs="Times New Roman"/>
          <w:color w:val="000000"/>
          <w:sz w:val="20"/>
          <w:szCs w:val="20"/>
        </w:rPr>
      </w:pPr>
      <w:r w:rsidRPr="005B5241">
        <w:rPr>
          <w:rFonts w:ascii="Cambria" w:hAnsi="Cambria"/>
          <w:sz w:val="20"/>
        </w:rPr>
        <w:t xml:space="preserve">3) </w:t>
      </w:r>
      <w:r w:rsidRPr="005B5241">
        <w:rPr>
          <w:rFonts w:ascii="Cambria" w:hAnsi="Cambria"/>
          <w:sz w:val="20"/>
        </w:rPr>
        <w:tab/>
        <w:t>Les</w:t>
      </w:r>
      <w:r w:rsidRPr="005B5241">
        <w:rPr>
          <w:rFonts w:ascii="Cambria" w:hAnsi="Cambria"/>
          <w:color w:val="000000"/>
          <w:sz w:val="20"/>
        </w:rPr>
        <w:t xml:space="preserve"> CPC doivent répondre à toutes les exigences de cette mesure afin de pouvoir obtenir une éventuelle tolérance de rétention.</w:t>
      </w:r>
    </w:p>
    <w:p w14:paraId="377F585E" w14:textId="77777777" w:rsidR="007B765F" w:rsidRPr="005B5241" w:rsidRDefault="007B765F" w:rsidP="00C53562">
      <w:pPr>
        <w:pBdr>
          <w:top w:val="nil"/>
          <w:left w:val="nil"/>
          <w:bottom w:val="nil"/>
          <w:right w:val="nil"/>
          <w:between w:val="nil"/>
        </w:pBdr>
        <w:jc w:val="both"/>
        <w:rPr>
          <w:rFonts w:ascii="Cambria" w:eastAsia="Times New Roman" w:hAnsi="Cambria" w:cs="Times New Roman"/>
          <w:sz w:val="20"/>
          <w:szCs w:val="20"/>
        </w:rPr>
      </w:pPr>
    </w:p>
    <w:p w14:paraId="2B6DD050" w14:textId="77777777" w:rsidR="007B765F" w:rsidRPr="005B5241" w:rsidRDefault="007B765F" w:rsidP="00C53562">
      <w:pPr>
        <w:ind w:left="426" w:hanging="426"/>
        <w:jc w:val="both"/>
        <w:rPr>
          <w:rFonts w:ascii="Cambria" w:eastAsia="Times New Roman" w:hAnsi="Cambria" w:cs="Times New Roman"/>
          <w:sz w:val="20"/>
          <w:szCs w:val="20"/>
        </w:rPr>
      </w:pPr>
      <w:r w:rsidRPr="005B5241">
        <w:rPr>
          <w:rFonts w:ascii="Cambria" w:hAnsi="Cambria"/>
          <w:sz w:val="20"/>
        </w:rPr>
        <w:t xml:space="preserve">4) </w:t>
      </w:r>
      <w:r w:rsidRPr="005B5241">
        <w:rPr>
          <w:rFonts w:ascii="Cambria" w:hAnsi="Cambria"/>
          <w:sz w:val="20"/>
        </w:rPr>
        <w:tab/>
        <w:t xml:space="preserve">Lorsque le volume total retenu par une CPC au cours d'une année donnée atteint la tolérance de rétention de cette CPC, cette CPC devra immédiatement interdire la rétention, le transbordement et le débarquement pour le reste de cette année de pêche, et la CPC devra notifier immédiatement au Secrétariat qu'elle a atteint sa tolérance de rétention et qu'elle a mis en œuvre les interdictions requises. </w:t>
      </w:r>
    </w:p>
    <w:p w14:paraId="2EDD4F73" w14:textId="77777777" w:rsidR="007B765F" w:rsidRPr="005B5241" w:rsidRDefault="007B765F" w:rsidP="00C53562">
      <w:pPr>
        <w:pBdr>
          <w:top w:val="nil"/>
          <w:left w:val="nil"/>
          <w:bottom w:val="nil"/>
          <w:right w:val="nil"/>
          <w:between w:val="nil"/>
        </w:pBdr>
        <w:jc w:val="both"/>
        <w:rPr>
          <w:rFonts w:ascii="Cambria" w:eastAsia="Times New Roman" w:hAnsi="Cambria" w:cs="Times New Roman"/>
          <w:sz w:val="20"/>
          <w:szCs w:val="20"/>
        </w:rPr>
      </w:pPr>
    </w:p>
    <w:p w14:paraId="724A3FED" w14:textId="77777777" w:rsidR="00327A70" w:rsidRPr="005B5241" w:rsidRDefault="00327A70" w:rsidP="00C53562">
      <w:pPr>
        <w:rPr>
          <w:b/>
          <w:sz w:val="20"/>
          <w:szCs w:val="20"/>
        </w:rPr>
      </w:pPr>
    </w:p>
    <w:p w14:paraId="7758C7BD" w14:textId="7E4806CE" w:rsidR="00622AFA" w:rsidRPr="005B5241" w:rsidRDefault="00622AFA" w:rsidP="00C53562">
      <w:pPr>
        <w:rPr>
          <w:b/>
          <w:sz w:val="20"/>
          <w:szCs w:val="20"/>
        </w:rPr>
      </w:pPr>
      <w:r w:rsidRPr="005B5241">
        <w:rPr>
          <w:b/>
          <w:sz w:val="20"/>
          <w:szCs w:val="20"/>
        </w:rPr>
        <w:br w:type="page"/>
      </w:r>
    </w:p>
    <w:p w14:paraId="40279A52" w14:textId="7FB2544B" w:rsidR="00E22DCB" w:rsidRPr="005B5241" w:rsidRDefault="00E22DCB" w:rsidP="00C53562">
      <w:pPr>
        <w:tabs>
          <w:tab w:val="left" w:pos="3080"/>
        </w:tabs>
        <w:jc w:val="right"/>
        <w:rPr>
          <w:rFonts w:cs="Times New Roman"/>
          <w:b/>
          <w:bCs/>
          <w:sz w:val="20"/>
          <w:szCs w:val="20"/>
        </w:rPr>
      </w:pPr>
      <w:r w:rsidRPr="005B5241">
        <w:rPr>
          <w:b/>
          <w:sz w:val="20"/>
          <w:szCs w:val="20"/>
        </w:rPr>
        <w:lastRenderedPageBreak/>
        <w:t xml:space="preserve">Annexe </w:t>
      </w:r>
      <w:r w:rsidR="004C07D1" w:rsidRPr="005B5241">
        <w:rPr>
          <w:b/>
          <w:sz w:val="20"/>
          <w:szCs w:val="20"/>
        </w:rPr>
        <w:t>2</w:t>
      </w:r>
      <w:r w:rsidRPr="005B5241">
        <w:rPr>
          <w:b/>
          <w:sz w:val="20"/>
          <w:szCs w:val="20"/>
        </w:rPr>
        <w:t xml:space="preserve"> </w:t>
      </w:r>
    </w:p>
    <w:p w14:paraId="4A58042B" w14:textId="77777777" w:rsidR="00210231" w:rsidRPr="005B5241" w:rsidRDefault="00210231" w:rsidP="00C53562">
      <w:pPr>
        <w:tabs>
          <w:tab w:val="left" w:pos="3080"/>
        </w:tabs>
        <w:jc w:val="right"/>
        <w:rPr>
          <w:rFonts w:cs="Times New Roman"/>
          <w:b/>
          <w:bCs/>
          <w:sz w:val="20"/>
          <w:szCs w:val="20"/>
        </w:rPr>
      </w:pPr>
    </w:p>
    <w:p w14:paraId="151C2E70" w14:textId="77777777" w:rsidR="00CC5C12" w:rsidRPr="005B5241" w:rsidRDefault="002738E9" w:rsidP="00C53562">
      <w:pPr>
        <w:tabs>
          <w:tab w:val="left" w:pos="3080"/>
        </w:tabs>
        <w:jc w:val="center"/>
        <w:rPr>
          <w:b/>
          <w:sz w:val="20"/>
          <w:szCs w:val="20"/>
        </w:rPr>
      </w:pPr>
      <w:r w:rsidRPr="005B5241">
        <w:rPr>
          <w:b/>
          <w:sz w:val="20"/>
          <w:szCs w:val="20"/>
        </w:rPr>
        <w:t xml:space="preserve">Normes minimales des procédures de manipulation et de remise à l'eau </w:t>
      </w:r>
    </w:p>
    <w:p w14:paraId="2DA4D14B" w14:textId="53FC6785" w:rsidR="00E22DCB" w:rsidRPr="005B5241" w:rsidRDefault="002738E9" w:rsidP="00C53562">
      <w:pPr>
        <w:tabs>
          <w:tab w:val="left" w:pos="3080"/>
        </w:tabs>
        <w:jc w:val="center"/>
        <w:rPr>
          <w:rFonts w:cs="Times New Roman"/>
          <w:sz w:val="20"/>
          <w:szCs w:val="20"/>
        </w:rPr>
      </w:pPr>
      <w:r w:rsidRPr="005B5241">
        <w:rPr>
          <w:b/>
          <w:sz w:val="20"/>
          <w:szCs w:val="20"/>
        </w:rPr>
        <w:t>en toute sécurité des spécimens vivants</w:t>
      </w:r>
    </w:p>
    <w:p w14:paraId="7A09707F" w14:textId="77777777" w:rsidR="00E22DCB" w:rsidRPr="005B5241" w:rsidRDefault="00E22DCB" w:rsidP="00C53562">
      <w:pPr>
        <w:tabs>
          <w:tab w:val="left" w:pos="3080"/>
        </w:tabs>
        <w:jc w:val="center"/>
        <w:rPr>
          <w:sz w:val="20"/>
          <w:szCs w:val="20"/>
        </w:rPr>
      </w:pPr>
    </w:p>
    <w:p w14:paraId="572DB92A" w14:textId="77777777" w:rsidR="002575B7" w:rsidRPr="005B5241" w:rsidRDefault="002575B7" w:rsidP="00C53562">
      <w:pPr>
        <w:tabs>
          <w:tab w:val="left" w:pos="3080"/>
        </w:tabs>
        <w:jc w:val="center"/>
        <w:rPr>
          <w:rFonts w:cs="Times New Roman"/>
          <w:sz w:val="20"/>
          <w:szCs w:val="20"/>
        </w:rPr>
      </w:pPr>
    </w:p>
    <w:p w14:paraId="427CDF54" w14:textId="462CDDA3" w:rsidR="00D05C59" w:rsidRPr="005B5241" w:rsidRDefault="00D05C59" w:rsidP="00C53562">
      <w:pPr>
        <w:jc w:val="both"/>
        <w:rPr>
          <w:rFonts w:ascii="Cambria" w:hAnsi="Cambria" w:cstheme="minorHAnsi"/>
          <w:sz w:val="20"/>
          <w:szCs w:val="20"/>
        </w:rPr>
      </w:pPr>
      <w:r w:rsidRPr="005B5241">
        <w:rPr>
          <w:rFonts w:ascii="Cambria" w:hAnsi="Cambria"/>
          <w:sz w:val="20"/>
        </w:rPr>
        <w:t>Le texte suivant fournit des normes minimales pour des pratiques de manipulation en toute sécurité des requins-taupe</w:t>
      </w:r>
      <w:r w:rsidR="008D1030" w:rsidRPr="005B5241">
        <w:rPr>
          <w:rFonts w:ascii="Cambria" w:hAnsi="Cambria"/>
          <w:sz w:val="20"/>
        </w:rPr>
        <w:t>s</w:t>
      </w:r>
      <w:r w:rsidRPr="005B5241">
        <w:rPr>
          <w:rFonts w:ascii="Cambria" w:hAnsi="Cambria"/>
          <w:sz w:val="20"/>
        </w:rPr>
        <w:t xml:space="preserve"> bleu de l’Atlantique Nord</w:t>
      </w:r>
      <w:r w:rsidR="00D74F3B" w:rsidRPr="005B5241">
        <w:rPr>
          <w:rFonts w:ascii="Cambria" w:hAnsi="Cambria"/>
          <w:sz w:val="20"/>
        </w:rPr>
        <w:t xml:space="preserve"> (</w:t>
      </w:r>
      <w:proofErr w:type="spellStart"/>
      <w:r w:rsidR="00D74F3B" w:rsidRPr="005B5241">
        <w:rPr>
          <w:rFonts w:ascii="Cambria" w:hAnsi="Cambria"/>
          <w:sz w:val="20"/>
        </w:rPr>
        <w:t>nSMA</w:t>
      </w:r>
      <w:proofErr w:type="spellEnd"/>
      <w:r w:rsidR="00D74F3B" w:rsidRPr="005B5241">
        <w:rPr>
          <w:rFonts w:ascii="Cambria" w:hAnsi="Cambria"/>
          <w:sz w:val="20"/>
        </w:rPr>
        <w:t>)</w:t>
      </w:r>
      <w:r w:rsidRPr="005B5241">
        <w:rPr>
          <w:rFonts w:ascii="Cambria" w:hAnsi="Cambria"/>
          <w:sz w:val="20"/>
        </w:rPr>
        <w:t xml:space="preserve"> et </w:t>
      </w:r>
      <w:r w:rsidR="008D1030" w:rsidRPr="005B5241">
        <w:rPr>
          <w:rFonts w:ascii="Cambria" w:hAnsi="Cambria"/>
          <w:sz w:val="20"/>
        </w:rPr>
        <w:t xml:space="preserve">fournit </w:t>
      </w:r>
      <w:r w:rsidRPr="005B5241">
        <w:rPr>
          <w:rFonts w:ascii="Cambria" w:hAnsi="Cambria"/>
          <w:sz w:val="20"/>
        </w:rPr>
        <w:t xml:space="preserve">des recommandations spécifiques pour les pêcheries de palangriers et de senneurs. </w:t>
      </w:r>
    </w:p>
    <w:p w14:paraId="02C7D0BA" w14:textId="77777777" w:rsidR="00FF438B" w:rsidRPr="005B5241" w:rsidRDefault="00FF438B" w:rsidP="00C53562">
      <w:pPr>
        <w:jc w:val="both"/>
        <w:rPr>
          <w:rFonts w:cstheme="minorHAnsi"/>
          <w:sz w:val="20"/>
          <w:szCs w:val="20"/>
        </w:rPr>
      </w:pPr>
    </w:p>
    <w:p w14:paraId="469F1350" w14:textId="62C718E4" w:rsidR="00FF438B" w:rsidRPr="005B5241" w:rsidRDefault="00FF438B" w:rsidP="00C53562">
      <w:pPr>
        <w:jc w:val="both"/>
        <w:rPr>
          <w:rFonts w:cstheme="minorHAnsi"/>
          <w:sz w:val="20"/>
          <w:szCs w:val="20"/>
        </w:rPr>
      </w:pPr>
      <w:r w:rsidRPr="005B5241">
        <w:rPr>
          <w:sz w:val="20"/>
          <w:szCs w:val="20"/>
        </w:rPr>
        <w:t>Ces normes minimales sont appropriées pour les requins-taupes bleus vivants lorsqu'ils sont relâchés que ce soit dans le cadre de politiques de non-rétention ou lorsqu'ils sont relâchés volontairement. Ces directives de base ne remplacent pas les règles de sécurité plus strictes qui peuvent avoir été établies par les autorités nationales des différentes CPC.</w:t>
      </w:r>
    </w:p>
    <w:p w14:paraId="5FB4B031" w14:textId="77777777" w:rsidR="00FF438B" w:rsidRPr="005B5241" w:rsidRDefault="00FF438B" w:rsidP="00C53562">
      <w:pPr>
        <w:jc w:val="both"/>
        <w:rPr>
          <w:rFonts w:cstheme="minorHAnsi"/>
          <w:sz w:val="20"/>
          <w:szCs w:val="20"/>
        </w:rPr>
      </w:pPr>
    </w:p>
    <w:p w14:paraId="31D82743" w14:textId="77777777" w:rsidR="00FF438B" w:rsidRPr="005B5241" w:rsidRDefault="00FF438B" w:rsidP="00C53562">
      <w:pPr>
        <w:jc w:val="both"/>
        <w:rPr>
          <w:rFonts w:cstheme="minorHAnsi"/>
          <w:bCs/>
          <w:sz w:val="20"/>
          <w:szCs w:val="20"/>
        </w:rPr>
      </w:pPr>
      <w:r w:rsidRPr="005B5241">
        <w:rPr>
          <w:bCs/>
          <w:sz w:val="20"/>
          <w:szCs w:val="20"/>
        </w:rPr>
        <w:t xml:space="preserve">La sécurité d'abord : Ces normes minimales devraient être examinées en tenant compte de la sécurité et de la praticabilité pour l'équipage. La sécurité de l'équipage devrait toujours passer en premier. Au minimum, l’équipage devrait porter des gants appropriés et éviter de travailler autour de la gueule des requins. </w:t>
      </w:r>
    </w:p>
    <w:p w14:paraId="4C66F88D" w14:textId="77777777" w:rsidR="00FF438B" w:rsidRPr="005B5241" w:rsidRDefault="00FF438B" w:rsidP="00C53562">
      <w:pPr>
        <w:jc w:val="both"/>
        <w:rPr>
          <w:bCs/>
          <w:sz w:val="20"/>
          <w:szCs w:val="20"/>
        </w:rPr>
      </w:pPr>
    </w:p>
    <w:p w14:paraId="255A1071" w14:textId="77777777" w:rsidR="00FF438B" w:rsidRPr="005B5241" w:rsidRDefault="00FF438B" w:rsidP="00C53562">
      <w:pPr>
        <w:jc w:val="both"/>
        <w:rPr>
          <w:bCs/>
          <w:sz w:val="20"/>
          <w:szCs w:val="20"/>
        </w:rPr>
      </w:pPr>
      <w:r w:rsidRPr="005B5241">
        <w:rPr>
          <w:bCs/>
          <w:sz w:val="20"/>
          <w:szCs w:val="20"/>
        </w:rPr>
        <w:t>Formation</w:t>
      </w:r>
      <w:r w:rsidRPr="005B5241">
        <w:rPr>
          <w:bCs/>
          <w:i/>
          <w:iCs/>
          <w:sz w:val="20"/>
          <w:szCs w:val="20"/>
        </w:rPr>
        <w:t> :</w:t>
      </w:r>
      <w:r w:rsidRPr="005B5241">
        <w:rPr>
          <w:bCs/>
          <w:sz w:val="20"/>
          <w:szCs w:val="20"/>
        </w:rPr>
        <w:t xml:space="preserve"> Le Secrétariat et le SCRS devraient élaborer des matériels visant à soutenir la formation des opérateurs de pêche afin de mettre en œuvre ce protocole de manipulation en toute sécurité. Ces matériels devraient être mis à la disposition des CPC dans les trois langues officielles de l'ICCAT. </w:t>
      </w:r>
    </w:p>
    <w:p w14:paraId="0B358304" w14:textId="77777777" w:rsidR="00FF438B" w:rsidRPr="005B5241" w:rsidRDefault="00FF438B" w:rsidP="00C53562">
      <w:pPr>
        <w:jc w:val="both"/>
        <w:rPr>
          <w:bCs/>
          <w:sz w:val="20"/>
          <w:szCs w:val="20"/>
        </w:rPr>
      </w:pPr>
    </w:p>
    <w:p w14:paraId="1EEFDA44" w14:textId="52ADE3B7" w:rsidR="00FF438B" w:rsidRPr="005B5241" w:rsidRDefault="00FF438B" w:rsidP="00C53562">
      <w:pPr>
        <w:jc w:val="both"/>
        <w:rPr>
          <w:bCs/>
          <w:sz w:val="20"/>
          <w:szCs w:val="20"/>
        </w:rPr>
      </w:pPr>
      <w:r w:rsidRPr="005B5241">
        <w:rPr>
          <w:bCs/>
          <w:sz w:val="20"/>
          <w:szCs w:val="20"/>
        </w:rPr>
        <w:t xml:space="preserve">Dans </w:t>
      </w:r>
      <w:r w:rsidR="005160F0" w:rsidRPr="005B5241">
        <w:rPr>
          <w:bCs/>
          <w:sz w:val="20"/>
          <w:szCs w:val="20"/>
        </w:rPr>
        <w:t xml:space="preserve">toute </w:t>
      </w:r>
      <w:r w:rsidRPr="005B5241">
        <w:rPr>
          <w:bCs/>
          <w:sz w:val="20"/>
          <w:szCs w:val="20"/>
        </w:rPr>
        <w:t>la mesure du possible, tous les requins remis à l'eau devraient rester dans l'eau à tout moment</w:t>
      </w:r>
      <w:r w:rsidR="00E06098" w:rsidRPr="005B5241">
        <w:rPr>
          <w:bCs/>
          <w:sz w:val="20"/>
          <w:szCs w:val="20"/>
        </w:rPr>
        <w:t>, à moins qu’il ne soit nécessaire de soulever les requins pour identifier l’espèce</w:t>
      </w:r>
      <w:r w:rsidRPr="005B5241">
        <w:rPr>
          <w:bCs/>
          <w:sz w:val="20"/>
          <w:szCs w:val="20"/>
        </w:rPr>
        <w:t>. Il s'agit notamment de couper la ligne pour libérer le requin alors qu'il est encore dans l'eau, d'utiliser des coupe-boulons ou des dispositifs de retrait de l'hameçon si possible, ou de couper la ligne aussi près que possible de l'hameçon (et donc de laisser le moins de ligne de traîne possible).</w:t>
      </w:r>
    </w:p>
    <w:p w14:paraId="729523D0" w14:textId="77777777" w:rsidR="002575B7" w:rsidRPr="005B5241" w:rsidRDefault="002575B7" w:rsidP="00C53562">
      <w:pPr>
        <w:jc w:val="both"/>
        <w:rPr>
          <w:bCs/>
          <w:sz w:val="20"/>
          <w:szCs w:val="20"/>
        </w:rPr>
      </w:pPr>
    </w:p>
    <w:p w14:paraId="5E8BDCD8" w14:textId="77777777" w:rsidR="00FF438B" w:rsidRPr="005B5241" w:rsidRDefault="00FF438B" w:rsidP="00C53562">
      <w:pPr>
        <w:jc w:val="both"/>
        <w:rPr>
          <w:bCs/>
          <w:sz w:val="20"/>
          <w:szCs w:val="20"/>
        </w:rPr>
      </w:pPr>
      <w:r w:rsidRPr="005B5241">
        <w:rPr>
          <w:bCs/>
          <w:sz w:val="20"/>
          <w:szCs w:val="20"/>
        </w:rPr>
        <w:t>Soyez prêt : Les outils devraient être préparés à l'avance (p. ex. élingues ou civières en toile, filets pour le transport ou le levage, filet ou grille à mailles larges pour couvrir les écoutilles/trémies dans les pêcheries de senneurs, coupe-lignes à long manche et dégorgeoirs dans les pêcheries palangrières, etc. énumérés à la fin de ce document).</w:t>
      </w:r>
    </w:p>
    <w:p w14:paraId="36A43518" w14:textId="77777777" w:rsidR="00FF438B" w:rsidRPr="005B5241" w:rsidRDefault="00FF438B" w:rsidP="00C53562">
      <w:pPr>
        <w:jc w:val="both"/>
        <w:rPr>
          <w:bCs/>
          <w:sz w:val="20"/>
          <w:szCs w:val="20"/>
        </w:rPr>
      </w:pPr>
    </w:p>
    <w:p w14:paraId="54959F67" w14:textId="77777777" w:rsidR="00FF438B" w:rsidRPr="005B5241" w:rsidRDefault="00FF438B" w:rsidP="00C53562">
      <w:pPr>
        <w:jc w:val="both"/>
        <w:rPr>
          <w:b/>
          <w:sz w:val="20"/>
          <w:szCs w:val="20"/>
        </w:rPr>
      </w:pPr>
      <w:r w:rsidRPr="005B5241">
        <w:rPr>
          <w:b/>
          <w:sz w:val="20"/>
          <w:szCs w:val="20"/>
        </w:rPr>
        <w:t>Recommandations générales pour toutes les pêcheries :</w:t>
      </w:r>
    </w:p>
    <w:p w14:paraId="0B11096A" w14:textId="77777777" w:rsidR="00ED02BC" w:rsidRPr="005B5241" w:rsidRDefault="00ED02BC" w:rsidP="00C53562">
      <w:pPr>
        <w:jc w:val="both"/>
        <w:rPr>
          <w:b/>
          <w:sz w:val="20"/>
          <w:szCs w:val="20"/>
        </w:rPr>
      </w:pPr>
    </w:p>
    <w:p w14:paraId="27A2D691" w14:textId="77777777" w:rsidR="00FF438B" w:rsidRPr="005B5241" w:rsidRDefault="00FF438B" w:rsidP="00C53562">
      <w:pPr>
        <w:pStyle w:val="ListParagraph"/>
        <w:numPr>
          <w:ilvl w:val="0"/>
          <w:numId w:val="21"/>
        </w:numPr>
        <w:jc w:val="both"/>
        <w:rPr>
          <w:sz w:val="20"/>
          <w:szCs w:val="20"/>
        </w:rPr>
      </w:pPr>
      <w:r w:rsidRPr="005B5241">
        <w:rPr>
          <w:sz w:val="20"/>
          <w:szCs w:val="20"/>
        </w:rPr>
        <w:t>Si la sécurité opérationnelle le permet, arrêter le bateau ou réduire considérablement sa vitesse.</w:t>
      </w:r>
    </w:p>
    <w:p w14:paraId="2D0E2EDA" w14:textId="6CA14F18" w:rsidR="00FF438B" w:rsidRPr="005B5241" w:rsidRDefault="00FF438B" w:rsidP="00C53562">
      <w:pPr>
        <w:pStyle w:val="ListParagraph"/>
        <w:numPr>
          <w:ilvl w:val="0"/>
          <w:numId w:val="21"/>
        </w:numPr>
        <w:jc w:val="both"/>
        <w:rPr>
          <w:sz w:val="20"/>
          <w:szCs w:val="20"/>
        </w:rPr>
      </w:pPr>
      <w:r w:rsidRPr="005B5241">
        <w:rPr>
          <w:sz w:val="20"/>
          <w:szCs w:val="20"/>
        </w:rPr>
        <w:t xml:space="preserve">Lorsqu'il est pris (dans un filet, une ligne de pêche, etc.), si cela peut se faire sans danger, couper soigneusement le filet/la ligne </w:t>
      </w:r>
      <w:r w:rsidR="00B431A0" w:rsidRPr="005B5241">
        <w:rPr>
          <w:sz w:val="20"/>
          <w:szCs w:val="20"/>
        </w:rPr>
        <w:t xml:space="preserve">en l’éloignant </w:t>
      </w:r>
      <w:r w:rsidRPr="005B5241">
        <w:rPr>
          <w:sz w:val="20"/>
          <w:szCs w:val="20"/>
        </w:rPr>
        <w:t xml:space="preserve">de l'animal et le relâcher à la mer le plus rapidement possible sans que le requin ne soit attaché à un élément emmêlant. </w:t>
      </w:r>
    </w:p>
    <w:p w14:paraId="14282130" w14:textId="77777777" w:rsidR="00FF438B" w:rsidRPr="005B5241" w:rsidRDefault="00FF438B" w:rsidP="00C53562">
      <w:pPr>
        <w:pStyle w:val="ListParagraph"/>
        <w:numPr>
          <w:ilvl w:val="0"/>
          <w:numId w:val="21"/>
        </w:numPr>
        <w:jc w:val="both"/>
        <w:rPr>
          <w:sz w:val="20"/>
          <w:szCs w:val="20"/>
        </w:rPr>
      </w:pPr>
      <w:r w:rsidRPr="005B5241">
        <w:rPr>
          <w:sz w:val="20"/>
          <w:szCs w:val="20"/>
        </w:rPr>
        <w:t>Dans la mesure du possible, et tout en gardant le requin dans l'eau, essayer de mesurer la longueur du requin.</w:t>
      </w:r>
    </w:p>
    <w:p w14:paraId="628DE68F" w14:textId="77777777" w:rsidR="00FF438B" w:rsidRPr="005B5241" w:rsidRDefault="00FF438B" w:rsidP="00C53562">
      <w:pPr>
        <w:pStyle w:val="ListParagraph"/>
        <w:numPr>
          <w:ilvl w:val="0"/>
          <w:numId w:val="21"/>
        </w:numPr>
        <w:jc w:val="both"/>
        <w:rPr>
          <w:sz w:val="20"/>
          <w:szCs w:val="20"/>
        </w:rPr>
      </w:pPr>
      <w:r w:rsidRPr="005B5241">
        <w:rPr>
          <w:sz w:val="20"/>
          <w:szCs w:val="20"/>
        </w:rPr>
        <w:t xml:space="preserve">Pour éviter les morsures, placer un objet, tel qu'un poisson ou un gros bâton/poteau en bois, dans la mâchoire. </w:t>
      </w:r>
    </w:p>
    <w:p w14:paraId="78D2D7A9" w14:textId="77777777" w:rsidR="00FF438B" w:rsidRPr="005B5241" w:rsidRDefault="00FF438B" w:rsidP="00C53562">
      <w:pPr>
        <w:pStyle w:val="ListParagraph"/>
        <w:numPr>
          <w:ilvl w:val="0"/>
          <w:numId w:val="21"/>
        </w:numPr>
        <w:jc w:val="both"/>
        <w:rPr>
          <w:sz w:val="20"/>
          <w:szCs w:val="20"/>
        </w:rPr>
      </w:pPr>
      <w:r w:rsidRPr="005B5241">
        <w:rPr>
          <w:sz w:val="20"/>
          <w:szCs w:val="20"/>
        </w:rPr>
        <w:t>Si, pour quelque raison que ce soit, un requin doit être amené sur le pont, minimiser le temps nécessaire pour le remettre à l'eau afin d'augmenter sa survie et de réduire les risques pour l'équipage.</w:t>
      </w:r>
    </w:p>
    <w:p w14:paraId="1D32778D" w14:textId="77777777" w:rsidR="00C02401" w:rsidRPr="005B5241" w:rsidRDefault="00C02401" w:rsidP="00C53562">
      <w:pPr>
        <w:jc w:val="both"/>
        <w:rPr>
          <w:b/>
          <w:sz w:val="20"/>
          <w:szCs w:val="20"/>
        </w:rPr>
      </w:pPr>
    </w:p>
    <w:p w14:paraId="4BA854D2" w14:textId="42965B1E" w:rsidR="00FF438B" w:rsidRPr="005B5241" w:rsidRDefault="00FF438B" w:rsidP="00C53562">
      <w:pPr>
        <w:jc w:val="both"/>
        <w:rPr>
          <w:b/>
          <w:sz w:val="20"/>
          <w:szCs w:val="20"/>
        </w:rPr>
      </w:pPr>
      <w:r w:rsidRPr="005B5241">
        <w:rPr>
          <w:b/>
          <w:sz w:val="20"/>
          <w:szCs w:val="20"/>
        </w:rPr>
        <w:t xml:space="preserve">Pratiques pour une manipulation en toute sécurité spécifiques aux pêcheries </w:t>
      </w:r>
      <w:r w:rsidR="00750C34" w:rsidRPr="005B5241">
        <w:rPr>
          <w:b/>
          <w:sz w:val="20"/>
          <w:szCs w:val="20"/>
        </w:rPr>
        <w:t>palangrières :</w:t>
      </w:r>
    </w:p>
    <w:p w14:paraId="13CAE1D2" w14:textId="77777777" w:rsidR="00ED02BC" w:rsidRPr="005B5241" w:rsidRDefault="00ED02BC" w:rsidP="00C53562">
      <w:pPr>
        <w:jc w:val="both"/>
        <w:rPr>
          <w:b/>
          <w:sz w:val="20"/>
          <w:szCs w:val="20"/>
        </w:rPr>
      </w:pPr>
    </w:p>
    <w:p w14:paraId="6945ED7C" w14:textId="657291C0" w:rsidR="00FF438B" w:rsidRPr="005B5241" w:rsidRDefault="00FF438B" w:rsidP="00C53562">
      <w:pPr>
        <w:pStyle w:val="ListParagraph"/>
        <w:numPr>
          <w:ilvl w:val="0"/>
          <w:numId w:val="21"/>
        </w:numPr>
        <w:jc w:val="both"/>
        <w:rPr>
          <w:sz w:val="20"/>
          <w:szCs w:val="20"/>
        </w:rPr>
      </w:pPr>
      <w:r w:rsidRPr="005B5241">
        <w:rPr>
          <w:sz w:val="20"/>
          <w:szCs w:val="20"/>
        </w:rPr>
        <w:t xml:space="preserve">Amener le requin le plus près possible du </w:t>
      </w:r>
      <w:r w:rsidR="00B431A0" w:rsidRPr="005B5241">
        <w:rPr>
          <w:sz w:val="20"/>
          <w:szCs w:val="20"/>
        </w:rPr>
        <w:t>navire</w:t>
      </w:r>
      <w:r w:rsidRPr="005B5241">
        <w:rPr>
          <w:sz w:val="20"/>
          <w:szCs w:val="20"/>
        </w:rPr>
        <w:t xml:space="preserve"> sans trop mettre de tension sur l’avançon pour éviter qu'un hameçon relâché ou une cassure d’avançon ne lance à grande vitesse vers le bateau et l’équipage</w:t>
      </w:r>
      <w:r w:rsidR="00B431A0" w:rsidRPr="005B5241">
        <w:rPr>
          <w:sz w:val="20"/>
          <w:szCs w:val="20"/>
        </w:rPr>
        <w:t>,</w:t>
      </w:r>
      <w:r w:rsidRPr="005B5241">
        <w:rPr>
          <w:sz w:val="20"/>
          <w:szCs w:val="20"/>
        </w:rPr>
        <w:t xml:space="preserve"> des hameçons, des poids et autres pièces. </w:t>
      </w:r>
    </w:p>
    <w:p w14:paraId="3AB490BA" w14:textId="77777777" w:rsidR="00FF438B" w:rsidRPr="005B5241" w:rsidRDefault="00FF438B" w:rsidP="00C53562">
      <w:pPr>
        <w:pStyle w:val="ListParagraph"/>
        <w:numPr>
          <w:ilvl w:val="0"/>
          <w:numId w:val="21"/>
        </w:numPr>
        <w:jc w:val="both"/>
        <w:rPr>
          <w:sz w:val="20"/>
          <w:szCs w:val="20"/>
        </w:rPr>
      </w:pPr>
      <w:r w:rsidRPr="005B5241">
        <w:rPr>
          <w:sz w:val="20"/>
          <w:szCs w:val="20"/>
        </w:rPr>
        <w:t>Fixer l'autre côté de la ligne principale de la palangre au bateau pour éviter que tout engin restant dans l'eau ne tire sur la ligne et l'animal.</w:t>
      </w:r>
    </w:p>
    <w:p w14:paraId="3C2111E0" w14:textId="2F7271C0" w:rsidR="00FF438B" w:rsidRPr="005B5241" w:rsidRDefault="00FF438B" w:rsidP="00C53562">
      <w:pPr>
        <w:pStyle w:val="ListParagraph"/>
        <w:numPr>
          <w:ilvl w:val="0"/>
          <w:numId w:val="21"/>
        </w:numPr>
        <w:jc w:val="both"/>
        <w:rPr>
          <w:rFonts w:cstheme="minorHAnsi"/>
          <w:sz w:val="20"/>
          <w:szCs w:val="20"/>
        </w:rPr>
      </w:pPr>
      <w:r w:rsidRPr="005B5241">
        <w:rPr>
          <w:sz w:val="20"/>
          <w:szCs w:val="20"/>
        </w:rPr>
        <w:t xml:space="preserve">Si l'animal est accroché et que l'hameçon est visible dans le corps ou la </w:t>
      </w:r>
      <w:r w:rsidR="00B431A0" w:rsidRPr="005B5241">
        <w:rPr>
          <w:sz w:val="20"/>
          <w:szCs w:val="20"/>
        </w:rPr>
        <w:t>gueule</w:t>
      </w:r>
      <w:r w:rsidRPr="005B5241">
        <w:rPr>
          <w:sz w:val="20"/>
          <w:szCs w:val="20"/>
        </w:rPr>
        <w:t xml:space="preserve">, utiliser un dispositif de retrait de l’hameçon ou un coupe-boulon à long manche pour retirer le barbillon de l'hameçon, puis retirer l'hameçon. </w:t>
      </w:r>
    </w:p>
    <w:p w14:paraId="5BB7A434" w14:textId="77777777" w:rsidR="00FF438B" w:rsidRPr="005B5241" w:rsidRDefault="00FF438B" w:rsidP="00C53562">
      <w:pPr>
        <w:pStyle w:val="ListParagraph"/>
        <w:numPr>
          <w:ilvl w:val="0"/>
          <w:numId w:val="21"/>
        </w:numPr>
        <w:jc w:val="both"/>
        <w:rPr>
          <w:rFonts w:cstheme="minorHAnsi"/>
          <w:color w:val="FF0000"/>
          <w:sz w:val="20"/>
          <w:szCs w:val="20"/>
        </w:rPr>
      </w:pPr>
      <w:r w:rsidRPr="005B5241">
        <w:rPr>
          <w:sz w:val="20"/>
          <w:szCs w:val="20"/>
        </w:rPr>
        <w:lastRenderedPageBreak/>
        <w:t>S'il n'est pas possible d'enlever l'hameçon ou si l'hameçon n'est pas visible, couper la ligne principale (ou l’avançon, le bas de ligne) aussi près que possible de l'hameçon (idéalement en laissant le moins de ligne possible et/ou de bas de ligne et aucun poids attaché à l'animal).</w:t>
      </w:r>
      <w:r w:rsidRPr="005B5241">
        <w:rPr>
          <w:color w:val="FF0000"/>
          <w:sz w:val="20"/>
          <w:szCs w:val="20"/>
        </w:rPr>
        <w:t xml:space="preserve"> </w:t>
      </w:r>
    </w:p>
    <w:p w14:paraId="2F2332F6" w14:textId="77777777" w:rsidR="00FF438B" w:rsidRPr="005B5241" w:rsidRDefault="00FF438B" w:rsidP="00C53562">
      <w:pPr>
        <w:pStyle w:val="ListParagraph"/>
        <w:jc w:val="both"/>
        <w:rPr>
          <w:sz w:val="20"/>
          <w:szCs w:val="20"/>
        </w:rPr>
      </w:pPr>
    </w:p>
    <w:p w14:paraId="466814F4" w14:textId="41D047F8" w:rsidR="00FF438B" w:rsidRPr="005B5241" w:rsidRDefault="00FF438B" w:rsidP="00C53562">
      <w:pPr>
        <w:jc w:val="both"/>
        <w:rPr>
          <w:b/>
          <w:sz w:val="20"/>
          <w:szCs w:val="20"/>
        </w:rPr>
      </w:pPr>
      <w:r w:rsidRPr="005B5241">
        <w:rPr>
          <w:b/>
          <w:sz w:val="20"/>
          <w:szCs w:val="20"/>
        </w:rPr>
        <w:t xml:space="preserve">Pratiques pour une manipulation en toute sécurité spécifiques aux pêcheries de </w:t>
      </w:r>
      <w:r w:rsidR="00750C34" w:rsidRPr="005B5241">
        <w:rPr>
          <w:b/>
          <w:sz w:val="20"/>
          <w:szCs w:val="20"/>
        </w:rPr>
        <w:t>senneurs :</w:t>
      </w:r>
    </w:p>
    <w:p w14:paraId="21F8AE55" w14:textId="77777777" w:rsidR="00ED02BC" w:rsidRPr="005B5241" w:rsidRDefault="00ED02BC" w:rsidP="00C53562">
      <w:pPr>
        <w:jc w:val="both"/>
        <w:rPr>
          <w:b/>
          <w:sz w:val="20"/>
          <w:szCs w:val="20"/>
        </w:rPr>
      </w:pPr>
    </w:p>
    <w:p w14:paraId="5C44B69D" w14:textId="77777777" w:rsidR="00FF438B" w:rsidRPr="005B5241" w:rsidRDefault="00FF438B" w:rsidP="00C53562">
      <w:pPr>
        <w:pStyle w:val="ListParagraph"/>
        <w:numPr>
          <w:ilvl w:val="0"/>
          <w:numId w:val="21"/>
        </w:numPr>
        <w:jc w:val="both"/>
        <w:rPr>
          <w:sz w:val="20"/>
          <w:szCs w:val="20"/>
        </w:rPr>
      </w:pPr>
      <w:r w:rsidRPr="005B5241">
        <w:rPr>
          <w:sz w:val="20"/>
          <w:szCs w:val="20"/>
        </w:rPr>
        <w:t>Si les requins se trouvent dans la senne : Examiner visuellement le filet aussitôt que possible pour repérer les requins à temps et réagir rapidement. Éviter de les soulever dans le filet en direction de la poulie motrice. Réduire la vitesse du navire pour relâcher la tension du filet et permettre à l'animal enchevêtré d'être retiré du filet. Si nécessaire, utiliser un coupe-ligne pour couper le filet.</w:t>
      </w:r>
    </w:p>
    <w:p w14:paraId="531E86AA" w14:textId="77777777" w:rsidR="00FF438B" w:rsidRPr="005B5241" w:rsidRDefault="00FF438B" w:rsidP="00C53562">
      <w:pPr>
        <w:pStyle w:val="ListParagraph"/>
        <w:ind w:left="1440"/>
        <w:jc w:val="both"/>
        <w:rPr>
          <w:sz w:val="20"/>
          <w:szCs w:val="20"/>
        </w:rPr>
      </w:pPr>
      <w:r w:rsidRPr="005B5241">
        <w:rPr>
          <w:sz w:val="20"/>
          <w:szCs w:val="20"/>
        </w:rPr>
        <w:t xml:space="preserve"> </w:t>
      </w:r>
    </w:p>
    <w:p w14:paraId="55211B99" w14:textId="0BC8205E" w:rsidR="00FF438B" w:rsidRPr="005B5241" w:rsidRDefault="00FF438B" w:rsidP="00C53562">
      <w:pPr>
        <w:pStyle w:val="ListParagraph"/>
        <w:numPr>
          <w:ilvl w:val="0"/>
          <w:numId w:val="21"/>
        </w:numPr>
        <w:jc w:val="both"/>
        <w:rPr>
          <w:sz w:val="20"/>
          <w:szCs w:val="20"/>
        </w:rPr>
      </w:pPr>
      <w:r w:rsidRPr="005B5241">
        <w:rPr>
          <w:sz w:val="20"/>
          <w:szCs w:val="20"/>
        </w:rPr>
        <w:t>S’ils se trouvent dans une salabarde ou sur le pont</w:t>
      </w:r>
      <w:r w:rsidRPr="005B5241">
        <w:rPr>
          <w:i/>
          <w:iCs/>
          <w:sz w:val="20"/>
          <w:szCs w:val="20"/>
        </w:rPr>
        <w:t xml:space="preserve"> :</w:t>
      </w:r>
      <w:r w:rsidRPr="005B5241">
        <w:rPr>
          <w:sz w:val="20"/>
          <w:szCs w:val="20"/>
        </w:rPr>
        <w:t xml:space="preserve"> Utiliser un filet de transport à grandes mailles, une élingue en toile ou un dispositif similaire conçu à cet effet. Si l'aménagement du bateau le permet, les requins pourraient également être libérés en vidant la salabarde directement dans la trémie et une rampe de libération maintenue à un angle qui se connecte à une ouverture sur la rambarde du pont supérieur, sans avoir besoin d'être soulevés ou manipulés par l'équipage.</w:t>
      </w:r>
    </w:p>
    <w:p w14:paraId="740AD032" w14:textId="77777777" w:rsidR="00C02401" w:rsidRPr="005B5241" w:rsidRDefault="00C02401" w:rsidP="00C53562">
      <w:pPr>
        <w:jc w:val="both"/>
        <w:rPr>
          <w:b/>
          <w:sz w:val="20"/>
          <w:szCs w:val="20"/>
        </w:rPr>
      </w:pPr>
    </w:p>
    <w:p w14:paraId="722C8F60" w14:textId="3421140C" w:rsidR="00FF438B" w:rsidRPr="005B5241" w:rsidRDefault="00FF438B" w:rsidP="00C53562">
      <w:pPr>
        <w:jc w:val="both"/>
        <w:rPr>
          <w:b/>
          <w:sz w:val="20"/>
          <w:szCs w:val="20"/>
        </w:rPr>
      </w:pPr>
      <w:r w:rsidRPr="005B5241">
        <w:rPr>
          <w:b/>
          <w:sz w:val="20"/>
          <w:szCs w:val="20"/>
        </w:rPr>
        <w:t>NE PAS FAIRE (s’applique à toutes les pêcheries)</w:t>
      </w:r>
      <w:r w:rsidR="00D127BB" w:rsidRPr="005B5241">
        <w:rPr>
          <w:b/>
          <w:sz w:val="20"/>
          <w:szCs w:val="20"/>
        </w:rPr>
        <w:t xml:space="preserve"> </w:t>
      </w:r>
      <w:r w:rsidRPr="005B5241">
        <w:rPr>
          <w:b/>
          <w:sz w:val="20"/>
          <w:szCs w:val="20"/>
        </w:rPr>
        <w:t>:</w:t>
      </w:r>
    </w:p>
    <w:p w14:paraId="32854B10" w14:textId="77777777" w:rsidR="00ED02BC" w:rsidRPr="005B5241" w:rsidRDefault="00ED02BC" w:rsidP="00C53562">
      <w:pPr>
        <w:jc w:val="both"/>
        <w:rPr>
          <w:b/>
          <w:sz w:val="20"/>
          <w:szCs w:val="20"/>
        </w:rPr>
      </w:pPr>
    </w:p>
    <w:p w14:paraId="7109026F" w14:textId="77777777" w:rsidR="00E06098" w:rsidRPr="005B5241" w:rsidRDefault="00E06098" w:rsidP="00C53562">
      <w:pPr>
        <w:pStyle w:val="ListParagraph"/>
        <w:numPr>
          <w:ilvl w:val="0"/>
          <w:numId w:val="21"/>
        </w:numPr>
        <w:jc w:val="both"/>
        <w:rPr>
          <w:rFonts w:ascii="Cambria" w:hAnsi="Cambria"/>
          <w:sz w:val="20"/>
          <w:szCs w:val="20"/>
        </w:rPr>
      </w:pPr>
      <w:r w:rsidRPr="005B5241">
        <w:rPr>
          <w:rFonts w:ascii="Cambria" w:hAnsi="Cambria"/>
          <w:sz w:val="20"/>
        </w:rPr>
        <w:t xml:space="preserve">Dans la mesure du possible, ne soulevez pas les requins de l'eau à l'aide de l’avançon, surtout s'ils sont accrochés à l’hameçon, sauf s'il est nécessaire de soulever les requins pour identifier l'espèce. </w:t>
      </w:r>
    </w:p>
    <w:p w14:paraId="3B8F18A6" w14:textId="77777777" w:rsidR="00FF438B" w:rsidRPr="005B5241" w:rsidRDefault="00FF438B" w:rsidP="00C53562">
      <w:pPr>
        <w:pStyle w:val="ListParagraph"/>
        <w:numPr>
          <w:ilvl w:val="0"/>
          <w:numId w:val="21"/>
        </w:numPr>
        <w:jc w:val="both"/>
        <w:rPr>
          <w:sz w:val="20"/>
          <w:szCs w:val="20"/>
        </w:rPr>
      </w:pPr>
      <w:r w:rsidRPr="005B5241">
        <w:rPr>
          <w:sz w:val="20"/>
          <w:szCs w:val="20"/>
        </w:rPr>
        <w:t>Soulever les requins au moyen de fils ou de câbles fins, ou par la queue seule.</w:t>
      </w:r>
    </w:p>
    <w:p w14:paraId="7BB17C2E" w14:textId="41A0F23C" w:rsidR="00FF438B" w:rsidRPr="005B5241" w:rsidRDefault="00FF438B" w:rsidP="00C53562">
      <w:pPr>
        <w:pStyle w:val="ListParagraph"/>
        <w:numPr>
          <w:ilvl w:val="0"/>
          <w:numId w:val="21"/>
        </w:numPr>
        <w:jc w:val="both"/>
        <w:rPr>
          <w:sz w:val="20"/>
          <w:szCs w:val="20"/>
        </w:rPr>
      </w:pPr>
      <w:r w:rsidRPr="005B5241">
        <w:rPr>
          <w:sz w:val="20"/>
          <w:szCs w:val="20"/>
        </w:rPr>
        <w:t xml:space="preserve">Frapper un requin contre n'importe quelle surface pour </w:t>
      </w:r>
      <w:r w:rsidR="00943229" w:rsidRPr="005B5241">
        <w:rPr>
          <w:sz w:val="20"/>
          <w:szCs w:val="20"/>
        </w:rPr>
        <w:t>libérer</w:t>
      </w:r>
      <w:r w:rsidRPr="005B5241">
        <w:rPr>
          <w:sz w:val="20"/>
          <w:szCs w:val="20"/>
        </w:rPr>
        <w:t xml:space="preserve"> l'animal de la ligne.</w:t>
      </w:r>
    </w:p>
    <w:p w14:paraId="62F5F5C8" w14:textId="77777777" w:rsidR="00FF438B" w:rsidRPr="005B5241" w:rsidRDefault="00FF438B" w:rsidP="00C53562">
      <w:pPr>
        <w:pStyle w:val="ListParagraph"/>
        <w:numPr>
          <w:ilvl w:val="0"/>
          <w:numId w:val="21"/>
        </w:numPr>
        <w:jc w:val="both"/>
        <w:rPr>
          <w:sz w:val="20"/>
          <w:szCs w:val="20"/>
        </w:rPr>
      </w:pPr>
      <w:r w:rsidRPr="005B5241">
        <w:rPr>
          <w:sz w:val="20"/>
          <w:szCs w:val="20"/>
        </w:rPr>
        <w:t xml:space="preserve">Tenter de déloger un hameçon qui est profondément ingéré et non visible. </w:t>
      </w:r>
    </w:p>
    <w:p w14:paraId="10E2EA47" w14:textId="77777777" w:rsidR="00FF438B" w:rsidRPr="005B5241" w:rsidRDefault="00FF438B" w:rsidP="00C53562">
      <w:pPr>
        <w:pStyle w:val="ListParagraph"/>
        <w:numPr>
          <w:ilvl w:val="0"/>
          <w:numId w:val="21"/>
        </w:numPr>
        <w:jc w:val="both"/>
        <w:rPr>
          <w:sz w:val="20"/>
          <w:szCs w:val="20"/>
        </w:rPr>
      </w:pPr>
      <w:r w:rsidRPr="005B5241">
        <w:rPr>
          <w:sz w:val="20"/>
          <w:szCs w:val="20"/>
        </w:rPr>
        <w:t>Essayer de retirer un hameçon en tirant fortement sur l’avançon.</w:t>
      </w:r>
    </w:p>
    <w:p w14:paraId="6C42597E" w14:textId="77777777" w:rsidR="00FF438B" w:rsidRPr="005B5241" w:rsidRDefault="00FF438B" w:rsidP="00C53562">
      <w:pPr>
        <w:pStyle w:val="ListParagraph"/>
        <w:numPr>
          <w:ilvl w:val="0"/>
          <w:numId w:val="21"/>
        </w:numPr>
        <w:jc w:val="both"/>
        <w:rPr>
          <w:sz w:val="20"/>
          <w:szCs w:val="20"/>
        </w:rPr>
      </w:pPr>
      <w:r w:rsidRPr="005B5241">
        <w:rPr>
          <w:sz w:val="20"/>
          <w:szCs w:val="20"/>
        </w:rPr>
        <w:t>Couper la queue ou toute autre partie du corps.</w:t>
      </w:r>
    </w:p>
    <w:p w14:paraId="48701D5A" w14:textId="77777777" w:rsidR="00FF438B" w:rsidRPr="005B5241" w:rsidRDefault="00FF438B" w:rsidP="00C53562">
      <w:pPr>
        <w:pStyle w:val="ListParagraph"/>
        <w:numPr>
          <w:ilvl w:val="0"/>
          <w:numId w:val="21"/>
        </w:numPr>
        <w:jc w:val="both"/>
        <w:rPr>
          <w:sz w:val="20"/>
          <w:szCs w:val="20"/>
        </w:rPr>
      </w:pPr>
      <w:r w:rsidRPr="005B5241">
        <w:rPr>
          <w:sz w:val="20"/>
          <w:szCs w:val="20"/>
        </w:rPr>
        <w:t>Découper ou percer des trous dans le corps du requin.</w:t>
      </w:r>
    </w:p>
    <w:p w14:paraId="1022D2CD" w14:textId="77777777" w:rsidR="00FF438B" w:rsidRPr="005B5241" w:rsidRDefault="00FF438B" w:rsidP="00C53562">
      <w:pPr>
        <w:pStyle w:val="ListParagraph"/>
        <w:numPr>
          <w:ilvl w:val="0"/>
          <w:numId w:val="21"/>
        </w:numPr>
        <w:jc w:val="both"/>
        <w:rPr>
          <w:sz w:val="20"/>
          <w:szCs w:val="20"/>
        </w:rPr>
      </w:pPr>
      <w:r w:rsidRPr="005B5241">
        <w:rPr>
          <w:sz w:val="20"/>
          <w:szCs w:val="20"/>
        </w:rPr>
        <w:t>Gaffer ou donner un coup de pied à un requin ou insérer les mains dans les fentes branchiales.</w:t>
      </w:r>
    </w:p>
    <w:p w14:paraId="22FDB26E" w14:textId="77777777" w:rsidR="00FF438B" w:rsidRPr="005B5241" w:rsidRDefault="00FF438B" w:rsidP="00C53562">
      <w:pPr>
        <w:pStyle w:val="ListParagraph"/>
        <w:numPr>
          <w:ilvl w:val="0"/>
          <w:numId w:val="21"/>
        </w:numPr>
        <w:jc w:val="both"/>
        <w:rPr>
          <w:sz w:val="20"/>
          <w:szCs w:val="20"/>
        </w:rPr>
      </w:pPr>
      <w:r w:rsidRPr="005B5241">
        <w:rPr>
          <w:sz w:val="20"/>
          <w:szCs w:val="20"/>
        </w:rPr>
        <w:t>Exposer le requin au soleil pendant de longues périodes.</w:t>
      </w:r>
    </w:p>
    <w:p w14:paraId="79B2E306" w14:textId="77777777" w:rsidR="00FF438B" w:rsidRPr="005B5241" w:rsidRDefault="00FF438B" w:rsidP="00C53562">
      <w:pPr>
        <w:pStyle w:val="ListParagraph"/>
        <w:numPr>
          <w:ilvl w:val="0"/>
          <w:numId w:val="21"/>
        </w:numPr>
        <w:jc w:val="both"/>
        <w:rPr>
          <w:sz w:val="20"/>
          <w:szCs w:val="20"/>
        </w:rPr>
      </w:pPr>
      <w:r w:rsidRPr="005B5241">
        <w:rPr>
          <w:sz w:val="20"/>
          <w:szCs w:val="20"/>
        </w:rPr>
        <w:t>Enrouler les doigts, les mains ou les bras dans la ligne lorsqu’un requin ou une raie est amené vers le bateau (au risque de blessures graves).</w:t>
      </w:r>
    </w:p>
    <w:p w14:paraId="5EBC5ECE" w14:textId="7C863955" w:rsidR="00FF438B" w:rsidRPr="005B5241" w:rsidRDefault="00FF438B" w:rsidP="00C53562">
      <w:pPr>
        <w:pStyle w:val="ListParagraph"/>
        <w:jc w:val="both"/>
        <w:rPr>
          <w:sz w:val="20"/>
          <w:szCs w:val="20"/>
        </w:rPr>
      </w:pPr>
    </w:p>
    <w:p w14:paraId="7B8DE7F6" w14:textId="5DE20513" w:rsidR="00FF438B" w:rsidRPr="005B5241" w:rsidRDefault="00FF438B" w:rsidP="00C53562">
      <w:pPr>
        <w:jc w:val="both"/>
        <w:rPr>
          <w:b/>
          <w:sz w:val="20"/>
          <w:szCs w:val="20"/>
        </w:rPr>
      </w:pPr>
      <w:r w:rsidRPr="005B5241">
        <w:rPr>
          <w:b/>
          <w:sz w:val="20"/>
          <w:szCs w:val="20"/>
        </w:rPr>
        <w:t>Outils utiles pour la manipulation et remise à l'eau en toute sécurité</w:t>
      </w:r>
      <w:r w:rsidR="00D127BB" w:rsidRPr="005B5241">
        <w:rPr>
          <w:b/>
          <w:sz w:val="20"/>
          <w:szCs w:val="20"/>
        </w:rPr>
        <w:t xml:space="preserve"> </w:t>
      </w:r>
      <w:r w:rsidRPr="005B5241">
        <w:rPr>
          <w:b/>
          <w:sz w:val="20"/>
          <w:szCs w:val="20"/>
        </w:rPr>
        <w:t xml:space="preserve">: </w:t>
      </w:r>
    </w:p>
    <w:p w14:paraId="42E98DEF" w14:textId="77777777" w:rsidR="00C02401" w:rsidRPr="005B5241" w:rsidRDefault="00C02401" w:rsidP="00C53562">
      <w:pPr>
        <w:jc w:val="both"/>
        <w:rPr>
          <w:rFonts w:eastAsia="Times New Roman" w:cs="Segoe UI"/>
          <w:b/>
          <w:sz w:val="20"/>
          <w:szCs w:val="20"/>
        </w:rPr>
      </w:pPr>
    </w:p>
    <w:p w14:paraId="0E08D47D" w14:textId="5C33F9F9" w:rsidR="00FF438B" w:rsidRPr="005B5241" w:rsidRDefault="00FF438B" w:rsidP="00C53562">
      <w:pPr>
        <w:numPr>
          <w:ilvl w:val="0"/>
          <w:numId w:val="20"/>
        </w:numPr>
        <w:jc w:val="both"/>
        <w:rPr>
          <w:rFonts w:eastAsia="Times New Roman" w:cs="Segoe UI"/>
          <w:sz w:val="20"/>
          <w:szCs w:val="20"/>
        </w:rPr>
      </w:pPr>
      <w:r w:rsidRPr="005B5241">
        <w:rPr>
          <w:sz w:val="20"/>
          <w:szCs w:val="20"/>
        </w:rPr>
        <w:t xml:space="preserve">Gants (la peau des requins est rugueuse ; </w:t>
      </w:r>
      <w:r w:rsidR="00AE5ECD" w:rsidRPr="005B5241">
        <w:rPr>
          <w:sz w:val="20"/>
          <w:szCs w:val="20"/>
        </w:rPr>
        <w:t xml:space="preserve">les gants </w:t>
      </w:r>
      <w:r w:rsidRPr="005B5241">
        <w:rPr>
          <w:sz w:val="20"/>
          <w:szCs w:val="20"/>
        </w:rPr>
        <w:t>permettent de manipuler les requins en toute sécurité et de protéger les mains de l'équipage contre les morsures).</w:t>
      </w:r>
    </w:p>
    <w:p w14:paraId="03CC664D"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 xml:space="preserve">Serviette ou tissu (une serviette ou un tissu imbibé d'eau de mer peut être placé sur les yeux du requin afin de calmer les requins) </w:t>
      </w:r>
    </w:p>
    <w:p w14:paraId="537D55DD"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 xml:space="preserve">Dispositifs de retrait de l’hameçon (par exemple, un dégorgeoir à queue de cochon, des coupe-boulons ou des pinces) </w:t>
      </w:r>
    </w:p>
    <w:p w14:paraId="0A53DA7A"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 xml:space="preserve">Harnais ou civière pour requin (si nécessaire) </w:t>
      </w:r>
    </w:p>
    <w:p w14:paraId="4DF12FF8"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Corde de queue (pour attacher un requin accroché à un hameçon s'il doit être sorti de l'eau).</w:t>
      </w:r>
    </w:p>
    <w:p w14:paraId="38CA1908"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Tuyau d'arrosage d’eau salée (si l’on prévoit qu'il faudra plus de 5 minutes pour relâcher un requin, placer un tuyau d'arrosage dans sa bouche pour que l'eau de mer s'y écoule modérément). S’assurer que la pompe du pont a fonctionné plusieurs minutes avant de la placer dans la gueule d'un requin.</w:t>
      </w:r>
    </w:p>
    <w:p w14:paraId="3C2F1CE0"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 xml:space="preserve">Dispositif de mesure (par exemple, marquer une perche, un câble et un flotteur, ou un ruban à mesurer) </w:t>
      </w:r>
    </w:p>
    <w:p w14:paraId="76739676" w14:textId="77777777" w:rsidR="00FF438B" w:rsidRPr="005B5241" w:rsidRDefault="00FF438B" w:rsidP="00C53562">
      <w:pPr>
        <w:numPr>
          <w:ilvl w:val="0"/>
          <w:numId w:val="20"/>
        </w:numPr>
        <w:jc w:val="both"/>
        <w:rPr>
          <w:rFonts w:eastAsia="Times New Roman" w:cs="Segoe UI"/>
          <w:sz w:val="20"/>
          <w:szCs w:val="20"/>
        </w:rPr>
      </w:pPr>
      <w:r w:rsidRPr="005B5241">
        <w:rPr>
          <w:sz w:val="20"/>
          <w:szCs w:val="20"/>
        </w:rPr>
        <w:t xml:space="preserve">Fiche de données pour enregistrer toutes les prises </w:t>
      </w:r>
    </w:p>
    <w:p w14:paraId="4B602BF2" w14:textId="53DEA570" w:rsidR="00FF438B" w:rsidRPr="005B5241" w:rsidRDefault="00FF438B" w:rsidP="00C53562">
      <w:pPr>
        <w:numPr>
          <w:ilvl w:val="0"/>
          <w:numId w:val="20"/>
        </w:numPr>
        <w:jc w:val="both"/>
        <w:rPr>
          <w:rFonts w:eastAsia="Times New Roman" w:cs="Segoe UI"/>
          <w:sz w:val="20"/>
          <w:szCs w:val="20"/>
        </w:rPr>
      </w:pPr>
      <w:r w:rsidRPr="005B5241">
        <w:rPr>
          <w:sz w:val="20"/>
          <w:szCs w:val="20"/>
        </w:rPr>
        <w:t>Engin de marquage (le cas échéant)</w:t>
      </w:r>
      <w:r w:rsidR="008428AC" w:rsidRPr="005B5241">
        <w:rPr>
          <w:sz w:val="20"/>
          <w:szCs w:val="20"/>
        </w:rPr>
        <w:t>.</w:t>
      </w:r>
    </w:p>
    <w:p w14:paraId="53CEB9DB" w14:textId="77777777" w:rsidR="00210231" w:rsidRPr="00B40A2D" w:rsidRDefault="00210231" w:rsidP="00C53562">
      <w:pPr>
        <w:tabs>
          <w:tab w:val="left" w:pos="3080"/>
        </w:tabs>
        <w:rPr>
          <w:rFonts w:cs="Times New Roman"/>
          <w:sz w:val="20"/>
          <w:szCs w:val="20"/>
        </w:rPr>
      </w:pPr>
    </w:p>
    <w:sectPr w:rsidR="00210231" w:rsidRPr="00B40A2D"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9B05" w14:textId="77777777" w:rsidR="006D1C37" w:rsidRDefault="006D1C37" w:rsidP="000E2849">
      <w:r>
        <w:separator/>
      </w:r>
    </w:p>
  </w:endnote>
  <w:endnote w:type="continuationSeparator" w:id="0">
    <w:p w14:paraId="19DCE643" w14:textId="77777777" w:rsidR="006D1C37" w:rsidRDefault="006D1C37"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81549"/>
      <w:docPartObj>
        <w:docPartGallery w:val="Page Numbers (Bottom of Page)"/>
        <w:docPartUnique/>
      </w:docPartObj>
    </w:sdtPr>
    <w:sdtEndPr/>
    <w:sdtContent>
      <w:sdt>
        <w:sdtPr>
          <w:id w:val="1728636285"/>
          <w:docPartObj>
            <w:docPartGallery w:val="Page Numbers (Top of Page)"/>
            <w:docPartUnique/>
          </w:docPartObj>
        </w:sdtPr>
        <w:sdtEndPr/>
        <w:sdtContent>
          <w:p w14:paraId="61003A0B" w14:textId="42D84E1E" w:rsidR="006F68E1" w:rsidRDefault="006F68E1">
            <w:pPr>
              <w:pStyle w:val="Footer"/>
              <w:jc w:val="center"/>
            </w:pPr>
            <w:r w:rsidRPr="00820986">
              <w:rPr>
                <w:sz w:val="20"/>
              </w:rPr>
              <w:fldChar w:fldCharType="begin"/>
            </w:r>
            <w:r w:rsidRPr="00820986">
              <w:rPr>
                <w:sz w:val="20"/>
              </w:rPr>
              <w:instrText xml:space="preserve"> PAGE </w:instrText>
            </w:r>
            <w:r w:rsidRPr="00820986">
              <w:rPr>
                <w:sz w:val="20"/>
              </w:rPr>
              <w:fldChar w:fldCharType="separate"/>
            </w:r>
            <w:r w:rsidR="003B0CC7">
              <w:rPr>
                <w:sz w:val="20"/>
              </w:rPr>
              <w:t>1</w:t>
            </w:r>
            <w:r w:rsidRPr="00820986">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2A2F" w14:textId="77777777" w:rsidR="006D1C37" w:rsidRDefault="006D1C37" w:rsidP="000E2849">
      <w:r>
        <w:separator/>
      </w:r>
    </w:p>
  </w:footnote>
  <w:footnote w:type="continuationSeparator" w:id="0">
    <w:p w14:paraId="5C740FEB" w14:textId="77777777" w:rsidR="006D1C37" w:rsidRDefault="006D1C37" w:rsidP="000E2849">
      <w:r>
        <w:continuationSeparator/>
      </w:r>
    </w:p>
  </w:footnote>
  <w:footnote w:id="1">
    <w:p w14:paraId="35551E5E" w14:textId="092429CA" w:rsidR="00380114" w:rsidRPr="00B40A2D" w:rsidRDefault="00380114" w:rsidP="00750C34">
      <w:pPr>
        <w:pStyle w:val="FootnoteText"/>
        <w:jc w:val="both"/>
      </w:pPr>
      <w:r w:rsidRPr="005B5241">
        <w:rPr>
          <w:rStyle w:val="FootnoteReference"/>
        </w:rPr>
        <w:footnoteRef/>
      </w:r>
      <w:r w:rsidRPr="005B5241">
        <w:t xml:space="preserve"> </w:t>
      </w:r>
      <w:r w:rsidRPr="005B5241">
        <w:rPr>
          <w:rFonts w:ascii="Cambria" w:hAnsi="Cambria"/>
          <w:sz w:val="16"/>
          <w:szCs w:val="16"/>
        </w:rPr>
        <w:t xml:space="preserve">SSF est la fécondité du stock reproducteur, qui est utilisée dans la matrice des risques de </w:t>
      </w:r>
      <w:r w:rsidR="00B40A2D" w:rsidRPr="005B5241">
        <w:rPr>
          <w:rFonts w:ascii="Cambria" w:hAnsi="Cambria"/>
          <w:sz w:val="16"/>
          <w:szCs w:val="16"/>
        </w:rPr>
        <w:t xml:space="preserve">Kobe II </w:t>
      </w:r>
      <w:r w:rsidRPr="005B5241">
        <w:rPr>
          <w:rFonts w:ascii="Cambria" w:hAnsi="Cambria"/>
          <w:sz w:val="16"/>
          <w:szCs w:val="16"/>
        </w:rPr>
        <w:t>pour le requin-taupe bleu de l'Atlantique Nord.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5332288"/>
    <w:multiLevelType w:val="multilevel"/>
    <w:tmpl w:val="DB18A156"/>
    <w:lvl w:ilvl="0">
      <w:start w:val="3"/>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735"/>
    <w:multiLevelType w:val="hybridMultilevel"/>
    <w:tmpl w:val="BFEC5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3263"/>
    <w:multiLevelType w:val="hybridMultilevel"/>
    <w:tmpl w:val="1F3209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562E5"/>
    <w:multiLevelType w:val="hybridMultilevel"/>
    <w:tmpl w:val="C6F2B3AE"/>
    <w:lvl w:ilvl="0" w:tplc="9BE67228">
      <w:start w:val="1"/>
      <w:numFmt w:val="lowerLetter"/>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21F60678"/>
    <w:multiLevelType w:val="hybridMultilevel"/>
    <w:tmpl w:val="CB82D26A"/>
    <w:lvl w:ilvl="0" w:tplc="C4E6374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442378A"/>
    <w:multiLevelType w:val="hybridMultilevel"/>
    <w:tmpl w:val="EB7CA72E"/>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065F3"/>
    <w:multiLevelType w:val="hybridMultilevel"/>
    <w:tmpl w:val="ACE2F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46D4839"/>
    <w:multiLevelType w:val="hybridMultilevel"/>
    <w:tmpl w:val="437A3318"/>
    <w:lvl w:ilvl="0" w:tplc="6A5A6BCE">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97353"/>
    <w:multiLevelType w:val="hybridMultilevel"/>
    <w:tmpl w:val="F294BC9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487A2191"/>
    <w:multiLevelType w:val="hybridMultilevel"/>
    <w:tmpl w:val="27D09BDC"/>
    <w:lvl w:ilvl="0" w:tplc="B0E49E6C">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C25659C"/>
    <w:multiLevelType w:val="hybridMultilevel"/>
    <w:tmpl w:val="985C8B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C37E2"/>
    <w:multiLevelType w:val="hybridMultilevel"/>
    <w:tmpl w:val="192C0A20"/>
    <w:lvl w:ilvl="0" w:tplc="7228D6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6"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8265D"/>
    <w:multiLevelType w:val="hybridMultilevel"/>
    <w:tmpl w:val="056C62C0"/>
    <w:lvl w:ilvl="0" w:tplc="C0F4E6B2">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34" w15:restartNumberingAfterBreak="0">
    <w:nsid w:val="7CF4712E"/>
    <w:multiLevelType w:val="hybridMultilevel"/>
    <w:tmpl w:val="DE54C018"/>
    <w:lvl w:ilvl="0" w:tplc="66AA1DA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461804">
    <w:abstractNumId w:val="23"/>
  </w:num>
  <w:num w:numId="2" w16cid:durableId="222177239">
    <w:abstractNumId w:val="18"/>
  </w:num>
  <w:num w:numId="3" w16cid:durableId="1318537967">
    <w:abstractNumId w:val="15"/>
  </w:num>
  <w:num w:numId="4" w16cid:durableId="1797944931">
    <w:abstractNumId w:val="16"/>
  </w:num>
  <w:num w:numId="5" w16cid:durableId="2076661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81381">
    <w:abstractNumId w:val="9"/>
  </w:num>
  <w:num w:numId="7" w16cid:durableId="1513373607">
    <w:abstractNumId w:val="26"/>
  </w:num>
  <w:num w:numId="8" w16cid:durableId="145976919">
    <w:abstractNumId w:val="29"/>
  </w:num>
  <w:num w:numId="9" w16cid:durableId="831027129">
    <w:abstractNumId w:val="0"/>
  </w:num>
  <w:num w:numId="10" w16cid:durableId="886642789">
    <w:abstractNumId w:val="20"/>
  </w:num>
  <w:num w:numId="11" w16cid:durableId="1935749072">
    <w:abstractNumId w:val="6"/>
  </w:num>
  <w:num w:numId="12" w16cid:durableId="1682313344">
    <w:abstractNumId w:val="31"/>
  </w:num>
  <w:num w:numId="13" w16cid:durableId="1712998707">
    <w:abstractNumId w:val="33"/>
  </w:num>
  <w:num w:numId="14" w16cid:durableId="395590869">
    <w:abstractNumId w:val="27"/>
  </w:num>
  <w:num w:numId="15" w16cid:durableId="452402865">
    <w:abstractNumId w:val="32"/>
  </w:num>
  <w:num w:numId="16" w16cid:durableId="1977904309">
    <w:abstractNumId w:val="2"/>
  </w:num>
  <w:num w:numId="17" w16cid:durableId="1548371429">
    <w:abstractNumId w:val="28"/>
  </w:num>
  <w:num w:numId="18" w16cid:durableId="873035989">
    <w:abstractNumId w:val="3"/>
  </w:num>
  <w:num w:numId="19" w16cid:durableId="830022854">
    <w:abstractNumId w:val="4"/>
  </w:num>
  <w:num w:numId="20" w16cid:durableId="312805050">
    <w:abstractNumId w:val="1"/>
  </w:num>
  <w:num w:numId="21" w16cid:durableId="1098016606">
    <w:abstractNumId w:val="13"/>
  </w:num>
  <w:num w:numId="22" w16cid:durableId="595795064">
    <w:abstractNumId w:val="25"/>
  </w:num>
  <w:num w:numId="23" w16cid:durableId="1306160939">
    <w:abstractNumId w:val="19"/>
  </w:num>
  <w:num w:numId="24" w16cid:durableId="878708612">
    <w:abstractNumId w:val="14"/>
  </w:num>
  <w:num w:numId="25" w16cid:durableId="830604008">
    <w:abstractNumId w:val="30"/>
  </w:num>
  <w:num w:numId="26" w16cid:durableId="145171492">
    <w:abstractNumId w:val="10"/>
  </w:num>
  <w:num w:numId="27" w16cid:durableId="13136816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8554322">
    <w:abstractNumId w:val="11"/>
  </w:num>
  <w:num w:numId="29" w16cid:durableId="158816231">
    <w:abstractNumId w:val="22"/>
  </w:num>
  <w:num w:numId="30" w16cid:durableId="212927907">
    <w:abstractNumId w:val="5"/>
  </w:num>
  <w:num w:numId="31" w16cid:durableId="1842351662">
    <w:abstractNumId w:val="34"/>
  </w:num>
  <w:num w:numId="32" w16cid:durableId="270166425">
    <w:abstractNumId w:val="24"/>
  </w:num>
  <w:num w:numId="33" w16cid:durableId="481431947">
    <w:abstractNumId w:val="12"/>
  </w:num>
  <w:num w:numId="34" w16cid:durableId="915364339">
    <w:abstractNumId w:val="7"/>
  </w:num>
  <w:num w:numId="35" w16cid:durableId="1050610101">
    <w:abstractNumId w:val="17"/>
  </w:num>
  <w:num w:numId="36" w16cid:durableId="7841567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297C"/>
    <w:rsid w:val="00000D49"/>
    <w:rsid w:val="000026AC"/>
    <w:rsid w:val="000059CF"/>
    <w:rsid w:val="00007655"/>
    <w:rsid w:val="00011BAB"/>
    <w:rsid w:val="00013B5F"/>
    <w:rsid w:val="000146D1"/>
    <w:rsid w:val="00017DEB"/>
    <w:rsid w:val="00027FDC"/>
    <w:rsid w:val="00033826"/>
    <w:rsid w:val="000374E6"/>
    <w:rsid w:val="000440CD"/>
    <w:rsid w:val="00045512"/>
    <w:rsid w:val="000504DF"/>
    <w:rsid w:val="00052742"/>
    <w:rsid w:val="00057C0F"/>
    <w:rsid w:val="00066D11"/>
    <w:rsid w:val="00070502"/>
    <w:rsid w:val="00076461"/>
    <w:rsid w:val="0008134D"/>
    <w:rsid w:val="000813D3"/>
    <w:rsid w:val="0008146C"/>
    <w:rsid w:val="00083400"/>
    <w:rsid w:val="0008428E"/>
    <w:rsid w:val="00084E78"/>
    <w:rsid w:val="00085E22"/>
    <w:rsid w:val="00086985"/>
    <w:rsid w:val="00087306"/>
    <w:rsid w:val="00090D61"/>
    <w:rsid w:val="00094D80"/>
    <w:rsid w:val="00094F8D"/>
    <w:rsid w:val="00095956"/>
    <w:rsid w:val="000A0FC0"/>
    <w:rsid w:val="000A34F3"/>
    <w:rsid w:val="000A362C"/>
    <w:rsid w:val="000B375B"/>
    <w:rsid w:val="000B38D0"/>
    <w:rsid w:val="000B526E"/>
    <w:rsid w:val="000B5434"/>
    <w:rsid w:val="000C04B5"/>
    <w:rsid w:val="000C386D"/>
    <w:rsid w:val="000C49DB"/>
    <w:rsid w:val="000D41BF"/>
    <w:rsid w:val="000E0C8E"/>
    <w:rsid w:val="000E2849"/>
    <w:rsid w:val="000E463D"/>
    <w:rsid w:val="000E4F4E"/>
    <w:rsid w:val="000E7C38"/>
    <w:rsid w:val="000F09F1"/>
    <w:rsid w:val="000F0D56"/>
    <w:rsid w:val="000F371C"/>
    <w:rsid w:val="000F59EB"/>
    <w:rsid w:val="000F729F"/>
    <w:rsid w:val="000F7F76"/>
    <w:rsid w:val="001044B6"/>
    <w:rsid w:val="00106A5C"/>
    <w:rsid w:val="00110222"/>
    <w:rsid w:val="001106FB"/>
    <w:rsid w:val="00111AE4"/>
    <w:rsid w:val="00111DFA"/>
    <w:rsid w:val="00112CC9"/>
    <w:rsid w:val="00113577"/>
    <w:rsid w:val="00114F35"/>
    <w:rsid w:val="00115A7F"/>
    <w:rsid w:val="00117293"/>
    <w:rsid w:val="00120B44"/>
    <w:rsid w:val="00120FC5"/>
    <w:rsid w:val="001226B7"/>
    <w:rsid w:val="00123939"/>
    <w:rsid w:val="0012440B"/>
    <w:rsid w:val="00126A76"/>
    <w:rsid w:val="00126E11"/>
    <w:rsid w:val="00127E25"/>
    <w:rsid w:val="00131731"/>
    <w:rsid w:val="0013354C"/>
    <w:rsid w:val="00133F46"/>
    <w:rsid w:val="0013725F"/>
    <w:rsid w:val="001421B1"/>
    <w:rsid w:val="001440BA"/>
    <w:rsid w:val="00146E02"/>
    <w:rsid w:val="00147A78"/>
    <w:rsid w:val="00147CF8"/>
    <w:rsid w:val="00153A2C"/>
    <w:rsid w:val="001548B4"/>
    <w:rsid w:val="00156D18"/>
    <w:rsid w:val="00165612"/>
    <w:rsid w:val="00165EA7"/>
    <w:rsid w:val="0016718F"/>
    <w:rsid w:val="001741B1"/>
    <w:rsid w:val="0017439C"/>
    <w:rsid w:val="0017701D"/>
    <w:rsid w:val="00177B78"/>
    <w:rsid w:val="001821FF"/>
    <w:rsid w:val="00182331"/>
    <w:rsid w:val="001844E6"/>
    <w:rsid w:val="001849F0"/>
    <w:rsid w:val="00186D1C"/>
    <w:rsid w:val="0019209A"/>
    <w:rsid w:val="00193C42"/>
    <w:rsid w:val="001955CF"/>
    <w:rsid w:val="001A139C"/>
    <w:rsid w:val="001A2F83"/>
    <w:rsid w:val="001A3C66"/>
    <w:rsid w:val="001A43B9"/>
    <w:rsid w:val="001B1F15"/>
    <w:rsid w:val="001B4ED7"/>
    <w:rsid w:val="001B7264"/>
    <w:rsid w:val="001C475C"/>
    <w:rsid w:val="001C6EB8"/>
    <w:rsid w:val="001D1088"/>
    <w:rsid w:val="001D2A55"/>
    <w:rsid w:val="001D43FF"/>
    <w:rsid w:val="001D4602"/>
    <w:rsid w:val="001D4A60"/>
    <w:rsid w:val="001D7B4C"/>
    <w:rsid w:val="001E3280"/>
    <w:rsid w:val="001E5D45"/>
    <w:rsid w:val="001F1233"/>
    <w:rsid w:val="001F5950"/>
    <w:rsid w:val="001F7BE5"/>
    <w:rsid w:val="00200017"/>
    <w:rsid w:val="00202049"/>
    <w:rsid w:val="00204480"/>
    <w:rsid w:val="00206038"/>
    <w:rsid w:val="00210231"/>
    <w:rsid w:val="00210515"/>
    <w:rsid w:val="002128D1"/>
    <w:rsid w:val="0021330E"/>
    <w:rsid w:val="002152B0"/>
    <w:rsid w:val="00215976"/>
    <w:rsid w:val="00216053"/>
    <w:rsid w:val="00217039"/>
    <w:rsid w:val="002204B6"/>
    <w:rsid w:val="0022056B"/>
    <w:rsid w:val="00222812"/>
    <w:rsid w:val="00223D5E"/>
    <w:rsid w:val="00224E09"/>
    <w:rsid w:val="00225EE8"/>
    <w:rsid w:val="00227ABD"/>
    <w:rsid w:val="00227B35"/>
    <w:rsid w:val="002315C1"/>
    <w:rsid w:val="002347D1"/>
    <w:rsid w:val="00235917"/>
    <w:rsid w:val="00236A30"/>
    <w:rsid w:val="00236C2F"/>
    <w:rsid w:val="00237AA5"/>
    <w:rsid w:val="00240605"/>
    <w:rsid w:val="00241FB1"/>
    <w:rsid w:val="00242BAB"/>
    <w:rsid w:val="0024352F"/>
    <w:rsid w:val="00243C53"/>
    <w:rsid w:val="00252720"/>
    <w:rsid w:val="00253633"/>
    <w:rsid w:val="00256B72"/>
    <w:rsid w:val="00256CAC"/>
    <w:rsid w:val="002570AD"/>
    <w:rsid w:val="002575B7"/>
    <w:rsid w:val="00260142"/>
    <w:rsid w:val="00260314"/>
    <w:rsid w:val="00263047"/>
    <w:rsid w:val="00268EF9"/>
    <w:rsid w:val="00271677"/>
    <w:rsid w:val="002732D5"/>
    <w:rsid w:val="002738E9"/>
    <w:rsid w:val="00276A3C"/>
    <w:rsid w:val="00277218"/>
    <w:rsid w:val="002778D9"/>
    <w:rsid w:val="002827C2"/>
    <w:rsid w:val="00284898"/>
    <w:rsid w:val="002856A5"/>
    <w:rsid w:val="00290F58"/>
    <w:rsid w:val="002928F5"/>
    <w:rsid w:val="00294A37"/>
    <w:rsid w:val="002965A4"/>
    <w:rsid w:val="002A0CFD"/>
    <w:rsid w:val="002A0F44"/>
    <w:rsid w:val="002A24DF"/>
    <w:rsid w:val="002A3018"/>
    <w:rsid w:val="002A3678"/>
    <w:rsid w:val="002A6301"/>
    <w:rsid w:val="002A660D"/>
    <w:rsid w:val="002A7E17"/>
    <w:rsid w:val="002B2AAC"/>
    <w:rsid w:val="002B44C8"/>
    <w:rsid w:val="002B6C62"/>
    <w:rsid w:val="002C0148"/>
    <w:rsid w:val="002C6224"/>
    <w:rsid w:val="002C7638"/>
    <w:rsid w:val="002D6F04"/>
    <w:rsid w:val="002D6FC3"/>
    <w:rsid w:val="002D70A8"/>
    <w:rsid w:val="002E433E"/>
    <w:rsid w:val="002E45C4"/>
    <w:rsid w:val="002E6507"/>
    <w:rsid w:val="002F0F35"/>
    <w:rsid w:val="002F2BC0"/>
    <w:rsid w:val="002F3A15"/>
    <w:rsid w:val="002F72B8"/>
    <w:rsid w:val="002F7C11"/>
    <w:rsid w:val="00302026"/>
    <w:rsid w:val="0030462F"/>
    <w:rsid w:val="00304966"/>
    <w:rsid w:val="003070BA"/>
    <w:rsid w:val="00311160"/>
    <w:rsid w:val="00312234"/>
    <w:rsid w:val="00312806"/>
    <w:rsid w:val="00312E44"/>
    <w:rsid w:val="00313C87"/>
    <w:rsid w:val="00315212"/>
    <w:rsid w:val="003158BD"/>
    <w:rsid w:val="00316E8A"/>
    <w:rsid w:val="003218A2"/>
    <w:rsid w:val="0032369E"/>
    <w:rsid w:val="00323E21"/>
    <w:rsid w:val="00327A70"/>
    <w:rsid w:val="00327F24"/>
    <w:rsid w:val="00330D84"/>
    <w:rsid w:val="0033196C"/>
    <w:rsid w:val="003324FC"/>
    <w:rsid w:val="0033388B"/>
    <w:rsid w:val="003355E6"/>
    <w:rsid w:val="00335BFE"/>
    <w:rsid w:val="0033711F"/>
    <w:rsid w:val="00340072"/>
    <w:rsid w:val="00341129"/>
    <w:rsid w:val="00342B0A"/>
    <w:rsid w:val="00345CF0"/>
    <w:rsid w:val="003461CD"/>
    <w:rsid w:val="003504F5"/>
    <w:rsid w:val="00350C6C"/>
    <w:rsid w:val="00354906"/>
    <w:rsid w:val="003551AA"/>
    <w:rsid w:val="00355FCA"/>
    <w:rsid w:val="00356E34"/>
    <w:rsid w:val="003572F3"/>
    <w:rsid w:val="00357F08"/>
    <w:rsid w:val="00363CD9"/>
    <w:rsid w:val="003640C1"/>
    <w:rsid w:val="00367C14"/>
    <w:rsid w:val="00373FC8"/>
    <w:rsid w:val="003744C6"/>
    <w:rsid w:val="0037599E"/>
    <w:rsid w:val="003763B9"/>
    <w:rsid w:val="003774A9"/>
    <w:rsid w:val="00380114"/>
    <w:rsid w:val="00382CCE"/>
    <w:rsid w:val="00383568"/>
    <w:rsid w:val="0038402F"/>
    <w:rsid w:val="00384550"/>
    <w:rsid w:val="00387420"/>
    <w:rsid w:val="003922E9"/>
    <w:rsid w:val="0039673F"/>
    <w:rsid w:val="00396A73"/>
    <w:rsid w:val="003A210C"/>
    <w:rsid w:val="003A3C33"/>
    <w:rsid w:val="003A44E8"/>
    <w:rsid w:val="003A5342"/>
    <w:rsid w:val="003A63EA"/>
    <w:rsid w:val="003B0CC7"/>
    <w:rsid w:val="003B3072"/>
    <w:rsid w:val="003B344A"/>
    <w:rsid w:val="003B460F"/>
    <w:rsid w:val="003B5C68"/>
    <w:rsid w:val="003C029C"/>
    <w:rsid w:val="003C07A4"/>
    <w:rsid w:val="003C2914"/>
    <w:rsid w:val="003C2E65"/>
    <w:rsid w:val="003C3D30"/>
    <w:rsid w:val="003C45AD"/>
    <w:rsid w:val="003C78F6"/>
    <w:rsid w:val="003C7CC9"/>
    <w:rsid w:val="003D1E39"/>
    <w:rsid w:val="003D70DE"/>
    <w:rsid w:val="003E05EC"/>
    <w:rsid w:val="003E744C"/>
    <w:rsid w:val="003E794C"/>
    <w:rsid w:val="003F2CF8"/>
    <w:rsid w:val="003F31A3"/>
    <w:rsid w:val="004062DD"/>
    <w:rsid w:val="00407289"/>
    <w:rsid w:val="00407FF9"/>
    <w:rsid w:val="00410DC2"/>
    <w:rsid w:val="00411C6B"/>
    <w:rsid w:val="00413A33"/>
    <w:rsid w:val="00413D99"/>
    <w:rsid w:val="004140D7"/>
    <w:rsid w:val="00414C24"/>
    <w:rsid w:val="00414E2B"/>
    <w:rsid w:val="00416644"/>
    <w:rsid w:val="00416D39"/>
    <w:rsid w:val="004221B5"/>
    <w:rsid w:val="004250FA"/>
    <w:rsid w:val="00425487"/>
    <w:rsid w:val="004263E5"/>
    <w:rsid w:val="00427D9A"/>
    <w:rsid w:val="00427DF7"/>
    <w:rsid w:val="004331CB"/>
    <w:rsid w:val="00434E71"/>
    <w:rsid w:val="004409B0"/>
    <w:rsid w:val="004419A5"/>
    <w:rsid w:val="00442FB1"/>
    <w:rsid w:val="0044364A"/>
    <w:rsid w:val="004443BC"/>
    <w:rsid w:val="0044598E"/>
    <w:rsid w:val="00445DDB"/>
    <w:rsid w:val="00447645"/>
    <w:rsid w:val="0044798A"/>
    <w:rsid w:val="00451472"/>
    <w:rsid w:val="00451F86"/>
    <w:rsid w:val="004564EB"/>
    <w:rsid w:val="00457EAB"/>
    <w:rsid w:val="00460280"/>
    <w:rsid w:val="00460FB6"/>
    <w:rsid w:val="00461B06"/>
    <w:rsid w:val="004624A2"/>
    <w:rsid w:val="00462A19"/>
    <w:rsid w:val="00464C27"/>
    <w:rsid w:val="0046544C"/>
    <w:rsid w:val="004658EC"/>
    <w:rsid w:val="004777B4"/>
    <w:rsid w:val="004779C8"/>
    <w:rsid w:val="00477E1F"/>
    <w:rsid w:val="00481955"/>
    <w:rsid w:val="0048317A"/>
    <w:rsid w:val="004919E1"/>
    <w:rsid w:val="0049406D"/>
    <w:rsid w:val="00494DC3"/>
    <w:rsid w:val="0049634E"/>
    <w:rsid w:val="00496806"/>
    <w:rsid w:val="004A04D7"/>
    <w:rsid w:val="004A06DE"/>
    <w:rsid w:val="004A0802"/>
    <w:rsid w:val="004A32CC"/>
    <w:rsid w:val="004A50F8"/>
    <w:rsid w:val="004A5717"/>
    <w:rsid w:val="004A7C45"/>
    <w:rsid w:val="004B0961"/>
    <w:rsid w:val="004B294A"/>
    <w:rsid w:val="004B52BA"/>
    <w:rsid w:val="004B7245"/>
    <w:rsid w:val="004C07D1"/>
    <w:rsid w:val="004C6C32"/>
    <w:rsid w:val="004C775E"/>
    <w:rsid w:val="004D0176"/>
    <w:rsid w:val="004D440E"/>
    <w:rsid w:val="004D643B"/>
    <w:rsid w:val="004D72B7"/>
    <w:rsid w:val="004D753D"/>
    <w:rsid w:val="004D7603"/>
    <w:rsid w:val="004E18A5"/>
    <w:rsid w:val="004E18D8"/>
    <w:rsid w:val="004E2A15"/>
    <w:rsid w:val="004E2DE2"/>
    <w:rsid w:val="004E43BC"/>
    <w:rsid w:val="004E4609"/>
    <w:rsid w:val="004E625B"/>
    <w:rsid w:val="004F219C"/>
    <w:rsid w:val="004F2598"/>
    <w:rsid w:val="004F3279"/>
    <w:rsid w:val="00500541"/>
    <w:rsid w:val="005008A5"/>
    <w:rsid w:val="00500A47"/>
    <w:rsid w:val="005148D2"/>
    <w:rsid w:val="005151F5"/>
    <w:rsid w:val="00515C03"/>
    <w:rsid w:val="005160F0"/>
    <w:rsid w:val="005165A1"/>
    <w:rsid w:val="0051692C"/>
    <w:rsid w:val="00516A87"/>
    <w:rsid w:val="00516AF6"/>
    <w:rsid w:val="00523CA1"/>
    <w:rsid w:val="00527A4D"/>
    <w:rsid w:val="0053179E"/>
    <w:rsid w:val="00531E3E"/>
    <w:rsid w:val="005336A4"/>
    <w:rsid w:val="005340C6"/>
    <w:rsid w:val="005353FF"/>
    <w:rsid w:val="00535B8D"/>
    <w:rsid w:val="00535E94"/>
    <w:rsid w:val="00537429"/>
    <w:rsid w:val="00540058"/>
    <w:rsid w:val="005447B1"/>
    <w:rsid w:val="005455D2"/>
    <w:rsid w:val="0054677A"/>
    <w:rsid w:val="005473AC"/>
    <w:rsid w:val="00550FEE"/>
    <w:rsid w:val="00551030"/>
    <w:rsid w:val="005521DE"/>
    <w:rsid w:val="00552F6E"/>
    <w:rsid w:val="00553F93"/>
    <w:rsid w:val="00556A9A"/>
    <w:rsid w:val="005602CD"/>
    <w:rsid w:val="00560B1F"/>
    <w:rsid w:val="005642E8"/>
    <w:rsid w:val="00564441"/>
    <w:rsid w:val="005702A8"/>
    <w:rsid w:val="00574877"/>
    <w:rsid w:val="00574C32"/>
    <w:rsid w:val="00574D3E"/>
    <w:rsid w:val="00574FCA"/>
    <w:rsid w:val="00582115"/>
    <w:rsid w:val="00583FB3"/>
    <w:rsid w:val="00587AC1"/>
    <w:rsid w:val="00590675"/>
    <w:rsid w:val="00591DEA"/>
    <w:rsid w:val="00592D12"/>
    <w:rsid w:val="00592D98"/>
    <w:rsid w:val="005946CA"/>
    <w:rsid w:val="00594EB7"/>
    <w:rsid w:val="005A1428"/>
    <w:rsid w:val="005A1456"/>
    <w:rsid w:val="005A17C6"/>
    <w:rsid w:val="005A2788"/>
    <w:rsid w:val="005A5BCA"/>
    <w:rsid w:val="005B0F51"/>
    <w:rsid w:val="005B170C"/>
    <w:rsid w:val="005B27A3"/>
    <w:rsid w:val="005B2EE1"/>
    <w:rsid w:val="005B5241"/>
    <w:rsid w:val="005B56B5"/>
    <w:rsid w:val="005B681E"/>
    <w:rsid w:val="005B77F2"/>
    <w:rsid w:val="005C09F2"/>
    <w:rsid w:val="005C1A96"/>
    <w:rsid w:val="005C4E44"/>
    <w:rsid w:val="005C5C0E"/>
    <w:rsid w:val="005C6F82"/>
    <w:rsid w:val="005C7B5F"/>
    <w:rsid w:val="005D0324"/>
    <w:rsid w:val="005D2C43"/>
    <w:rsid w:val="005D5B8D"/>
    <w:rsid w:val="005D6FB2"/>
    <w:rsid w:val="005E27B5"/>
    <w:rsid w:val="005F129F"/>
    <w:rsid w:val="005F20BA"/>
    <w:rsid w:val="005F3C22"/>
    <w:rsid w:val="005F501A"/>
    <w:rsid w:val="005F6E29"/>
    <w:rsid w:val="005F6FD4"/>
    <w:rsid w:val="00601CDC"/>
    <w:rsid w:val="00607B13"/>
    <w:rsid w:val="0061188E"/>
    <w:rsid w:val="00613DB3"/>
    <w:rsid w:val="0062083C"/>
    <w:rsid w:val="00622952"/>
    <w:rsid w:val="00622AFA"/>
    <w:rsid w:val="00623679"/>
    <w:rsid w:val="00625B1B"/>
    <w:rsid w:val="006307B1"/>
    <w:rsid w:val="0063242C"/>
    <w:rsid w:val="00635688"/>
    <w:rsid w:val="0063658B"/>
    <w:rsid w:val="00637D20"/>
    <w:rsid w:val="00642D74"/>
    <w:rsid w:val="00642EDA"/>
    <w:rsid w:val="00643F16"/>
    <w:rsid w:val="00646A2F"/>
    <w:rsid w:val="00647247"/>
    <w:rsid w:val="00652CC0"/>
    <w:rsid w:val="00654A55"/>
    <w:rsid w:val="00655480"/>
    <w:rsid w:val="00656674"/>
    <w:rsid w:val="00665FF9"/>
    <w:rsid w:val="00671759"/>
    <w:rsid w:val="0067362B"/>
    <w:rsid w:val="00673D72"/>
    <w:rsid w:val="0067468A"/>
    <w:rsid w:val="00680CCC"/>
    <w:rsid w:val="006813BA"/>
    <w:rsid w:val="00681CD1"/>
    <w:rsid w:val="006856AE"/>
    <w:rsid w:val="006869BB"/>
    <w:rsid w:val="00687C2F"/>
    <w:rsid w:val="0069445C"/>
    <w:rsid w:val="006953CC"/>
    <w:rsid w:val="00695D13"/>
    <w:rsid w:val="00695FC7"/>
    <w:rsid w:val="006A00C1"/>
    <w:rsid w:val="006A0FBD"/>
    <w:rsid w:val="006A1E55"/>
    <w:rsid w:val="006A2252"/>
    <w:rsid w:val="006A22D3"/>
    <w:rsid w:val="006A28BE"/>
    <w:rsid w:val="006A2A1F"/>
    <w:rsid w:val="006A3DD2"/>
    <w:rsid w:val="006A46FB"/>
    <w:rsid w:val="006A4D05"/>
    <w:rsid w:val="006A71C1"/>
    <w:rsid w:val="006B0456"/>
    <w:rsid w:val="006B1C7C"/>
    <w:rsid w:val="006B1D9F"/>
    <w:rsid w:val="006B416F"/>
    <w:rsid w:val="006B55B8"/>
    <w:rsid w:val="006C042B"/>
    <w:rsid w:val="006C4960"/>
    <w:rsid w:val="006C614A"/>
    <w:rsid w:val="006C713D"/>
    <w:rsid w:val="006C78E5"/>
    <w:rsid w:val="006C7B17"/>
    <w:rsid w:val="006C7FD4"/>
    <w:rsid w:val="006D099C"/>
    <w:rsid w:val="006D0DF6"/>
    <w:rsid w:val="006D1C37"/>
    <w:rsid w:val="006D2B19"/>
    <w:rsid w:val="006D2D34"/>
    <w:rsid w:val="006D2DE3"/>
    <w:rsid w:val="006D42FF"/>
    <w:rsid w:val="006D44FA"/>
    <w:rsid w:val="006D65B2"/>
    <w:rsid w:val="006E490B"/>
    <w:rsid w:val="006E53ED"/>
    <w:rsid w:val="006F19B1"/>
    <w:rsid w:val="006F3673"/>
    <w:rsid w:val="006F37D8"/>
    <w:rsid w:val="006F68E1"/>
    <w:rsid w:val="006F6E92"/>
    <w:rsid w:val="006F70C7"/>
    <w:rsid w:val="006F7C0D"/>
    <w:rsid w:val="007003F2"/>
    <w:rsid w:val="00701EBE"/>
    <w:rsid w:val="0070240B"/>
    <w:rsid w:val="00702A70"/>
    <w:rsid w:val="00710053"/>
    <w:rsid w:val="007101F7"/>
    <w:rsid w:val="0071276D"/>
    <w:rsid w:val="0071337B"/>
    <w:rsid w:val="007139F7"/>
    <w:rsid w:val="0071432B"/>
    <w:rsid w:val="00715B85"/>
    <w:rsid w:val="0071602E"/>
    <w:rsid w:val="0071651A"/>
    <w:rsid w:val="00721B81"/>
    <w:rsid w:val="00721F84"/>
    <w:rsid w:val="00722AEF"/>
    <w:rsid w:val="00722CA6"/>
    <w:rsid w:val="007233FB"/>
    <w:rsid w:val="007254CB"/>
    <w:rsid w:val="00726205"/>
    <w:rsid w:val="0072779D"/>
    <w:rsid w:val="00727EF9"/>
    <w:rsid w:val="007303C0"/>
    <w:rsid w:val="00730674"/>
    <w:rsid w:val="00730853"/>
    <w:rsid w:val="00732B1A"/>
    <w:rsid w:val="00737853"/>
    <w:rsid w:val="00737D8A"/>
    <w:rsid w:val="00742B8E"/>
    <w:rsid w:val="00743238"/>
    <w:rsid w:val="00744B3B"/>
    <w:rsid w:val="00745AD4"/>
    <w:rsid w:val="0075044E"/>
    <w:rsid w:val="00750C34"/>
    <w:rsid w:val="00753F0C"/>
    <w:rsid w:val="007569C6"/>
    <w:rsid w:val="00760B41"/>
    <w:rsid w:val="00761C42"/>
    <w:rsid w:val="007640BC"/>
    <w:rsid w:val="00764656"/>
    <w:rsid w:val="00767621"/>
    <w:rsid w:val="0077130C"/>
    <w:rsid w:val="007738F1"/>
    <w:rsid w:val="00775B2B"/>
    <w:rsid w:val="00776089"/>
    <w:rsid w:val="00780C6A"/>
    <w:rsid w:val="0078178A"/>
    <w:rsid w:val="00781B08"/>
    <w:rsid w:val="007830B6"/>
    <w:rsid w:val="007924C8"/>
    <w:rsid w:val="00797E04"/>
    <w:rsid w:val="007A017B"/>
    <w:rsid w:val="007A146B"/>
    <w:rsid w:val="007A1B9C"/>
    <w:rsid w:val="007A2419"/>
    <w:rsid w:val="007A6A88"/>
    <w:rsid w:val="007B135A"/>
    <w:rsid w:val="007B2021"/>
    <w:rsid w:val="007B5D33"/>
    <w:rsid w:val="007B655C"/>
    <w:rsid w:val="007B765F"/>
    <w:rsid w:val="007B7C54"/>
    <w:rsid w:val="007C13CA"/>
    <w:rsid w:val="007C1D90"/>
    <w:rsid w:val="007C61D8"/>
    <w:rsid w:val="007D2285"/>
    <w:rsid w:val="007D2781"/>
    <w:rsid w:val="007D35DB"/>
    <w:rsid w:val="007D6C74"/>
    <w:rsid w:val="007E0D1A"/>
    <w:rsid w:val="007E10AB"/>
    <w:rsid w:val="007E10C6"/>
    <w:rsid w:val="007E13B0"/>
    <w:rsid w:val="007E467D"/>
    <w:rsid w:val="007E4C9C"/>
    <w:rsid w:val="007E7949"/>
    <w:rsid w:val="007F0C0A"/>
    <w:rsid w:val="007F226B"/>
    <w:rsid w:val="007F384F"/>
    <w:rsid w:val="007F7DCF"/>
    <w:rsid w:val="008025B7"/>
    <w:rsid w:val="008030FB"/>
    <w:rsid w:val="00803813"/>
    <w:rsid w:val="00804432"/>
    <w:rsid w:val="008127D9"/>
    <w:rsid w:val="00815C35"/>
    <w:rsid w:val="008174D7"/>
    <w:rsid w:val="00820986"/>
    <w:rsid w:val="00822F5D"/>
    <w:rsid w:val="0082337B"/>
    <w:rsid w:val="0083149B"/>
    <w:rsid w:val="008323DA"/>
    <w:rsid w:val="00840542"/>
    <w:rsid w:val="008420B8"/>
    <w:rsid w:val="008428AC"/>
    <w:rsid w:val="00850403"/>
    <w:rsid w:val="0085196C"/>
    <w:rsid w:val="00854044"/>
    <w:rsid w:val="00856F1A"/>
    <w:rsid w:val="00860E65"/>
    <w:rsid w:val="00863ACD"/>
    <w:rsid w:val="008664C8"/>
    <w:rsid w:val="008722EC"/>
    <w:rsid w:val="00874F0F"/>
    <w:rsid w:val="00876A88"/>
    <w:rsid w:val="008775A2"/>
    <w:rsid w:val="0088140E"/>
    <w:rsid w:val="00881D0A"/>
    <w:rsid w:val="00885257"/>
    <w:rsid w:val="008859E7"/>
    <w:rsid w:val="00895083"/>
    <w:rsid w:val="00895A04"/>
    <w:rsid w:val="00897842"/>
    <w:rsid w:val="008A0946"/>
    <w:rsid w:val="008A1522"/>
    <w:rsid w:val="008A1E0F"/>
    <w:rsid w:val="008A267E"/>
    <w:rsid w:val="008A29D9"/>
    <w:rsid w:val="008A36A7"/>
    <w:rsid w:val="008A4129"/>
    <w:rsid w:val="008A52F1"/>
    <w:rsid w:val="008A6526"/>
    <w:rsid w:val="008A74EF"/>
    <w:rsid w:val="008A7E83"/>
    <w:rsid w:val="008B06DB"/>
    <w:rsid w:val="008B22CD"/>
    <w:rsid w:val="008B6F51"/>
    <w:rsid w:val="008C05F6"/>
    <w:rsid w:val="008C32B7"/>
    <w:rsid w:val="008D1030"/>
    <w:rsid w:val="008D12AE"/>
    <w:rsid w:val="008D29AE"/>
    <w:rsid w:val="008D2BDA"/>
    <w:rsid w:val="008D4E78"/>
    <w:rsid w:val="008D5503"/>
    <w:rsid w:val="008E0062"/>
    <w:rsid w:val="008E0846"/>
    <w:rsid w:val="008E20CD"/>
    <w:rsid w:val="008E28BC"/>
    <w:rsid w:val="008E34A3"/>
    <w:rsid w:val="008E5735"/>
    <w:rsid w:val="008E6B18"/>
    <w:rsid w:val="008F0267"/>
    <w:rsid w:val="008F1367"/>
    <w:rsid w:val="008F5930"/>
    <w:rsid w:val="009007F9"/>
    <w:rsid w:val="009010FC"/>
    <w:rsid w:val="00904E4A"/>
    <w:rsid w:val="00905FB4"/>
    <w:rsid w:val="00906E71"/>
    <w:rsid w:val="0091130D"/>
    <w:rsid w:val="00911956"/>
    <w:rsid w:val="00913E0A"/>
    <w:rsid w:val="00914847"/>
    <w:rsid w:val="009201CB"/>
    <w:rsid w:val="00921219"/>
    <w:rsid w:val="009247C1"/>
    <w:rsid w:val="00926BC3"/>
    <w:rsid w:val="00927115"/>
    <w:rsid w:val="00927505"/>
    <w:rsid w:val="009337B0"/>
    <w:rsid w:val="0094048A"/>
    <w:rsid w:val="00943229"/>
    <w:rsid w:val="00946578"/>
    <w:rsid w:val="00947E06"/>
    <w:rsid w:val="00952467"/>
    <w:rsid w:val="009616D1"/>
    <w:rsid w:val="00961893"/>
    <w:rsid w:val="0096329E"/>
    <w:rsid w:val="00964C63"/>
    <w:rsid w:val="00965BED"/>
    <w:rsid w:val="00967B4F"/>
    <w:rsid w:val="009708B0"/>
    <w:rsid w:val="0097167D"/>
    <w:rsid w:val="00975AA1"/>
    <w:rsid w:val="00980D93"/>
    <w:rsid w:val="009815D1"/>
    <w:rsid w:val="009906AF"/>
    <w:rsid w:val="0099226D"/>
    <w:rsid w:val="00994F38"/>
    <w:rsid w:val="009952AD"/>
    <w:rsid w:val="00996659"/>
    <w:rsid w:val="009A10B7"/>
    <w:rsid w:val="009A433E"/>
    <w:rsid w:val="009A4C31"/>
    <w:rsid w:val="009A4F3A"/>
    <w:rsid w:val="009A57F5"/>
    <w:rsid w:val="009B04C9"/>
    <w:rsid w:val="009B3EF0"/>
    <w:rsid w:val="009B614F"/>
    <w:rsid w:val="009C16D6"/>
    <w:rsid w:val="009C4DD6"/>
    <w:rsid w:val="009C6E46"/>
    <w:rsid w:val="009D72C9"/>
    <w:rsid w:val="009E1244"/>
    <w:rsid w:val="009E16AA"/>
    <w:rsid w:val="009E2290"/>
    <w:rsid w:val="009F2AB3"/>
    <w:rsid w:val="009F5104"/>
    <w:rsid w:val="009F542F"/>
    <w:rsid w:val="009F6B84"/>
    <w:rsid w:val="009F6CC0"/>
    <w:rsid w:val="00A012A2"/>
    <w:rsid w:val="00A02116"/>
    <w:rsid w:val="00A029F5"/>
    <w:rsid w:val="00A03234"/>
    <w:rsid w:val="00A033AA"/>
    <w:rsid w:val="00A03F1E"/>
    <w:rsid w:val="00A07329"/>
    <w:rsid w:val="00A102C8"/>
    <w:rsid w:val="00A10893"/>
    <w:rsid w:val="00A11D56"/>
    <w:rsid w:val="00A13A75"/>
    <w:rsid w:val="00A14CC8"/>
    <w:rsid w:val="00A166BA"/>
    <w:rsid w:val="00A17274"/>
    <w:rsid w:val="00A21608"/>
    <w:rsid w:val="00A2296B"/>
    <w:rsid w:val="00A22BC4"/>
    <w:rsid w:val="00A22F30"/>
    <w:rsid w:val="00A25073"/>
    <w:rsid w:val="00A26357"/>
    <w:rsid w:val="00A2691A"/>
    <w:rsid w:val="00A276E4"/>
    <w:rsid w:val="00A311D9"/>
    <w:rsid w:val="00A3274C"/>
    <w:rsid w:val="00A32B74"/>
    <w:rsid w:val="00A3579B"/>
    <w:rsid w:val="00A376B1"/>
    <w:rsid w:val="00A3783E"/>
    <w:rsid w:val="00A40BE7"/>
    <w:rsid w:val="00A40D19"/>
    <w:rsid w:val="00A41945"/>
    <w:rsid w:val="00A4316F"/>
    <w:rsid w:val="00A45D93"/>
    <w:rsid w:val="00A4793B"/>
    <w:rsid w:val="00A4799B"/>
    <w:rsid w:val="00A509FD"/>
    <w:rsid w:val="00A50E8A"/>
    <w:rsid w:val="00A52EAD"/>
    <w:rsid w:val="00A5451A"/>
    <w:rsid w:val="00A54CAC"/>
    <w:rsid w:val="00A641C1"/>
    <w:rsid w:val="00A64C41"/>
    <w:rsid w:val="00A706AF"/>
    <w:rsid w:val="00A70A91"/>
    <w:rsid w:val="00A70B17"/>
    <w:rsid w:val="00A74CF7"/>
    <w:rsid w:val="00A75AF8"/>
    <w:rsid w:val="00A77B1F"/>
    <w:rsid w:val="00A77FD9"/>
    <w:rsid w:val="00A82D8A"/>
    <w:rsid w:val="00A834AD"/>
    <w:rsid w:val="00A84760"/>
    <w:rsid w:val="00A86DE1"/>
    <w:rsid w:val="00A9111A"/>
    <w:rsid w:val="00A92C79"/>
    <w:rsid w:val="00A95EF0"/>
    <w:rsid w:val="00A970A1"/>
    <w:rsid w:val="00A975E3"/>
    <w:rsid w:val="00AA036A"/>
    <w:rsid w:val="00AA2133"/>
    <w:rsid w:val="00AA30DF"/>
    <w:rsid w:val="00AA39A1"/>
    <w:rsid w:val="00AA3AAB"/>
    <w:rsid w:val="00AA6A3F"/>
    <w:rsid w:val="00AA7109"/>
    <w:rsid w:val="00AB1F3F"/>
    <w:rsid w:val="00AB3C89"/>
    <w:rsid w:val="00AB3F52"/>
    <w:rsid w:val="00AB790D"/>
    <w:rsid w:val="00AC0A0F"/>
    <w:rsid w:val="00AC0FC2"/>
    <w:rsid w:val="00AC4067"/>
    <w:rsid w:val="00AC4298"/>
    <w:rsid w:val="00AC4CE6"/>
    <w:rsid w:val="00AC620E"/>
    <w:rsid w:val="00AC6B20"/>
    <w:rsid w:val="00AC74CF"/>
    <w:rsid w:val="00AC79CE"/>
    <w:rsid w:val="00AD1137"/>
    <w:rsid w:val="00AD238A"/>
    <w:rsid w:val="00AD40B9"/>
    <w:rsid w:val="00AD42C3"/>
    <w:rsid w:val="00AD512C"/>
    <w:rsid w:val="00AD5FE4"/>
    <w:rsid w:val="00AD6B04"/>
    <w:rsid w:val="00AE32EA"/>
    <w:rsid w:val="00AE5088"/>
    <w:rsid w:val="00AE5ECD"/>
    <w:rsid w:val="00AF1F7F"/>
    <w:rsid w:val="00AF39DE"/>
    <w:rsid w:val="00AF3E87"/>
    <w:rsid w:val="00AF478A"/>
    <w:rsid w:val="00AF6568"/>
    <w:rsid w:val="00AF7F31"/>
    <w:rsid w:val="00B02EEB"/>
    <w:rsid w:val="00B04E29"/>
    <w:rsid w:val="00B0640F"/>
    <w:rsid w:val="00B07007"/>
    <w:rsid w:val="00B13FC8"/>
    <w:rsid w:val="00B164DF"/>
    <w:rsid w:val="00B16545"/>
    <w:rsid w:val="00B175E4"/>
    <w:rsid w:val="00B22886"/>
    <w:rsid w:val="00B268BB"/>
    <w:rsid w:val="00B27214"/>
    <w:rsid w:val="00B27FBD"/>
    <w:rsid w:val="00B346A0"/>
    <w:rsid w:val="00B40105"/>
    <w:rsid w:val="00B40A2D"/>
    <w:rsid w:val="00B4146B"/>
    <w:rsid w:val="00B431A0"/>
    <w:rsid w:val="00B43641"/>
    <w:rsid w:val="00B4412B"/>
    <w:rsid w:val="00B47197"/>
    <w:rsid w:val="00B50B4E"/>
    <w:rsid w:val="00B5200C"/>
    <w:rsid w:val="00B539C5"/>
    <w:rsid w:val="00B54607"/>
    <w:rsid w:val="00B5463A"/>
    <w:rsid w:val="00B54707"/>
    <w:rsid w:val="00B613E4"/>
    <w:rsid w:val="00B6357C"/>
    <w:rsid w:val="00B63D1E"/>
    <w:rsid w:val="00B641B9"/>
    <w:rsid w:val="00B712B9"/>
    <w:rsid w:val="00B71E77"/>
    <w:rsid w:val="00B77F7F"/>
    <w:rsid w:val="00B81569"/>
    <w:rsid w:val="00B81665"/>
    <w:rsid w:val="00B81C35"/>
    <w:rsid w:val="00B84135"/>
    <w:rsid w:val="00B863C5"/>
    <w:rsid w:val="00B86C9C"/>
    <w:rsid w:val="00B87F82"/>
    <w:rsid w:val="00B929FF"/>
    <w:rsid w:val="00B92EFB"/>
    <w:rsid w:val="00B92F40"/>
    <w:rsid w:val="00B963D9"/>
    <w:rsid w:val="00BA1725"/>
    <w:rsid w:val="00BA213F"/>
    <w:rsid w:val="00BA35A7"/>
    <w:rsid w:val="00BA4E1B"/>
    <w:rsid w:val="00BA7D17"/>
    <w:rsid w:val="00BB02C1"/>
    <w:rsid w:val="00BB0F38"/>
    <w:rsid w:val="00BB2B93"/>
    <w:rsid w:val="00BB3455"/>
    <w:rsid w:val="00BB38F8"/>
    <w:rsid w:val="00BB3C2B"/>
    <w:rsid w:val="00BB4190"/>
    <w:rsid w:val="00BB5516"/>
    <w:rsid w:val="00BB5FE1"/>
    <w:rsid w:val="00BC11CA"/>
    <w:rsid w:val="00BC1284"/>
    <w:rsid w:val="00BC144B"/>
    <w:rsid w:val="00BC2698"/>
    <w:rsid w:val="00BC2FA2"/>
    <w:rsid w:val="00BC40EC"/>
    <w:rsid w:val="00BC5A31"/>
    <w:rsid w:val="00BD574C"/>
    <w:rsid w:val="00BD650F"/>
    <w:rsid w:val="00BD714F"/>
    <w:rsid w:val="00BE7573"/>
    <w:rsid w:val="00BF04B5"/>
    <w:rsid w:val="00BF3169"/>
    <w:rsid w:val="00BF5A16"/>
    <w:rsid w:val="00BF6E1C"/>
    <w:rsid w:val="00BF7A41"/>
    <w:rsid w:val="00C003FF"/>
    <w:rsid w:val="00C00931"/>
    <w:rsid w:val="00C01AE7"/>
    <w:rsid w:val="00C0216E"/>
    <w:rsid w:val="00C02401"/>
    <w:rsid w:val="00C04D24"/>
    <w:rsid w:val="00C05743"/>
    <w:rsid w:val="00C0694E"/>
    <w:rsid w:val="00C06F7E"/>
    <w:rsid w:val="00C075FD"/>
    <w:rsid w:val="00C11C6F"/>
    <w:rsid w:val="00C12BB4"/>
    <w:rsid w:val="00C132B7"/>
    <w:rsid w:val="00C14CB6"/>
    <w:rsid w:val="00C152FF"/>
    <w:rsid w:val="00C16478"/>
    <w:rsid w:val="00C16F0A"/>
    <w:rsid w:val="00C20DBF"/>
    <w:rsid w:val="00C21EEF"/>
    <w:rsid w:val="00C22137"/>
    <w:rsid w:val="00C26450"/>
    <w:rsid w:val="00C30C22"/>
    <w:rsid w:val="00C318AD"/>
    <w:rsid w:val="00C42371"/>
    <w:rsid w:val="00C42F06"/>
    <w:rsid w:val="00C43CC4"/>
    <w:rsid w:val="00C44408"/>
    <w:rsid w:val="00C451B8"/>
    <w:rsid w:val="00C50908"/>
    <w:rsid w:val="00C50D80"/>
    <w:rsid w:val="00C5192F"/>
    <w:rsid w:val="00C53562"/>
    <w:rsid w:val="00C53F58"/>
    <w:rsid w:val="00C60ED9"/>
    <w:rsid w:val="00C624B0"/>
    <w:rsid w:val="00C6297C"/>
    <w:rsid w:val="00C66D99"/>
    <w:rsid w:val="00C673B9"/>
    <w:rsid w:val="00C70090"/>
    <w:rsid w:val="00C710D7"/>
    <w:rsid w:val="00C84CFE"/>
    <w:rsid w:val="00C856C9"/>
    <w:rsid w:val="00C86AA1"/>
    <w:rsid w:val="00C92967"/>
    <w:rsid w:val="00C929B7"/>
    <w:rsid w:val="00C93BF7"/>
    <w:rsid w:val="00C94769"/>
    <w:rsid w:val="00C9497A"/>
    <w:rsid w:val="00C967DE"/>
    <w:rsid w:val="00C975A1"/>
    <w:rsid w:val="00CA544E"/>
    <w:rsid w:val="00CA5EC2"/>
    <w:rsid w:val="00CA6A39"/>
    <w:rsid w:val="00CB2075"/>
    <w:rsid w:val="00CB425C"/>
    <w:rsid w:val="00CB4301"/>
    <w:rsid w:val="00CB4ED9"/>
    <w:rsid w:val="00CB5E6E"/>
    <w:rsid w:val="00CC370A"/>
    <w:rsid w:val="00CC3749"/>
    <w:rsid w:val="00CC402C"/>
    <w:rsid w:val="00CC459F"/>
    <w:rsid w:val="00CC56C7"/>
    <w:rsid w:val="00CC5C12"/>
    <w:rsid w:val="00CC70B0"/>
    <w:rsid w:val="00CD2A02"/>
    <w:rsid w:val="00CE09A1"/>
    <w:rsid w:val="00CE1EDB"/>
    <w:rsid w:val="00CE26C5"/>
    <w:rsid w:val="00CE2A62"/>
    <w:rsid w:val="00CE4126"/>
    <w:rsid w:val="00CE6039"/>
    <w:rsid w:val="00CE6ED9"/>
    <w:rsid w:val="00CE7686"/>
    <w:rsid w:val="00CE7D80"/>
    <w:rsid w:val="00CF542B"/>
    <w:rsid w:val="00CF59E9"/>
    <w:rsid w:val="00D00103"/>
    <w:rsid w:val="00D01B4B"/>
    <w:rsid w:val="00D01B7C"/>
    <w:rsid w:val="00D05C59"/>
    <w:rsid w:val="00D0653B"/>
    <w:rsid w:val="00D1198A"/>
    <w:rsid w:val="00D12572"/>
    <w:rsid w:val="00D127BB"/>
    <w:rsid w:val="00D14553"/>
    <w:rsid w:val="00D16396"/>
    <w:rsid w:val="00D17C6F"/>
    <w:rsid w:val="00D2454B"/>
    <w:rsid w:val="00D249BE"/>
    <w:rsid w:val="00D24B78"/>
    <w:rsid w:val="00D2553F"/>
    <w:rsid w:val="00D319F3"/>
    <w:rsid w:val="00D33117"/>
    <w:rsid w:val="00D34AE8"/>
    <w:rsid w:val="00D40C61"/>
    <w:rsid w:val="00D44A21"/>
    <w:rsid w:val="00D474C1"/>
    <w:rsid w:val="00D47D60"/>
    <w:rsid w:val="00D511F5"/>
    <w:rsid w:val="00D521C9"/>
    <w:rsid w:val="00D60A8D"/>
    <w:rsid w:val="00D61FE0"/>
    <w:rsid w:val="00D641DE"/>
    <w:rsid w:val="00D647DA"/>
    <w:rsid w:val="00D66F63"/>
    <w:rsid w:val="00D67C7B"/>
    <w:rsid w:val="00D709CC"/>
    <w:rsid w:val="00D70BE3"/>
    <w:rsid w:val="00D73394"/>
    <w:rsid w:val="00D7370F"/>
    <w:rsid w:val="00D74F3B"/>
    <w:rsid w:val="00D80333"/>
    <w:rsid w:val="00D84B18"/>
    <w:rsid w:val="00D84FD2"/>
    <w:rsid w:val="00D85EED"/>
    <w:rsid w:val="00D9422E"/>
    <w:rsid w:val="00D95000"/>
    <w:rsid w:val="00D959F5"/>
    <w:rsid w:val="00D96D26"/>
    <w:rsid w:val="00D9750B"/>
    <w:rsid w:val="00DA14A9"/>
    <w:rsid w:val="00DA683F"/>
    <w:rsid w:val="00DA74AF"/>
    <w:rsid w:val="00DA75BD"/>
    <w:rsid w:val="00DB1692"/>
    <w:rsid w:val="00DB2146"/>
    <w:rsid w:val="00DB2188"/>
    <w:rsid w:val="00DB4158"/>
    <w:rsid w:val="00DB4EE7"/>
    <w:rsid w:val="00DC1245"/>
    <w:rsid w:val="00DC1EB4"/>
    <w:rsid w:val="00DC22F5"/>
    <w:rsid w:val="00DC788B"/>
    <w:rsid w:val="00DD2CE5"/>
    <w:rsid w:val="00DD3D2F"/>
    <w:rsid w:val="00DD45A2"/>
    <w:rsid w:val="00DE268D"/>
    <w:rsid w:val="00DE4145"/>
    <w:rsid w:val="00DE4CBF"/>
    <w:rsid w:val="00DE5598"/>
    <w:rsid w:val="00DE7559"/>
    <w:rsid w:val="00DF01EB"/>
    <w:rsid w:val="00DF056B"/>
    <w:rsid w:val="00DF2842"/>
    <w:rsid w:val="00DF48C4"/>
    <w:rsid w:val="00E01D74"/>
    <w:rsid w:val="00E0200A"/>
    <w:rsid w:val="00E0284F"/>
    <w:rsid w:val="00E033CD"/>
    <w:rsid w:val="00E04909"/>
    <w:rsid w:val="00E0575D"/>
    <w:rsid w:val="00E06098"/>
    <w:rsid w:val="00E06FAE"/>
    <w:rsid w:val="00E101A9"/>
    <w:rsid w:val="00E11BB2"/>
    <w:rsid w:val="00E15303"/>
    <w:rsid w:val="00E16522"/>
    <w:rsid w:val="00E16D9D"/>
    <w:rsid w:val="00E202C6"/>
    <w:rsid w:val="00E203DF"/>
    <w:rsid w:val="00E22361"/>
    <w:rsid w:val="00E226BC"/>
    <w:rsid w:val="00E22DCB"/>
    <w:rsid w:val="00E2708A"/>
    <w:rsid w:val="00E3016F"/>
    <w:rsid w:val="00E30712"/>
    <w:rsid w:val="00E34440"/>
    <w:rsid w:val="00E34B01"/>
    <w:rsid w:val="00E35EDC"/>
    <w:rsid w:val="00E372CC"/>
    <w:rsid w:val="00E4317C"/>
    <w:rsid w:val="00E43489"/>
    <w:rsid w:val="00E44560"/>
    <w:rsid w:val="00E4473E"/>
    <w:rsid w:val="00E471EF"/>
    <w:rsid w:val="00E5033F"/>
    <w:rsid w:val="00E5381E"/>
    <w:rsid w:val="00E54B1B"/>
    <w:rsid w:val="00E550B4"/>
    <w:rsid w:val="00E6082A"/>
    <w:rsid w:val="00E61964"/>
    <w:rsid w:val="00E61A17"/>
    <w:rsid w:val="00E62146"/>
    <w:rsid w:val="00E627DB"/>
    <w:rsid w:val="00E6337B"/>
    <w:rsid w:val="00E639FF"/>
    <w:rsid w:val="00E665AB"/>
    <w:rsid w:val="00E670FA"/>
    <w:rsid w:val="00E67EE1"/>
    <w:rsid w:val="00E7261C"/>
    <w:rsid w:val="00E73910"/>
    <w:rsid w:val="00E75B23"/>
    <w:rsid w:val="00E75E20"/>
    <w:rsid w:val="00E76A64"/>
    <w:rsid w:val="00E77AAB"/>
    <w:rsid w:val="00E80E48"/>
    <w:rsid w:val="00E81A16"/>
    <w:rsid w:val="00E81BDE"/>
    <w:rsid w:val="00E81D19"/>
    <w:rsid w:val="00E83247"/>
    <w:rsid w:val="00E85049"/>
    <w:rsid w:val="00E8650A"/>
    <w:rsid w:val="00E8707C"/>
    <w:rsid w:val="00E8758A"/>
    <w:rsid w:val="00E9043A"/>
    <w:rsid w:val="00E94865"/>
    <w:rsid w:val="00E9517E"/>
    <w:rsid w:val="00E95FF1"/>
    <w:rsid w:val="00EA038A"/>
    <w:rsid w:val="00EA7678"/>
    <w:rsid w:val="00EB0E1C"/>
    <w:rsid w:val="00EB3775"/>
    <w:rsid w:val="00EB3F3D"/>
    <w:rsid w:val="00EC01EA"/>
    <w:rsid w:val="00EC0A26"/>
    <w:rsid w:val="00EC239F"/>
    <w:rsid w:val="00EC3974"/>
    <w:rsid w:val="00EC5587"/>
    <w:rsid w:val="00EC5E16"/>
    <w:rsid w:val="00EC7055"/>
    <w:rsid w:val="00ED0205"/>
    <w:rsid w:val="00ED02BC"/>
    <w:rsid w:val="00ED0E66"/>
    <w:rsid w:val="00ED3575"/>
    <w:rsid w:val="00ED3955"/>
    <w:rsid w:val="00ED4753"/>
    <w:rsid w:val="00ED5F1F"/>
    <w:rsid w:val="00ED69CD"/>
    <w:rsid w:val="00EE4686"/>
    <w:rsid w:val="00EE6C81"/>
    <w:rsid w:val="00EE7925"/>
    <w:rsid w:val="00EE7AD6"/>
    <w:rsid w:val="00EF537B"/>
    <w:rsid w:val="00EF6854"/>
    <w:rsid w:val="00EFA942"/>
    <w:rsid w:val="00F00E5B"/>
    <w:rsid w:val="00F00F7F"/>
    <w:rsid w:val="00F01F58"/>
    <w:rsid w:val="00F02082"/>
    <w:rsid w:val="00F034EA"/>
    <w:rsid w:val="00F06139"/>
    <w:rsid w:val="00F1049F"/>
    <w:rsid w:val="00F12601"/>
    <w:rsid w:val="00F14941"/>
    <w:rsid w:val="00F16EB3"/>
    <w:rsid w:val="00F2165F"/>
    <w:rsid w:val="00F21766"/>
    <w:rsid w:val="00F21C10"/>
    <w:rsid w:val="00F255B9"/>
    <w:rsid w:val="00F25628"/>
    <w:rsid w:val="00F26CF4"/>
    <w:rsid w:val="00F2740D"/>
    <w:rsid w:val="00F27593"/>
    <w:rsid w:val="00F32048"/>
    <w:rsid w:val="00F3372E"/>
    <w:rsid w:val="00F33734"/>
    <w:rsid w:val="00F352D6"/>
    <w:rsid w:val="00F35DEE"/>
    <w:rsid w:val="00F435E3"/>
    <w:rsid w:val="00F466DA"/>
    <w:rsid w:val="00F50B44"/>
    <w:rsid w:val="00F5297C"/>
    <w:rsid w:val="00F52F4B"/>
    <w:rsid w:val="00F548DA"/>
    <w:rsid w:val="00F554C7"/>
    <w:rsid w:val="00F60466"/>
    <w:rsid w:val="00F60822"/>
    <w:rsid w:val="00F62194"/>
    <w:rsid w:val="00F621BC"/>
    <w:rsid w:val="00F6250F"/>
    <w:rsid w:val="00F63501"/>
    <w:rsid w:val="00F63797"/>
    <w:rsid w:val="00F71FA5"/>
    <w:rsid w:val="00F72064"/>
    <w:rsid w:val="00F752D2"/>
    <w:rsid w:val="00F757A9"/>
    <w:rsid w:val="00F8604F"/>
    <w:rsid w:val="00F90449"/>
    <w:rsid w:val="00F91808"/>
    <w:rsid w:val="00F9347D"/>
    <w:rsid w:val="00F93B4E"/>
    <w:rsid w:val="00F9443D"/>
    <w:rsid w:val="00FA4EA1"/>
    <w:rsid w:val="00FA5D2A"/>
    <w:rsid w:val="00FA72C3"/>
    <w:rsid w:val="00FB41A1"/>
    <w:rsid w:val="00FB44FE"/>
    <w:rsid w:val="00FB4968"/>
    <w:rsid w:val="00FC050A"/>
    <w:rsid w:val="00FC2308"/>
    <w:rsid w:val="00FC53A4"/>
    <w:rsid w:val="00FC6092"/>
    <w:rsid w:val="00FD007A"/>
    <w:rsid w:val="00FD0437"/>
    <w:rsid w:val="00FD0DA2"/>
    <w:rsid w:val="00FD357D"/>
    <w:rsid w:val="00FE24FD"/>
    <w:rsid w:val="00FE38F1"/>
    <w:rsid w:val="00FE3B48"/>
    <w:rsid w:val="00FE3CF9"/>
    <w:rsid w:val="00FE4D30"/>
    <w:rsid w:val="00FF0363"/>
    <w:rsid w:val="00FF330F"/>
    <w:rsid w:val="00FF3647"/>
    <w:rsid w:val="00FF3DDF"/>
    <w:rsid w:val="00FF41ED"/>
    <w:rsid w:val="00FF438B"/>
    <w:rsid w:val="00FF50B5"/>
    <w:rsid w:val="00FF5730"/>
    <w:rsid w:val="00FF6B29"/>
    <w:rsid w:val="02A26270"/>
    <w:rsid w:val="02EC7AB7"/>
    <w:rsid w:val="03A96310"/>
    <w:rsid w:val="05DA0332"/>
    <w:rsid w:val="07500DEB"/>
    <w:rsid w:val="0A249D08"/>
    <w:rsid w:val="0E8606ED"/>
    <w:rsid w:val="0EC0C83D"/>
    <w:rsid w:val="0F910842"/>
    <w:rsid w:val="10DD15E3"/>
    <w:rsid w:val="10F57E8F"/>
    <w:rsid w:val="12280D5E"/>
    <w:rsid w:val="13E68DA6"/>
    <w:rsid w:val="14262ABB"/>
    <w:rsid w:val="148D4FB1"/>
    <w:rsid w:val="151741DD"/>
    <w:rsid w:val="19168CE7"/>
    <w:rsid w:val="1A026254"/>
    <w:rsid w:val="1DE9FE0A"/>
    <w:rsid w:val="1E8E20CB"/>
    <w:rsid w:val="1EAE9C2D"/>
    <w:rsid w:val="1F85CE6B"/>
    <w:rsid w:val="204A6C8E"/>
    <w:rsid w:val="206D41B7"/>
    <w:rsid w:val="209C11A4"/>
    <w:rsid w:val="2243076A"/>
    <w:rsid w:val="22F7387A"/>
    <w:rsid w:val="23D3B266"/>
    <w:rsid w:val="23DCD3D5"/>
    <w:rsid w:val="240C264C"/>
    <w:rsid w:val="254D0281"/>
    <w:rsid w:val="2C8EBF3F"/>
    <w:rsid w:val="34DDF7EE"/>
    <w:rsid w:val="3547CD80"/>
    <w:rsid w:val="36A20650"/>
    <w:rsid w:val="36D7BF62"/>
    <w:rsid w:val="37B5FD4A"/>
    <w:rsid w:val="39F637C7"/>
    <w:rsid w:val="3B0D07E0"/>
    <w:rsid w:val="3B7A7020"/>
    <w:rsid w:val="3D2F02BD"/>
    <w:rsid w:val="401E4FFD"/>
    <w:rsid w:val="406999BF"/>
    <w:rsid w:val="411ACF1E"/>
    <w:rsid w:val="411CB2C8"/>
    <w:rsid w:val="41A51901"/>
    <w:rsid w:val="421A7209"/>
    <w:rsid w:val="424AC410"/>
    <w:rsid w:val="42C026B1"/>
    <w:rsid w:val="439B4FF0"/>
    <w:rsid w:val="43B6426A"/>
    <w:rsid w:val="495ED94C"/>
    <w:rsid w:val="4C8CD38A"/>
    <w:rsid w:val="4E45CE33"/>
    <w:rsid w:val="502534BD"/>
    <w:rsid w:val="516F6008"/>
    <w:rsid w:val="52C92C42"/>
    <w:rsid w:val="52F97258"/>
    <w:rsid w:val="53BC270E"/>
    <w:rsid w:val="56169C9C"/>
    <w:rsid w:val="572C5895"/>
    <w:rsid w:val="597A71ED"/>
    <w:rsid w:val="59E3E2F2"/>
    <w:rsid w:val="5A7C43CD"/>
    <w:rsid w:val="5CC80F22"/>
    <w:rsid w:val="5D9A8A5C"/>
    <w:rsid w:val="5E281882"/>
    <w:rsid w:val="5F365ABD"/>
    <w:rsid w:val="5F94B09B"/>
    <w:rsid w:val="5FD08B14"/>
    <w:rsid w:val="63F2CE92"/>
    <w:rsid w:val="63FBEEC9"/>
    <w:rsid w:val="648075CC"/>
    <w:rsid w:val="6504A7EE"/>
    <w:rsid w:val="65BBCF1C"/>
    <w:rsid w:val="69451BE3"/>
    <w:rsid w:val="69763AA9"/>
    <w:rsid w:val="6C151D78"/>
    <w:rsid w:val="6C72C369"/>
    <w:rsid w:val="6C7333A3"/>
    <w:rsid w:val="6D294FFE"/>
    <w:rsid w:val="6E598A99"/>
    <w:rsid w:val="6E8D73CB"/>
    <w:rsid w:val="6ED57300"/>
    <w:rsid w:val="6F3EA170"/>
    <w:rsid w:val="6F414C1D"/>
    <w:rsid w:val="70326463"/>
    <w:rsid w:val="71C7A443"/>
    <w:rsid w:val="71F62F80"/>
    <w:rsid w:val="735EB9DF"/>
    <w:rsid w:val="73789D53"/>
    <w:rsid w:val="737FA60F"/>
    <w:rsid w:val="74FA8A40"/>
    <w:rsid w:val="78E5088D"/>
    <w:rsid w:val="7A2B4E55"/>
    <w:rsid w:val="7C956954"/>
    <w:rsid w:val="7FA5098A"/>
    <w:rsid w:val="7FF57E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4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semiHidden/>
    <w:unhideWhenUsed/>
    <w:rsid w:val="00B22886"/>
  </w:style>
  <w:style w:type="character" w:customStyle="1" w:styleId="CommentTextChar">
    <w:name w:val="Comment Text Char"/>
    <w:basedOn w:val="DefaultParagraphFont"/>
    <w:link w:val="CommentText"/>
    <w:uiPriority w:val="99"/>
    <w:semiHidden/>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fr-FR"/>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1BDE"/>
    <w:rPr>
      <w:sz w:val="20"/>
      <w:szCs w:val="20"/>
    </w:rPr>
  </w:style>
  <w:style w:type="character" w:customStyle="1" w:styleId="FootnoteTextChar">
    <w:name w:val="Footnote Text Char"/>
    <w:basedOn w:val="DefaultParagraphFont"/>
    <w:link w:val="FootnoteText"/>
    <w:uiPriority w:val="99"/>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fr-FR"/>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fr-FR"/>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fr-FR"/>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fr-FR"/>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fr-FR"/>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460280"/>
    <w:pPr>
      <w:spacing w:before="100" w:beforeAutospacing="1" w:after="100" w:afterAutospacing="1"/>
    </w:pPr>
    <w:rPr>
      <w:rFonts w:ascii="Times New Roman" w:eastAsia="Calibri" w:hAnsi="Times New Roman" w:cs="Times New Roman"/>
      <w:lang w:val="en-GB" w:eastAsia="en-GB"/>
    </w:rPr>
  </w:style>
  <w:style w:type="character" w:customStyle="1" w:styleId="normaltextrun">
    <w:name w:val="normaltextrun"/>
    <w:basedOn w:val="DefaultParagraphFont"/>
    <w:rsid w:val="00460280"/>
  </w:style>
  <w:style w:type="paragraph" w:styleId="PlainText">
    <w:name w:val="Plain Text"/>
    <w:basedOn w:val="Normal"/>
    <w:link w:val="PlainTextChar"/>
    <w:uiPriority w:val="99"/>
    <w:semiHidden/>
    <w:unhideWhenUsed/>
    <w:rsid w:val="00EE7AD6"/>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semiHidden/>
    <w:rsid w:val="00EE7AD6"/>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401761246">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26082-D536-4960-94DE-FBF34210C60E}">
  <ds:schemaRefs>
    <ds:schemaRef ds:uri="http://schemas.microsoft.com/sharepoint/v3/contenttype/forms"/>
  </ds:schemaRefs>
</ds:datastoreItem>
</file>

<file path=customXml/itemProps2.xml><?xml version="1.0" encoding="utf-8"?>
<ds:datastoreItem xmlns:ds="http://schemas.openxmlformats.org/officeDocument/2006/customXml" ds:itemID="{3B8D5384-C010-452F-8AEA-8D381685422F}">
  <ds:schemaRefs>
    <ds:schemaRef ds:uri="http://schemas.openxmlformats.org/officeDocument/2006/bibliography"/>
  </ds:schemaRefs>
</ds:datastoreItem>
</file>

<file path=customXml/itemProps3.xml><?xml version="1.0" encoding="utf-8"?>
<ds:datastoreItem xmlns:ds="http://schemas.openxmlformats.org/officeDocument/2006/customXml" ds:itemID="{CA11EDFC-2AE8-4293-945F-D05635D4C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68C8E-5331-42E2-8DE1-EFF1A002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5281</Words>
  <Characters>28626</Characters>
  <Application>Microsoft Office Word</Application>
  <DocSecurity>0</DocSecurity>
  <Lines>502</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2021-10-28T06:49:00Z</dcterms:created>
  <dcterms:modified xsi:type="dcterms:W3CDTF">2024-01-09T10:09:00Z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ContentRemapped">
    <vt:lpwstr>true</vt:lpwstr>
  </property>
</Properties>
</file>