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C2BF66" w14:textId="0171D183" w:rsidR="00667F4E" w:rsidRPr="005E15A8" w:rsidRDefault="0022275B" w:rsidP="0022275B">
      <w:pPr>
        <w:pBdr>
          <w:top w:val="double" w:sz="4" w:space="1" w:color="auto"/>
          <w:left w:val="double" w:sz="4" w:space="1" w:color="auto"/>
          <w:bottom w:val="double" w:sz="4" w:space="1" w:color="auto"/>
          <w:right w:val="double" w:sz="4" w:space="1" w:color="auto"/>
          <w:between w:val="none" w:sz="0" w:space="0" w:color="auto"/>
        </w:pBdr>
        <w:tabs>
          <w:tab w:val="left" w:pos="426"/>
          <w:tab w:val="center" w:pos="4680"/>
          <w:tab w:val="left" w:pos="6430"/>
        </w:tabs>
        <w:contextualSpacing/>
        <w:jc w:val="both"/>
        <w:rPr>
          <w:rFonts w:ascii="Cambria" w:hAnsi="Cambria"/>
          <w:b/>
          <w:bCs/>
          <w:iCs/>
          <w:sz w:val="20"/>
          <w:szCs w:val="20"/>
        </w:rPr>
      </w:pPr>
      <w:r w:rsidRPr="005E15A8">
        <w:rPr>
          <w:rFonts w:ascii="Cambria" w:hAnsi="Cambria"/>
          <w:b/>
          <w:bCs/>
          <w:iCs/>
          <w:sz w:val="20"/>
          <w:szCs w:val="20"/>
        </w:rPr>
        <w:t>21-</w:t>
      </w:r>
      <w:r w:rsidR="00F66E6D" w:rsidRPr="005E15A8">
        <w:rPr>
          <w:rFonts w:ascii="Cambria" w:hAnsi="Cambria"/>
          <w:b/>
          <w:bCs/>
          <w:iCs/>
          <w:sz w:val="20"/>
          <w:szCs w:val="20"/>
        </w:rPr>
        <w:t>07</w:t>
      </w:r>
      <w:r w:rsidRPr="005E15A8">
        <w:rPr>
          <w:rFonts w:ascii="Cambria" w:hAnsi="Cambria"/>
          <w:b/>
          <w:bCs/>
          <w:iCs/>
          <w:sz w:val="20"/>
          <w:szCs w:val="20"/>
        </w:rPr>
        <w:tab/>
      </w:r>
      <w:r w:rsidRPr="005E15A8">
        <w:rPr>
          <w:rFonts w:ascii="Cambria" w:hAnsi="Cambria"/>
          <w:b/>
          <w:bCs/>
          <w:iCs/>
          <w:sz w:val="20"/>
          <w:szCs w:val="20"/>
        </w:rPr>
        <w:tab/>
      </w:r>
      <w:r w:rsidRPr="005E15A8">
        <w:rPr>
          <w:rFonts w:ascii="Cambria" w:hAnsi="Cambria"/>
          <w:b/>
          <w:bCs/>
          <w:iCs/>
          <w:sz w:val="20"/>
          <w:szCs w:val="20"/>
        </w:rPr>
        <w:tab/>
      </w:r>
      <w:r w:rsidRPr="005E15A8">
        <w:rPr>
          <w:rFonts w:ascii="Cambria" w:hAnsi="Cambria"/>
          <w:b/>
          <w:bCs/>
          <w:iCs/>
          <w:sz w:val="20"/>
          <w:szCs w:val="20"/>
        </w:rPr>
        <w:tab/>
      </w:r>
      <w:r w:rsidRPr="005E15A8">
        <w:rPr>
          <w:rFonts w:ascii="Cambria" w:hAnsi="Cambria"/>
          <w:b/>
          <w:bCs/>
          <w:iCs/>
          <w:sz w:val="20"/>
          <w:szCs w:val="20"/>
        </w:rPr>
        <w:tab/>
      </w:r>
      <w:r w:rsidR="00F66E6D" w:rsidRPr="005E15A8">
        <w:rPr>
          <w:rFonts w:ascii="Cambria" w:hAnsi="Cambria"/>
          <w:b/>
          <w:bCs/>
          <w:iCs/>
          <w:sz w:val="20"/>
          <w:szCs w:val="20"/>
        </w:rPr>
        <w:t xml:space="preserve">        BFT</w:t>
      </w:r>
    </w:p>
    <w:p w14:paraId="1C920124" w14:textId="77777777" w:rsidR="0022275B" w:rsidRPr="005E15A8" w:rsidRDefault="0022275B" w:rsidP="0022275B">
      <w:pPr>
        <w:pBdr>
          <w:top w:val="double" w:sz="4" w:space="1" w:color="auto"/>
          <w:left w:val="double" w:sz="4" w:space="1" w:color="auto"/>
          <w:bottom w:val="double" w:sz="4" w:space="1" w:color="auto"/>
          <w:right w:val="double" w:sz="4" w:space="1" w:color="auto"/>
          <w:between w:val="none" w:sz="0" w:space="0" w:color="auto"/>
        </w:pBdr>
        <w:tabs>
          <w:tab w:val="left" w:pos="426"/>
          <w:tab w:val="center" w:pos="4680"/>
          <w:tab w:val="left" w:pos="6430"/>
        </w:tabs>
        <w:contextualSpacing/>
        <w:jc w:val="both"/>
        <w:rPr>
          <w:rFonts w:ascii="Cambria" w:hAnsi="Cambria"/>
          <w:b/>
          <w:bCs/>
          <w:iCs/>
          <w:sz w:val="20"/>
          <w:szCs w:val="20"/>
        </w:rPr>
      </w:pPr>
    </w:p>
    <w:p w14:paraId="1701DECE" w14:textId="0F356AC6" w:rsidR="0080232F" w:rsidRPr="005E15A8" w:rsidRDefault="0080232F" w:rsidP="00667F4E">
      <w:pPr>
        <w:pBdr>
          <w:top w:val="double" w:sz="4" w:space="1" w:color="auto"/>
          <w:left w:val="double" w:sz="4" w:space="1" w:color="auto"/>
          <w:bottom w:val="double" w:sz="4" w:space="1" w:color="auto"/>
          <w:right w:val="double" w:sz="4" w:space="1" w:color="auto"/>
          <w:between w:val="none" w:sz="0" w:space="0" w:color="auto"/>
        </w:pBdr>
        <w:tabs>
          <w:tab w:val="left" w:pos="426"/>
          <w:tab w:val="center" w:pos="4680"/>
          <w:tab w:val="left" w:pos="6430"/>
        </w:tabs>
        <w:contextualSpacing/>
        <w:jc w:val="center"/>
        <w:rPr>
          <w:rFonts w:ascii="Cambria" w:hAnsi="Cambria"/>
          <w:b/>
          <w:bCs/>
          <w:iCs/>
          <w:sz w:val="20"/>
          <w:szCs w:val="20"/>
        </w:rPr>
      </w:pPr>
      <w:r w:rsidRPr="005E15A8">
        <w:rPr>
          <w:rFonts w:ascii="Cambria" w:hAnsi="Cambria"/>
          <w:b/>
          <w:bCs/>
          <w:iCs/>
          <w:sz w:val="20"/>
          <w:szCs w:val="20"/>
        </w:rPr>
        <w:t>RECOMMANDATION DE L’ICCAT AMENDANT LA RECOMMANDATION 17-06 CONCERNANT UN PLAN PROVISOIRE DE CONSERVATION ET DE GESTION DU THON ROUGE DE L’ATLANTIQUE OUEST</w:t>
      </w:r>
    </w:p>
    <w:p w14:paraId="0F4DE2AF" w14:textId="77777777" w:rsidR="00667F4E" w:rsidRPr="005E15A8" w:rsidRDefault="00667F4E" w:rsidP="00667F4E">
      <w:pPr>
        <w:pBdr>
          <w:top w:val="double" w:sz="4" w:space="1" w:color="auto"/>
          <w:left w:val="double" w:sz="4" w:space="1" w:color="auto"/>
          <w:bottom w:val="double" w:sz="4" w:space="1" w:color="auto"/>
          <w:right w:val="double" w:sz="4" w:space="1" w:color="auto"/>
          <w:between w:val="none" w:sz="0" w:space="0" w:color="auto"/>
        </w:pBdr>
        <w:tabs>
          <w:tab w:val="left" w:pos="426"/>
          <w:tab w:val="center" w:pos="4680"/>
          <w:tab w:val="left" w:pos="6430"/>
        </w:tabs>
        <w:contextualSpacing/>
        <w:jc w:val="center"/>
        <w:rPr>
          <w:rFonts w:ascii="Cambria" w:hAnsi="Cambria"/>
          <w:b/>
          <w:bCs/>
          <w:iCs/>
          <w:sz w:val="20"/>
          <w:szCs w:val="20"/>
        </w:rPr>
      </w:pPr>
    </w:p>
    <w:p w14:paraId="3DCD50D0" w14:textId="77777777" w:rsidR="0080232F" w:rsidRPr="005E15A8" w:rsidRDefault="0080232F" w:rsidP="0080232F">
      <w:pPr>
        <w:tabs>
          <w:tab w:val="left" w:pos="426"/>
          <w:tab w:val="center" w:pos="4680"/>
          <w:tab w:val="left" w:pos="6430"/>
        </w:tabs>
        <w:contextualSpacing/>
        <w:jc w:val="center"/>
        <w:rPr>
          <w:rFonts w:ascii="Cambria" w:hAnsi="Cambria"/>
          <w:b/>
          <w:bCs/>
          <w:iCs/>
          <w:sz w:val="20"/>
          <w:szCs w:val="20"/>
        </w:rPr>
      </w:pPr>
    </w:p>
    <w:p w14:paraId="0EA95A63" w14:textId="77777777" w:rsidR="00FE146A" w:rsidRPr="005E15A8" w:rsidRDefault="00FE146A" w:rsidP="0080232F">
      <w:pPr>
        <w:tabs>
          <w:tab w:val="left" w:pos="426"/>
          <w:tab w:val="center" w:pos="4680"/>
          <w:tab w:val="left" w:pos="6430"/>
        </w:tabs>
        <w:contextualSpacing/>
        <w:jc w:val="center"/>
        <w:rPr>
          <w:rFonts w:ascii="Cambria" w:eastAsia="Cambria" w:hAnsi="Cambria" w:cs="Cambria"/>
          <w:b/>
          <w:bCs/>
          <w:iCs/>
          <w:sz w:val="20"/>
          <w:szCs w:val="20"/>
        </w:rPr>
      </w:pPr>
    </w:p>
    <w:p w14:paraId="6E77F2FC" w14:textId="50CECE71" w:rsidR="00D244CC" w:rsidRPr="005E15A8" w:rsidRDefault="00D244CC" w:rsidP="00D244CC">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284"/>
        </w:tabs>
        <w:ind w:firstLine="425"/>
        <w:contextualSpacing/>
        <w:jc w:val="both"/>
        <w:rPr>
          <w:rFonts w:ascii="Cambria" w:eastAsia="Cambria" w:hAnsi="Cambria" w:cs="Cambria"/>
          <w:color w:val="231F20"/>
          <w:sz w:val="20"/>
          <w:szCs w:val="20"/>
        </w:rPr>
      </w:pPr>
      <w:r w:rsidRPr="005E15A8">
        <w:rPr>
          <w:rFonts w:ascii="Cambria" w:hAnsi="Cambria"/>
          <w:i/>
          <w:iCs/>
          <w:color w:val="231F20"/>
          <w:sz w:val="20"/>
          <w:szCs w:val="20"/>
        </w:rPr>
        <w:t>CONSCIENTE</w:t>
      </w:r>
      <w:r w:rsidRPr="005E15A8">
        <w:rPr>
          <w:rFonts w:ascii="Cambria" w:hAnsi="Cambria"/>
          <w:color w:val="231F20"/>
          <w:sz w:val="20"/>
          <w:szCs w:val="20"/>
        </w:rPr>
        <w:t xml:space="preserve"> que la </w:t>
      </w:r>
      <w:r w:rsidRPr="005E15A8">
        <w:rPr>
          <w:rFonts w:ascii="Cambria" w:hAnsi="Cambria"/>
          <w:i/>
          <w:iCs/>
          <w:color w:val="231F20"/>
          <w:sz w:val="20"/>
          <w:szCs w:val="20"/>
        </w:rPr>
        <w:t>Recommandation de l’ICCAT concernant un plan provisoire de conservation et de gestion du thon rouge de l’Atlantique Ouest</w:t>
      </w:r>
      <w:r w:rsidRPr="005E15A8">
        <w:rPr>
          <w:rFonts w:ascii="Cambria" w:hAnsi="Cambria"/>
          <w:color w:val="231F20"/>
          <w:sz w:val="20"/>
          <w:szCs w:val="20"/>
        </w:rPr>
        <w:t xml:space="preserve"> (Rec. 17-06) a été amendée et prolongée seulement jusqu'en 2021</w:t>
      </w:r>
      <w:r w:rsidR="009823C0" w:rsidRPr="005E15A8">
        <w:rPr>
          <w:rFonts w:ascii="Cambria" w:hAnsi="Cambria"/>
          <w:color w:val="231F20"/>
          <w:sz w:val="20"/>
          <w:szCs w:val="20"/>
        </w:rPr>
        <w:t xml:space="preserve"> inclus</w:t>
      </w:r>
      <w:r w:rsidRPr="005E15A8">
        <w:rPr>
          <w:rFonts w:ascii="Cambria" w:hAnsi="Cambria"/>
          <w:color w:val="231F20"/>
          <w:sz w:val="20"/>
          <w:szCs w:val="20"/>
        </w:rPr>
        <w:t xml:space="preserve"> par la </w:t>
      </w:r>
      <w:r w:rsidRPr="005E15A8">
        <w:rPr>
          <w:rFonts w:ascii="Cambria" w:hAnsi="Cambria"/>
          <w:i/>
          <w:iCs/>
          <w:color w:val="231F20"/>
          <w:sz w:val="20"/>
          <w:szCs w:val="20"/>
        </w:rPr>
        <w:t>Recommandation de l’ICCAT amendant la Recommandation 17-06 concernant un plan provisoire de conservation et de gestion du thon rouge de l’Atlantique Ouest</w:t>
      </w:r>
      <w:r w:rsidRPr="005E15A8">
        <w:rPr>
          <w:rFonts w:ascii="Cambria" w:hAnsi="Cambria"/>
          <w:color w:val="231F20"/>
          <w:sz w:val="20"/>
          <w:szCs w:val="20"/>
        </w:rPr>
        <w:t xml:space="preserve"> (Rec. 20-06)</w:t>
      </w:r>
      <w:r w:rsidR="008F5976" w:rsidRPr="005E15A8">
        <w:rPr>
          <w:rFonts w:ascii="Cambria" w:hAnsi="Cambria"/>
          <w:color w:val="231F20"/>
          <w:sz w:val="20"/>
          <w:szCs w:val="20"/>
        </w:rPr>
        <w:t> ;</w:t>
      </w:r>
    </w:p>
    <w:p w14:paraId="0AB199D2" w14:textId="54EB869C" w:rsidR="00D244CC" w:rsidRPr="005E15A8" w:rsidRDefault="00D244CC" w:rsidP="00D244CC">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284"/>
        </w:tabs>
        <w:ind w:firstLine="425"/>
        <w:contextualSpacing/>
        <w:jc w:val="both"/>
        <w:rPr>
          <w:rFonts w:ascii="Cambria" w:eastAsia="Cambria" w:hAnsi="Cambria" w:cs="Cambria"/>
          <w:color w:val="231F20"/>
          <w:sz w:val="20"/>
          <w:szCs w:val="20"/>
        </w:rPr>
      </w:pPr>
    </w:p>
    <w:p w14:paraId="5A66D2E5" w14:textId="114F15FA" w:rsidR="00D244CC" w:rsidRPr="005E15A8" w:rsidRDefault="00D244CC" w:rsidP="00D244CC">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284"/>
        </w:tabs>
        <w:ind w:firstLine="425"/>
        <w:contextualSpacing/>
        <w:jc w:val="both"/>
        <w:rPr>
          <w:rFonts w:ascii="Cambria" w:eastAsia="Cambria" w:hAnsi="Cambria" w:cs="Cambria"/>
          <w:color w:val="231F20"/>
          <w:sz w:val="20"/>
          <w:szCs w:val="20"/>
        </w:rPr>
      </w:pPr>
      <w:r w:rsidRPr="005E15A8">
        <w:rPr>
          <w:rFonts w:ascii="Cambria" w:hAnsi="Cambria"/>
          <w:i/>
          <w:iCs/>
          <w:sz w:val="20"/>
          <w:szCs w:val="20"/>
        </w:rPr>
        <w:t>RAPPELANT</w:t>
      </w:r>
      <w:r w:rsidRPr="005E15A8">
        <w:rPr>
          <w:rFonts w:ascii="Cambria" w:hAnsi="Cambria"/>
          <w:sz w:val="20"/>
          <w:szCs w:val="20"/>
        </w:rPr>
        <w:t xml:space="preserve"> l'engagement pris par la Commission dans la Rec</w:t>
      </w:r>
      <w:r w:rsidR="005A08C7" w:rsidRPr="005E15A8">
        <w:rPr>
          <w:rFonts w:ascii="Cambria" w:hAnsi="Cambria"/>
          <w:sz w:val="20"/>
          <w:szCs w:val="20"/>
        </w:rPr>
        <w:t>ommandation</w:t>
      </w:r>
      <w:r w:rsidRPr="005E15A8">
        <w:rPr>
          <w:rFonts w:ascii="Cambria" w:hAnsi="Cambria"/>
          <w:sz w:val="20"/>
          <w:szCs w:val="20"/>
        </w:rPr>
        <w:t xml:space="preserve"> 20-06 de prendre des mesures qui permettraient d</w:t>
      </w:r>
      <w:r w:rsidR="005A08C7" w:rsidRPr="005E15A8">
        <w:rPr>
          <w:rFonts w:ascii="Cambria" w:hAnsi="Cambria"/>
          <w:sz w:val="20"/>
          <w:szCs w:val="20"/>
        </w:rPr>
        <w:t>’a</w:t>
      </w:r>
      <w:r w:rsidR="009823C0" w:rsidRPr="005E15A8">
        <w:rPr>
          <w:rFonts w:ascii="Cambria" w:hAnsi="Cambria"/>
          <w:sz w:val="20"/>
          <w:szCs w:val="20"/>
        </w:rPr>
        <w:t xml:space="preserve">border </w:t>
      </w:r>
      <w:r w:rsidRPr="005E15A8">
        <w:rPr>
          <w:rFonts w:ascii="Cambria" w:hAnsi="Cambria"/>
          <w:sz w:val="20"/>
          <w:szCs w:val="20"/>
        </w:rPr>
        <w:t>la surpêche en 2022 avec une probabilité d'au moins 50% ;</w:t>
      </w:r>
    </w:p>
    <w:p w14:paraId="35B59194" w14:textId="77777777" w:rsidR="00D244CC" w:rsidRPr="005E15A8" w:rsidRDefault="00D244CC" w:rsidP="00D244CC">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284"/>
        </w:tabs>
        <w:ind w:firstLine="425"/>
        <w:contextualSpacing/>
        <w:jc w:val="both"/>
        <w:rPr>
          <w:rFonts w:ascii="Cambria" w:eastAsia="Cambria" w:hAnsi="Cambria" w:cs="Cambria"/>
          <w:color w:val="231F20"/>
          <w:sz w:val="20"/>
          <w:szCs w:val="20"/>
        </w:rPr>
      </w:pPr>
    </w:p>
    <w:p w14:paraId="119EB44F" w14:textId="5CDD0322" w:rsidR="00D244CC" w:rsidRPr="005E15A8" w:rsidRDefault="00D244CC" w:rsidP="00D244CC">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284"/>
        </w:tabs>
        <w:ind w:firstLine="425"/>
        <w:contextualSpacing/>
        <w:jc w:val="both"/>
        <w:rPr>
          <w:rFonts w:ascii="Cambria" w:hAnsi="Cambria"/>
          <w:color w:val="231F20"/>
          <w:sz w:val="20"/>
          <w:szCs w:val="20"/>
        </w:rPr>
      </w:pPr>
      <w:r w:rsidRPr="005E15A8">
        <w:rPr>
          <w:rFonts w:ascii="Cambria" w:hAnsi="Cambria"/>
          <w:i/>
          <w:iCs/>
          <w:color w:val="231F20"/>
          <w:sz w:val="20"/>
          <w:szCs w:val="20"/>
        </w:rPr>
        <w:t>NOTANT</w:t>
      </w:r>
      <w:r w:rsidRPr="005E15A8">
        <w:rPr>
          <w:rFonts w:ascii="Cambria" w:hAnsi="Cambria"/>
          <w:color w:val="231F20"/>
          <w:sz w:val="20"/>
          <w:szCs w:val="20"/>
        </w:rPr>
        <w:t xml:space="preserve"> les résultats positifs de l'évaluation du stock de thon rouge de l'Atlantique Ouest de 2021, qui estime que la biomasse totale a augmenté de 9% au cours de la période 2017-2020, </w:t>
      </w:r>
      <w:r w:rsidR="005A08C7" w:rsidRPr="005E15A8">
        <w:rPr>
          <w:rFonts w:ascii="Cambria" w:hAnsi="Cambria"/>
          <w:color w:val="231F20"/>
          <w:sz w:val="20"/>
          <w:szCs w:val="20"/>
        </w:rPr>
        <w:t xml:space="preserve">ce qui </w:t>
      </w:r>
      <w:r w:rsidRPr="005E15A8">
        <w:rPr>
          <w:rFonts w:ascii="Cambria" w:hAnsi="Cambria"/>
          <w:color w:val="231F20"/>
          <w:sz w:val="20"/>
          <w:szCs w:val="20"/>
        </w:rPr>
        <w:t>indique que le TAC actuel n’a probablement pas entraîné de surpêche par rapport à F</w:t>
      </w:r>
      <w:r w:rsidRPr="005E15A8">
        <w:rPr>
          <w:rFonts w:ascii="Cambria" w:hAnsi="Cambria"/>
          <w:color w:val="231F20"/>
          <w:sz w:val="20"/>
          <w:szCs w:val="20"/>
          <w:vertAlign w:val="subscript"/>
        </w:rPr>
        <w:t>0,1</w:t>
      </w:r>
      <w:r w:rsidRPr="005E15A8">
        <w:rPr>
          <w:rFonts w:ascii="Cambria" w:hAnsi="Cambria"/>
          <w:color w:val="231F20"/>
          <w:sz w:val="20"/>
          <w:szCs w:val="20"/>
        </w:rPr>
        <w:t xml:space="preserve"> avec une probabilité élevée</w:t>
      </w:r>
      <w:r w:rsidR="005A08C7" w:rsidRPr="005E15A8">
        <w:rPr>
          <w:rFonts w:ascii="Cambria" w:hAnsi="Cambria"/>
          <w:color w:val="231F20"/>
          <w:sz w:val="20"/>
          <w:szCs w:val="20"/>
        </w:rPr>
        <w:t xml:space="preserve"> </w:t>
      </w:r>
      <w:r w:rsidRPr="005E15A8">
        <w:rPr>
          <w:rFonts w:ascii="Cambria" w:hAnsi="Cambria"/>
          <w:color w:val="231F20"/>
          <w:sz w:val="20"/>
          <w:szCs w:val="20"/>
        </w:rPr>
        <w:t xml:space="preserve">et montre des signes clairs de plusieurs années </w:t>
      </w:r>
      <w:r w:rsidR="005A08C7" w:rsidRPr="005E15A8">
        <w:rPr>
          <w:rFonts w:ascii="Cambria" w:hAnsi="Cambria"/>
          <w:color w:val="231F20"/>
          <w:sz w:val="20"/>
          <w:szCs w:val="20"/>
        </w:rPr>
        <w:t xml:space="preserve">ultérieures </w:t>
      </w:r>
      <w:r w:rsidRPr="005E15A8">
        <w:rPr>
          <w:rFonts w:ascii="Cambria" w:hAnsi="Cambria"/>
          <w:color w:val="231F20"/>
          <w:sz w:val="20"/>
          <w:szCs w:val="20"/>
        </w:rPr>
        <w:t>de fort recrutement</w:t>
      </w:r>
      <w:r w:rsidR="005A08C7" w:rsidRPr="005E15A8">
        <w:rPr>
          <w:rFonts w:ascii="Cambria" w:hAnsi="Cambria"/>
          <w:color w:val="231F20"/>
          <w:sz w:val="20"/>
          <w:szCs w:val="20"/>
        </w:rPr>
        <w:t> ;</w:t>
      </w:r>
    </w:p>
    <w:p w14:paraId="1077F080" w14:textId="77777777" w:rsidR="00D244CC" w:rsidRPr="005E15A8" w:rsidRDefault="00D244CC" w:rsidP="00D244CC">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284"/>
        </w:tabs>
        <w:ind w:firstLine="425"/>
        <w:contextualSpacing/>
        <w:jc w:val="both"/>
        <w:rPr>
          <w:rFonts w:ascii="Cambria" w:hAnsi="Cambria"/>
          <w:color w:val="231F20"/>
          <w:sz w:val="20"/>
          <w:szCs w:val="20"/>
        </w:rPr>
      </w:pPr>
    </w:p>
    <w:p w14:paraId="64522202" w14:textId="5EC81C45" w:rsidR="00D244CC" w:rsidRPr="005E15A8" w:rsidRDefault="00D244CC" w:rsidP="00D244CC">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284"/>
        </w:tabs>
        <w:ind w:firstLine="425"/>
        <w:contextualSpacing/>
        <w:jc w:val="both"/>
        <w:rPr>
          <w:rFonts w:ascii="Cambria" w:eastAsia="Cambria" w:hAnsi="Cambria" w:cs="Cambria"/>
          <w:color w:val="231F20"/>
          <w:sz w:val="20"/>
          <w:szCs w:val="20"/>
        </w:rPr>
      </w:pPr>
      <w:r w:rsidRPr="005E15A8">
        <w:rPr>
          <w:rFonts w:ascii="Cambria" w:hAnsi="Cambria"/>
          <w:i/>
          <w:iCs/>
          <w:color w:val="231F20"/>
          <w:sz w:val="20"/>
          <w:szCs w:val="20"/>
        </w:rPr>
        <w:t>RECONNAISSANT</w:t>
      </w:r>
      <w:r w:rsidRPr="005E15A8">
        <w:rPr>
          <w:rFonts w:ascii="Cambria" w:hAnsi="Cambria"/>
          <w:color w:val="231F20"/>
          <w:sz w:val="20"/>
          <w:szCs w:val="20"/>
        </w:rPr>
        <w:t xml:space="preserve">, toutefois, que les résultats de l'évaluation du stock et des projections de 2021, y compris la matrice de Kobe, ne tiennent pas pleinement compte de l’incertitude entourant la relation </w:t>
      </w:r>
      <w:r w:rsidR="00C74540" w:rsidRPr="005E15A8">
        <w:rPr>
          <w:rFonts w:ascii="Cambria" w:hAnsi="Cambria"/>
          <w:color w:val="231F20"/>
          <w:sz w:val="20"/>
          <w:szCs w:val="20"/>
        </w:rPr>
        <w:t>reproducteur</w:t>
      </w:r>
      <w:r w:rsidRPr="005E15A8">
        <w:rPr>
          <w:rFonts w:ascii="Cambria" w:hAnsi="Cambria"/>
          <w:color w:val="231F20"/>
          <w:sz w:val="20"/>
          <w:szCs w:val="20"/>
        </w:rPr>
        <w:t>-recru</w:t>
      </w:r>
      <w:r w:rsidR="00C74540" w:rsidRPr="005E15A8">
        <w:rPr>
          <w:rFonts w:ascii="Cambria" w:hAnsi="Cambria"/>
          <w:color w:val="231F20"/>
          <w:sz w:val="20"/>
          <w:szCs w:val="20"/>
        </w:rPr>
        <w:t>e</w:t>
      </w:r>
      <w:r w:rsidRPr="005E15A8">
        <w:rPr>
          <w:rFonts w:ascii="Cambria" w:hAnsi="Cambria"/>
          <w:color w:val="231F20"/>
          <w:sz w:val="20"/>
          <w:szCs w:val="20"/>
        </w:rPr>
        <w:t>, les effets du mélange des stocks et d'autres aspects, et tenant compte également des conclusions de l'examen externe de cette évaluation ;</w:t>
      </w:r>
    </w:p>
    <w:p w14:paraId="3DEF99D1" w14:textId="77777777" w:rsidR="00D244CC" w:rsidRPr="005E15A8" w:rsidRDefault="00D244CC" w:rsidP="00D244CC">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284"/>
        </w:tabs>
        <w:ind w:firstLine="425"/>
        <w:contextualSpacing/>
        <w:jc w:val="both"/>
        <w:rPr>
          <w:rFonts w:ascii="Cambria" w:eastAsia="Cambria" w:hAnsi="Cambria" w:cs="Cambria"/>
          <w:color w:val="231F20"/>
          <w:sz w:val="20"/>
          <w:szCs w:val="20"/>
        </w:rPr>
      </w:pPr>
    </w:p>
    <w:p w14:paraId="2BECC0C4" w14:textId="2BCB8E7F" w:rsidR="00D244CC" w:rsidRPr="005E15A8" w:rsidRDefault="00D244CC" w:rsidP="00D244CC">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284"/>
        </w:tabs>
        <w:ind w:firstLine="425"/>
        <w:contextualSpacing/>
        <w:jc w:val="both"/>
        <w:rPr>
          <w:rFonts w:ascii="Cambria" w:eastAsia="Cambria" w:hAnsi="Cambria" w:cs="Cambria"/>
          <w:color w:val="231F20"/>
          <w:sz w:val="20"/>
          <w:szCs w:val="20"/>
        </w:rPr>
      </w:pPr>
      <w:r w:rsidRPr="005E15A8">
        <w:rPr>
          <w:rFonts w:ascii="Cambria" w:hAnsi="Cambria"/>
          <w:i/>
          <w:iCs/>
          <w:color w:val="231F20"/>
          <w:sz w:val="20"/>
          <w:szCs w:val="20"/>
        </w:rPr>
        <w:t>RECONNAISSANT</w:t>
      </w:r>
      <w:r w:rsidRPr="005E15A8">
        <w:rPr>
          <w:rFonts w:ascii="Cambria" w:hAnsi="Cambria"/>
          <w:color w:val="231F20"/>
          <w:sz w:val="20"/>
          <w:szCs w:val="20"/>
        </w:rPr>
        <w:t xml:space="preserve"> l'avis du SCRS selon lequel, à la lumière des incertitudes et des conclusions de l'examen externe, l'avis scientifique actuel devrait être utilisé avec prudence et, à cette fin, seules deux années (2022 et 2023) ont été incluses dans la matrice de stratégie de Kobe </w:t>
      </w:r>
      <w:r w:rsidR="000B4B3D" w:rsidRPr="005E15A8">
        <w:rPr>
          <w:rFonts w:ascii="Cambria" w:hAnsi="Cambria"/>
          <w:color w:val="231F20"/>
          <w:sz w:val="20"/>
          <w:szCs w:val="20"/>
        </w:rPr>
        <w:t>II</w:t>
      </w:r>
      <w:r w:rsidRPr="005E15A8">
        <w:rPr>
          <w:rFonts w:ascii="Cambria" w:hAnsi="Cambria"/>
          <w:color w:val="231F20"/>
          <w:sz w:val="20"/>
          <w:szCs w:val="20"/>
        </w:rPr>
        <w:t xml:space="preserve">, et </w:t>
      </w:r>
      <w:r w:rsidR="006C7D6F" w:rsidRPr="005E15A8">
        <w:rPr>
          <w:rFonts w:ascii="Cambria" w:hAnsi="Cambria"/>
          <w:color w:val="231F20"/>
          <w:sz w:val="20"/>
          <w:szCs w:val="20"/>
        </w:rPr>
        <w:t xml:space="preserve">que </w:t>
      </w:r>
      <w:r w:rsidRPr="005E15A8">
        <w:rPr>
          <w:rFonts w:ascii="Cambria" w:hAnsi="Cambria"/>
          <w:color w:val="231F20"/>
          <w:sz w:val="20"/>
          <w:szCs w:val="20"/>
        </w:rPr>
        <w:t xml:space="preserve">le SCRS a </w:t>
      </w:r>
      <w:r w:rsidR="006C7D6F" w:rsidRPr="005E15A8">
        <w:rPr>
          <w:rFonts w:ascii="Cambria" w:hAnsi="Cambria"/>
          <w:color w:val="231F20"/>
          <w:sz w:val="20"/>
          <w:szCs w:val="20"/>
        </w:rPr>
        <w:t>indiqué que</w:t>
      </w:r>
      <w:r w:rsidRPr="005E15A8">
        <w:rPr>
          <w:rFonts w:ascii="Cambria" w:hAnsi="Cambria"/>
          <w:color w:val="231F20"/>
          <w:sz w:val="20"/>
          <w:szCs w:val="20"/>
        </w:rPr>
        <w:t xml:space="preserve"> la Commission </w:t>
      </w:r>
      <w:r w:rsidR="006C7D6F" w:rsidRPr="005E15A8">
        <w:rPr>
          <w:rFonts w:ascii="Cambria" w:hAnsi="Cambria"/>
          <w:color w:val="231F20"/>
          <w:sz w:val="20"/>
          <w:szCs w:val="20"/>
        </w:rPr>
        <w:t>pourrait</w:t>
      </w:r>
      <w:r w:rsidRPr="005E15A8">
        <w:rPr>
          <w:rFonts w:ascii="Cambria" w:hAnsi="Cambria"/>
          <w:color w:val="231F20"/>
          <w:sz w:val="20"/>
          <w:szCs w:val="20"/>
        </w:rPr>
        <w:t xml:space="preserve"> mettre en œuvre une augmentation modérée du TAC actuel de 2.350 tonnes</w:t>
      </w:r>
      <w:r w:rsidR="005A08C7" w:rsidRPr="005E15A8">
        <w:rPr>
          <w:rFonts w:ascii="Cambria" w:hAnsi="Cambria"/>
          <w:color w:val="231F20"/>
          <w:sz w:val="20"/>
          <w:szCs w:val="20"/>
        </w:rPr>
        <w:t> ;</w:t>
      </w:r>
    </w:p>
    <w:p w14:paraId="34ABF0E0" w14:textId="77777777" w:rsidR="00D244CC" w:rsidRPr="005E15A8" w:rsidRDefault="00D244CC" w:rsidP="00D244CC">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284"/>
        </w:tabs>
        <w:ind w:firstLine="425"/>
        <w:contextualSpacing/>
        <w:jc w:val="both"/>
        <w:rPr>
          <w:rFonts w:ascii="Cambria" w:eastAsia="Cambria" w:hAnsi="Cambria" w:cs="Cambria"/>
          <w:color w:val="231F20"/>
          <w:sz w:val="20"/>
          <w:szCs w:val="20"/>
        </w:rPr>
      </w:pPr>
    </w:p>
    <w:p w14:paraId="43449AC4" w14:textId="54A6723F" w:rsidR="00D244CC" w:rsidRPr="005E15A8" w:rsidRDefault="00D244CC" w:rsidP="00D244CC">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284"/>
        </w:tabs>
        <w:ind w:firstLine="425"/>
        <w:contextualSpacing/>
        <w:jc w:val="both"/>
        <w:rPr>
          <w:rFonts w:ascii="Cambria" w:eastAsia="Cambria" w:hAnsi="Cambria" w:cs="Cambria"/>
          <w:color w:val="231F20"/>
          <w:sz w:val="20"/>
          <w:szCs w:val="20"/>
        </w:rPr>
      </w:pPr>
      <w:r w:rsidRPr="005E15A8">
        <w:rPr>
          <w:rFonts w:ascii="Cambria" w:hAnsi="Cambria"/>
          <w:i/>
          <w:iCs/>
          <w:color w:val="231F20"/>
          <w:sz w:val="20"/>
          <w:szCs w:val="20"/>
        </w:rPr>
        <w:t xml:space="preserve">TENANT COMPTE </w:t>
      </w:r>
      <w:r w:rsidRPr="005E15A8">
        <w:rPr>
          <w:rFonts w:ascii="Cambria" w:hAnsi="Cambria"/>
          <w:color w:val="231F20"/>
          <w:sz w:val="20"/>
          <w:szCs w:val="20"/>
        </w:rPr>
        <w:t xml:space="preserve">de l'avis supplémentaire fourni par le SCRS sur les approches alternatives visant à aider la Commission à déterminer le niveau d'une augmentation modérée du TAC, en particulier l'approche empirique </w:t>
      </w:r>
      <w:r w:rsidR="0043255D" w:rsidRPr="005E15A8">
        <w:rPr>
          <w:rFonts w:ascii="Cambria" w:hAnsi="Cambria"/>
          <w:color w:val="231F20"/>
          <w:sz w:val="20"/>
          <w:szCs w:val="20"/>
        </w:rPr>
        <w:t>tenant compte</w:t>
      </w:r>
      <w:r w:rsidRPr="005E15A8">
        <w:rPr>
          <w:rFonts w:ascii="Cambria" w:hAnsi="Cambria"/>
          <w:color w:val="231F20"/>
          <w:sz w:val="20"/>
          <w:szCs w:val="20"/>
        </w:rPr>
        <w:t xml:space="preserve"> à la fois </w:t>
      </w:r>
      <w:r w:rsidR="0043255D" w:rsidRPr="005E15A8">
        <w:rPr>
          <w:rFonts w:ascii="Cambria" w:hAnsi="Cambria"/>
          <w:color w:val="231F20"/>
          <w:sz w:val="20"/>
          <w:szCs w:val="20"/>
        </w:rPr>
        <w:t xml:space="preserve">de la zone Ouest et de </w:t>
      </w:r>
      <w:r w:rsidRPr="005E15A8">
        <w:rPr>
          <w:rFonts w:ascii="Cambria" w:hAnsi="Cambria"/>
          <w:color w:val="231F20"/>
          <w:sz w:val="20"/>
          <w:szCs w:val="20"/>
        </w:rPr>
        <w:t>l'abondance du stock reproducteur de l’</w:t>
      </w:r>
      <w:r w:rsidR="0043255D" w:rsidRPr="005E15A8">
        <w:rPr>
          <w:rFonts w:ascii="Cambria" w:hAnsi="Cambria"/>
          <w:color w:val="231F20"/>
          <w:sz w:val="20"/>
          <w:szCs w:val="20"/>
        </w:rPr>
        <w:t>Ouest</w:t>
      </w:r>
      <w:r w:rsidRPr="005E15A8">
        <w:rPr>
          <w:rFonts w:ascii="Cambria" w:hAnsi="Cambria"/>
          <w:color w:val="231F20"/>
          <w:sz w:val="20"/>
          <w:szCs w:val="20"/>
        </w:rPr>
        <w:t>, et l'approche d'évaluation de la stratégie de gestion (MSE) ;</w:t>
      </w:r>
    </w:p>
    <w:p w14:paraId="39F21F6E" w14:textId="77777777" w:rsidR="00D244CC" w:rsidRPr="005E15A8" w:rsidRDefault="00D244CC" w:rsidP="00D244CC">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284"/>
        </w:tabs>
        <w:ind w:firstLine="425"/>
        <w:contextualSpacing/>
        <w:jc w:val="both"/>
        <w:rPr>
          <w:rFonts w:ascii="Cambria" w:eastAsia="Cambria" w:hAnsi="Cambria" w:cs="Cambria"/>
          <w:color w:val="231F20"/>
          <w:sz w:val="20"/>
          <w:szCs w:val="20"/>
        </w:rPr>
      </w:pPr>
    </w:p>
    <w:p w14:paraId="18AC8AB7" w14:textId="42A9A0FC" w:rsidR="00D244CC" w:rsidRPr="005E15A8" w:rsidRDefault="00D244CC" w:rsidP="00D244CC">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284"/>
        </w:tabs>
        <w:ind w:firstLine="425"/>
        <w:contextualSpacing/>
        <w:jc w:val="both"/>
        <w:rPr>
          <w:rFonts w:ascii="Cambria" w:hAnsi="Cambria"/>
          <w:color w:val="231F20"/>
          <w:sz w:val="20"/>
          <w:szCs w:val="20"/>
        </w:rPr>
      </w:pPr>
      <w:r w:rsidRPr="005E15A8">
        <w:rPr>
          <w:rFonts w:ascii="Cambria" w:hAnsi="Cambria"/>
          <w:i/>
          <w:iCs/>
          <w:sz w:val="20"/>
          <w:szCs w:val="20"/>
        </w:rPr>
        <w:t>SOUTENANT</w:t>
      </w:r>
      <w:r w:rsidRPr="005E15A8">
        <w:rPr>
          <w:rFonts w:ascii="Cambria" w:hAnsi="Cambria"/>
          <w:sz w:val="20"/>
          <w:szCs w:val="20"/>
        </w:rPr>
        <w:t xml:space="preserve"> les travaux de la Commission visant à développer l'évaluation de la stratégie de gestion pour le thon rouge afin de gérer plus efficacement les pêcheries face aux incertitudes identifiées, y compris les efforts visant à développer des objectifs de gestion opérationnels, en particulier la </w:t>
      </w:r>
      <w:r w:rsidRPr="005E15A8">
        <w:rPr>
          <w:rFonts w:ascii="Cambria" w:hAnsi="Cambria"/>
          <w:i/>
          <w:iCs/>
          <w:sz w:val="20"/>
          <w:szCs w:val="20"/>
        </w:rPr>
        <w:t>Résolution de l’ICCAT sur le développement d’objectifs de gestion initiaux s’appliquant au thon rouge de l’Est et de l’Ouest</w:t>
      </w:r>
      <w:r w:rsidRPr="005E15A8">
        <w:rPr>
          <w:rFonts w:ascii="Cambria" w:hAnsi="Cambria"/>
          <w:sz w:val="20"/>
          <w:szCs w:val="20"/>
        </w:rPr>
        <w:t xml:space="preserve"> (Rés. 18-03)</w:t>
      </w:r>
      <w:r w:rsidR="00717A34" w:rsidRPr="005E15A8">
        <w:rPr>
          <w:rFonts w:ascii="Cambria" w:hAnsi="Cambria"/>
          <w:sz w:val="20"/>
          <w:szCs w:val="20"/>
        </w:rPr>
        <w:t xml:space="preserve">, </w:t>
      </w:r>
      <w:r w:rsidRPr="005E15A8">
        <w:rPr>
          <w:rFonts w:ascii="Cambria" w:hAnsi="Cambria"/>
          <w:sz w:val="20"/>
          <w:szCs w:val="20"/>
        </w:rPr>
        <w:t>les efforts visant à finaliser ces objectifs de gestion conformément à la Convention</w:t>
      </w:r>
      <w:r w:rsidR="00717A34" w:rsidRPr="005E15A8">
        <w:rPr>
          <w:rFonts w:ascii="Cambria" w:hAnsi="Cambria"/>
          <w:sz w:val="20"/>
          <w:szCs w:val="20"/>
        </w:rPr>
        <w:t xml:space="preserve">, </w:t>
      </w:r>
      <w:r w:rsidRPr="005E15A8">
        <w:rPr>
          <w:rFonts w:ascii="Cambria" w:hAnsi="Cambria"/>
          <w:sz w:val="20"/>
          <w:szCs w:val="20"/>
        </w:rPr>
        <w:t xml:space="preserve">la </w:t>
      </w:r>
      <w:r w:rsidR="00830261" w:rsidRPr="005E15A8">
        <w:rPr>
          <w:rFonts w:ascii="Cambria" w:hAnsi="Cambria"/>
          <w:i/>
          <w:iCs/>
          <w:sz w:val="20"/>
          <w:szCs w:val="20"/>
        </w:rPr>
        <w:t>Recommandation de l'ICCAT sur les principes de la prise de décisions sur des mesures de conservation et de gestion de l’ICCAT</w:t>
      </w:r>
      <w:r w:rsidR="00830261" w:rsidRPr="005E15A8">
        <w:rPr>
          <w:rFonts w:ascii="Cambria" w:hAnsi="Cambria"/>
          <w:sz w:val="20"/>
          <w:szCs w:val="20"/>
        </w:rPr>
        <w:t xml:space="preserve"> </w:t>
      </w:r>
      <w:r w:rsidRPr="005E15A8">
        <w:rPr>
          <w:rFonts w:ascii="Cambria" w:hAnsi="Cambria"/>
          <w:sz w:val="20"/>
          <w:szCs w:val="20"/>
        </w:rPr>
        <w:t>(</w:t>
      </w:r>
      <w:r w:rsidR="004E0524" w:rsidRPr="005E15A8">
        <w:rPr>
          <w:rFonts w:ascii="Cambria" w:hAnsi="Cambria"/>
          <w:sz w:val="20"/>
          <w:szCs w:val="20"/>
        </w:rPr>
        <w:t xml:space="preserve">Rec. </w:t>
      </w:r>
      <w:r w:rsidRPr="005E15A8">
        <w:rPr>
          <w:rFonts w:ascii="Cambria" w:hAnsi="Cambria"/>
          <w:sz w:val="20"/>
          <w:szCs w:val="20"/>
        </w:rPr>
        <w:t>11-</w:t>
      </w:r>
      <w:r w:rsidR="00830261" w:rsidRPr="005E15A8">
        <w:rPr>
          <w:rFonts w:ascii="Cambria" w:hAnsi="Cambria"/>
          <w:sz w:val="20"/>
          <w:szCs w:val="20"/>
        </w:rPr>
        <w:t>13</w:t>
      </w:r>
      <w:r w:rsidRPr="005E15A8">
        <w:rPr>
          <w:rFonts w:ascii="Cambria" w:hAnsi="Cambria"/>
          <w:sz w:val="20"/>
          <w:szCs w:val="20"/>
        </w:rPr>
        <w:t xml:space="preserve">) et la </w:t>
      </w:r>
      <w:r w:rsidRPr="005E15A8">
        <w:rPr>
          <w:rFonts w:ascii="Cambria" w:hAnsi="Cambria"/>
          <w:i/>
          <w:iCs/>
          <w:sz w:val="20"/>
          <w:szCs w:val="20"/>
        </w:rPr>
        <w:t>Recommandation de l’ICCAT sur le développement de règles de contrôle de l’exploitation et d'une évaluation de la stratégie de gestion</w:t>
      </w:r>
      <w:r w:rsidRPr="005E15A8">
        <w:rPr>
          <w:rFonts w:ascii="Cambria" w:hAnsi="Cambria"/>
          <w:sz w:val="20"/>
          <w:szCs w:val="20"/>
        </w:rPr>
        <w:t xml:space="preserve"> (</w:t>
      </w:r>
      <w:r w:rsidR="004E0524" w:rsidRPr="005E15A8">
        <w:rPr>
          <w:rFonts w:ascii="Cambria" w:hAnsi="Cambria"/>
          <w:sz w:val="20"/>
          <w:szCs w:val="20"/>
        </w:rPr>
        <w:t xml:space="preserve">Rec. </w:t>
      </w:r>
      <w:r w:rsidRPr="005E15A8">
        <w:rPr>
          <w:rFonts w:ascii="Cambria" w:hAnsi="Cambria"/>
          <w:sz w:val="20"/>
          <w:szCs w:val="20"/>
        </w:rPr>
        <w:t>15-07)</w:t>
      </w:r>
      <w:r w:rsidR="00717A34" w:rsidRPr="005E15A8">
        <w:rPr>
          <w:rFonts w:ascii="Cambria" w:hAnsi="Cambria"/>
          <w:sz w:val="20"/>
          <w:szCs w:val="20"/>
        </w:rPr>
        <w:t> ;</w:t>
      </w:r>
      <w:r w:rsidR="004E0524" w:rsidRPr="005E15A8">
        <w:rPr>
          <w:rFonts w:ascii="Cambria" w:hAnsi="Cambria"/>
          <w:sz w:val="20"/>
          <w:szCs w:val="20"/>
        </w:rPr>
        <w:t xml:space="preserve"> </w:t>
      </w:r>
    </w:p>
    <w:p w14:paraId="57777E88" w14:textId="77777777" w:rsidR="00D244CC" w:rsidRPr="005E15A8" w:rsidRDefault="00D244CC" w:rsidP="00D244CC">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284"/>
        </w:tabs>
        <w:ind w:firstLine="425"/>
        <w:contextualSpacing/>
        <w:jc w:val="both"/>
        <w:rPr>
          <w:rFonts w:ascii="Cambria" w:hAnsi="Cambria"/>
          <w:color w:val="231F20"/>
          <w:sz w:val="20"/>
          <w:szCs w:val="20"/>
        </w:rPr>
      </w:pPr>
    </w:p>
    <w:p w14:paraId="2E525A76" w14:textId="79EE6C77" w:rsidR="00D244CC" w:rsidRPr="005E15A8" w:rsidRDefault="00D244CC" w:rsidP="00D244CC">
      <w:pPr>
        <w:ind w:firstLine="425"/>
        <w:contextualSpacing/>
        <w:jc w:val="both"/>
        <w:rPr>
          <w:rFonts w:ascii="Cambria" w:hAnsi="Cambria"/>
          <w:color w:val="231F20"/>
          <w:sz w:val="20"/>
          <w:szCs w:val="20"/>
        </w:rPr>
      </w:pPr>
      <w:r w:rsidRPr="005E15A8">
        <w:rPr>
          <w:rFonts w:ascii="Cambria" w:hAnsi="Cambria"/>
          <w:i/>
          <w:iCs/>
          <w:sz w:val="20"/>
          <w:szCs w:val="20"/>
        </w:rPr>
        <w:t>SE FÉLICITANT</w:t>
      </w:r>
      <w:r w:rsidRPr="005E15A8">
        <w:rPr>
          <w:rFonts w:ascii="Cambria" w:hAnsi="Cambria"/>
          <w:sz w:val="20"/>
          <w:szCs w:val="20"/>
        </w:rPr>
        <w:t xml:space="preserve"> du plan de travail du SCRS sur le thon rouge pour 2022, incluant plusieurs réunions de dialogue entre gestionnaires et scientifiques avec la Sous-commission 2, afin de s'assurer que le processus de MSE puisse être achevé dans les délais prévus et prévoyant que le SCRS achèvera la MSE, y compris la présentation de procédures de gestion potentielles à la Commission aux fins d'examen, en 2022, en vue de l'adoption d'une procédure de gestion pour fixer les TAC à partir de 2023</w:t>
      </w:r>
      <w:r w:rsidR="00443D70" w:rsidRPr="005E15A8">
        <w:rPr>
          <w:rFonts w:ascii="Cambria" w:hAnsi="Cambria"/>
          <w:sz w:val="20"/>
          <w:szCs w:val="20"/>
        </w:rPr>
        <w:t> </w:t>
      </w:r>
      <w:r w:rsidR="00FD3306" w:rsidRPr="005E15A8">
        <w:rPr>
          <w:rFonts w:ascii="Cambria" w:hAnsi="Cambria"/>
          <w:sz w:val="20"/>
          <w:szCs w:val="20"/>
        </w:rPr>
        <w:t xml:space="preserve">et au-delà </w:t>
      </w:r>
      <w:r w:rsidR="00443D70" w:rsidRPr="005E15A8">
        <w:rPr>
          <w:rFonts w:ascii="Cambria" w:hAnsi="Cambria"/>
          <w:sz w:val="20"/>
          <w:szCs w:val="20"/>
        </w:rPr>
        <w:t>;</w:t>
      </w:r>
    </w:p>
    <w:p w14:paraId="4C805706" w14:textId="77777777" w:rsidR="00D244CC" w:rsidRPr="005E15A8" w:rsidRDefault="00D244CC" w:rsidP="00D244CC">
      <w:pPr>
        <w:ind w:firstLine="425"/>
        <w:contextualSpacing/>
        <w:jc w:val="both"/>
        <w:rPr>
          <w:rFonts w:ascii="Cambria" w:hAnsi="Cambria"/>
          <w:color w:val="231F20"/>
          <w:sz w:val="20"/>
          <w:szCs w:val="20"/>
        </w:rPr>
      </w:pPr>
    </w:p>
    <w:p w14:paraId="28651B63" w14:textId="77777777" w:rsidR="00D244CC" w:rsidRPr="005E15A8" w:rsidRDefault="00D244CC" w:rsidP="00D244CC">
      <w:pPr>
        <w:pStyle w:val="Default"/>
        <w:ind w:firstLine="425"/>
        <w:contextualSpacing/>
        <w:jc w:val="both"/>
        <w:rPr>
          <w:rFonts w:ascii="Times New Roman" w:hAnsi="Times New Roman"/>
          <w:sz w:val="20"/>
          <w:szCs w:val="20"/>
        </w:rPr>
      </w:pPr>
      <w:r w:rsidRPr="005E15A8">
        <w:rPr>
          <w:i/>
          <w:iCs/>
          <w:color w:val="333333"/>
          <w:sz w:val="20"/>
          <w:szCs w:val="20"/>
        </w:rPr>
        <w:t>S'ENGAGEANT</w:t>
      </w:r>
      <w:r w:rsidRPr="005E15A8">
        <w:rPr>
          <w:color w:val="333333"/>
          <w:sz w:val="20"/>
          <w:szCs w:val="20"/>
        </w:rPr>
        <w:t xml:space="preserve"> par conséquent, entre-temps, à établir un TAC de précaution qui empêche la surpêche avec une forte probabilité, donne la priorité à la croissance continue du stock, y compris à long terme, et assure une stabilité relative en évitant une grande fluctuation des captures ; </w:t>
      </w:r>
    </w:p>
    <w:p w14:paraId="4356D352" w14:textId="77777777" w:rsidR="001B2B74" w:rsidRPr="005E15A8" w:rsidRDefault="001B2B74">
      <w:pPr>
        <w:rPr>
          <w:rFonts w:ascii="Cambria" w:hAnsi="Cambria"/>
          <w:color w:val="231F20"/>
          <w:sz w:val="20"/>
          <w:szCs w:val="20"/>
        </w:rPr>
      </w:pPr>
      <w:r w:rsidRPr="005E15A8">
        <w:rPr>
          <w:rFonts w:ascii="Cambria" w:hAnsi="Cambria"/>
          <w:color w:val="231F20"/>
          <w:sz w:val="20"/>
          <w:szCs w:val="20"/>
        </w:rPr>
        <w:br w:type="page"/>
      </w:r>
    </w:p>
    <w:p w14:paraId="25A82A48" w14:textId="77777777" w:rsidR="002911C0" w:rsidRPr="005E15A8" w:rsidRDefault="0056447F" w:rsidP="00AD6AA0">
      <w:pPr>
        <w:ind w:right="-1"/>
        <w:jc w:val="center"/>
        <w:rPr>
          <w:rFonts w:ascii="Cambria" w:hAnsi="Cambria"/>
          <w:color w:val="231F20"/>
          <w:sz w:val="20"/>
          <w:szCs w:val="20"/>
        </w:rPr>
      </w:pPr>
      <w:r w:rsidRPr="005E15A8">
        <w:rPr>
          <w:rFonts w:ascii="Cambria" w:hAnsi="Cambria"/>
          <w:color w:val="231F20"/>
          <w:sz w:val="20"/>
          <w:szCs w:val="20"/>
        </w:rPr>
        <w:lastRenderedPageBreak/>
        <w:t>LA COMMISSION INTERNATIONALE POUR LA CONSERVATION</w:t>
      </w:r>
    </w:p>
    <w:p w14:paraId="6D669FCA" w14:textId="524E6C93" w:rsidR="00DB393E" w:rsidRPr="005E15A8" w:rsidRDefault="0056447F" w:rsidP="00AD6AA0">
      <w:pPr>
        <w:ind w:right="-1"/>
        <w:jc w:val="center"/>
        <w:rPr>
          <w:rFonts w:ascii="Cambria" w:hAnsi="Cambria"/>
          <w:sz w:val="20"/>
          <w:szCs w:val="20"/>
        </w:rPr>
      </w:pPr>
      <w:r w:rsidRPr="005E15A8">
        <w:rPr>
          <w:rFonts w:ascii="Cambria" w:hAnsi="Cambria"/>
          <w:color w:val="231F20"/>
          <w:sz w:val="20"/>
          <w:szCs w:val="20"/>
        </w:rPr>
        <w:t>DES THONIDÉS DE L’ATLANTIQUE (ICCAT) RECOMMANDE CE QUI SUIT :</w:t>
      </w:r>
    </w:p>
    <w:p w14:paraId="150CED04" w14:textId="77777777" w:rsidR="00DB393E" w:rsidRPr="005E15A8" w:rsidRDefault="00DB393E" w:rsidP="005B2C2B">
      <w:pPr>
        <w:rPr>
          <w:rFonts w:ascii="Cambria" w:hAnsi="Cambria"/>
          <w:sz w:val="20"/>
          <w:szCs w:val="20"/>
        </w:rPr>
      </w:pPr>
    </w:p>
    <w:p w14:paraId="0FD050BE" w14:textId="561836A0" w:rsidR="00C561E9" w:rsidRPr="005E15A8" w:rsidRDefault="00BB4C2C" w:rsidP="00BB4C2C">
      <w:pPr>
        <w:pBdr>
          <w:top w:val="none" w:sz="0" w:space="0" w:color="auto"/>
          <w:left w:val="none" w:sz="0" w:space="0" w:color="auto"/>
          <w:bottom w:val="none" w:sz="0" w:space="0" w:color="auto"/>
          <w:right w:val="none" w:sz="0" w:space="0" w:color="auto"/>
          <w:between w:val="none" w:sz="0" w:space="0" w:color="auto"/>
        </w:pBdr>
        <w:ind w:left="426" w:hanging="426"/>
        <w:rPr>
          <w:rFonts w:ascii="Cambria" w:hAnsi="Cambria"/>
          <w:b/>
          <w:i/>
          <w:sz w:val="20"/>
          <w:szCs w:val="20"/>
        </w:rPr>
      </w:pPr>
      <w:r w:rsidRPr="005E15A8">
        <w:rPr>
          <w:rFonts w:ascii="Cambria" w:hAnsi="Cambria"/>
          <w:color w:val="211E1E"/>
          <w:sz w:val="20"/>
          <w:szCs w:val="20"/>
        </w:rPr>
        <w:t>1.</w:t>
      </w:r>
      <w:r w:rsidRPr="005E15A8">
        <w:rPr>
          <w:rFonts w:ascii="Cambria" w:hAnsi="Cambria"/>
          <w:color w:val="211E1E"/>
          <w:sz w:val="20"/>
          <w:szCs w:val="20"/>
        </w:rPr>
        <w:tab/>
        <w:t xml:space="preserve">Les dispositions de la </w:t>
      </w:r>
      <w:r w:rsidRPr="005E15A8">
        <w:rPr>
          <w:rFonts w:ascii="Cambria" w:hAnsi="Cambria"/>
          <w:i/>
          <w:iCs/>
          <w:color w:val="211E1E"/>
          <w:sz w:val="20"/>
          <w:szCs w:val="20"/>
        </w:rPr>
        <w:t>Recommandation de l’ICCAT concernant un plan provisoire de conservation et de gestion du thon rouge de l’Atlantique Ouest</w:t>
      </w:r>
      <w:r w:rsidRPr="005E15A8">
        <w:rPr>
          <w:rFonts w:ascii="Cambria" w:hAnsi="Cambria"/>
          <w:color w:val="211E1E"/>
          <w:sz w:val="20"/>
          <w:szCs w:val="20"/>
        </w:rPr>
        <w:t xml:space="preserve"> (Rec. 17-06) devront être prorogées jusqu’à la fin de </w:t>
      </w:r>
      <w:r w:rsidR="0080232F" w:rsidRPr="005E15A8">
        <w:rPr>
          <w:rFonts w:ascii="Cambria" w:hAnsi="Cambria"/>
          <w:color w:val="211E1E"/>
          <w:sz w:val="20"/>
          <w:szCs w:val="20"/>
        </w:rPr>
        <w:t>2022</w:t>
      </w:r>
      <w:r w:rsidRPr="005E15A8">
        <w:rPr>
          <w:rFonts w:ascii="Cambria" w:hAnsi="Cambria"/>
          <w:color w:val="211E1E"/>
          <w:sz w:val="20"/>
          <w:szCs w:val="20"/>
        </w:rPr>
        <w:t xml:space="preserve"> avec les modifications suivantes :</w:t>
      </w:r>
    </w:p>
    <w:p w14:paraId="258301CF" w14:textId="77777777" w:rsidR="004606FD" w:rsidRPr="005E15A8" w:rsidRDefault="004606FD" w:rsidP="005B2C2B">
      <w:pPr>
        <w:rPr>
          <w:rFonts w:ascii="Cambria" w:hAnsi="Cambria"/>
          <w:b/>
          <w:i/>
          <w:sz w:val="20"/>
          <w:szCs w:val="20"/>
        </w:rPr>
      </w:pPr>
    </w:p>
    <w:p w14:paraId="7D18F6B3" w14:textId="2A217C10" w:rsidR="00C561E9" w:rsidRPr="005E15A8" w:rsidRDefault="00C561E9" w:rsidP="00707460">
      <w:pPr>
        <w:ind w:left="426"/>
        <w:rPr>
          <w:rFonts w:ascii="Cambria" w:hAnsi="Cambria"/>
          <w:bCs/>
          <w:iCs/>
          <w:sz w:val="20"/>
          <w:szCs w:val="20"/>
        </w:rPr>
      </w:pPr>
      <w:r w:rsidRPr="005E15A8">
        <w:rPr>
          <w:rFonts w:ascii="Cambria" w:hAnsi="Cambria"/>
          <w:bCs/>
          <w:iCs/>
          <w:sz w:val="20"/>
          <w:szCs w:val="20"/>
        </w:rPr>
        <w:t>(</w:t>
      </w:r>
      <w:r w:rsidR="0080232F" w:rsidRPr="005E15A8">
        <w:rPr>
          <w:rFonts w:ascii="Cambria" w:hAnsi="Cambria"/>
          <w:bCs/>
          <w:iCs/>
          <w:sz w:val="20"/>
          <w:szCs w:val="20"/>
        </w:rPr>
        <w:t>A</w:t>
      </w:r>
      <w:r w:rsidRPr="005E15A8">
        <w:rPr>
          <w:rFonts w:ascii="Cambria" w:hAnsi="Cambria"/>
          <w:bCs/>
          <w:iCs/>
          <w:sz w:val="20"/>
          <w:szCs w:val="20"/>
        </w:rPr>
        <w:t xml:space="preserve">) Le paragraphe 1 devra être </w:t>
      </w:r>
      <w:r w:rsidR="001776EA" w:rsidRPr="005E15A8">
        <w:rPr>
          <w:rFonts w:ascii="Cambria" w:hAnsi="Cambria"/>
          <w:bCs/>
          <w:iCs/>
          <w:sz w:val="20"/>
          <w:szCs w:val="20"/>
        </w:rPr>
        <w:t>remplacé par le texte suivant :</w:t>
      </w:r>
    </w:p>
    <w:p w14:paraId="70AE3207" w14:textId="77777777" w:rsidR="00C561E9" w:rsidRPr="005E15A8" w:rsidRDefault="00C561E9" w:rsidP="00707460">
      <w:pPr>
        <w:ind w:left="426"/>
        <w:jc w:val="both"/>
        <w:rPr>
          <w:rFonts w:ascii="Cambria" w:hAnsi="Cambria"/>
          <w:bCs/>
          <w:iCs/>
          <w:sz w:val="20"/>
          <w:szCs w:val="20"/>
          <w:lang w:eastAsia="ja-JP"/>
        </w:rPr>
      </w:pPr>
    </w:p>
    <w:p w14:paraId="3295369E" w14:textId="034246A5" w:rsidR="00C561E9" w:rsidRPr="005E15A8" w:rsidRDefault="00C561E9" w:rsidP="00C14F97">
      <w:pPr>
        <w:ind w:leftChars="322" w:left="1132" w:rightChars="192" w:right="422" w:hanging="424"/>
        <w:jc w:val="both"/>
        <w:rPr>
          <w:rFonts w:ascii="Cambria" w:hAnsi="Cambria"/>
          <w:color w:val="231F20"/>
          <w:sz w:val="20"/>
          <w:szCs w:val="20"/>
        </w:rPr>
      </w:pPr>
      <w:r w:rsidRPr="005E15A8">
        <w:rPr>
          <w:rFonts w:ascii="Cambria" w:hAnsi="Cambria"/>
          <w:bCs/>
          <w:iCs/>
          <w:sz w:val="20"/>
          <w:szCs w:val="20"/>
        </w:rPr>
        <w:t xml:space="preserve">« 1. </w:t>
      </w:r>
      <w:r w:rsidR="00C14F97" w:rsidRPr="005E15A8">
        <w:rPr>
          <w:rFonts w:ascii="Cambria" w:hAnsi="Cambria"/>
          <w:bCs/>
          <w:iCs/>
          <w:sz w:val="20"/>
          <w:szCs w:val="20"/>
        </w:rPr>
        <w:tab/>
      </w:r>
      <w:r w:rsidRPr="005E15A8">
        <w:rPr>
          <w:rFonts w:ascii="Cambria" w:hAnsi="Cambria"/>
          <w:color w:val="231F20"/>
          <w:sz w:val="20"/>
          <w:szCs w:val="20"/>
        </w:rPr>
        <w:t xml:space="preserve">Les Parties contractantes et les Parties, Entités ou Entités de pêche non contractantes coopérantes (CPC) dont les navires </w:t>
      </w:r>
      <w:r w:rsidR="005D2E8C" w:rsidRPr="005E15A8">
        <w:rPr>
          <w:rFonts w:ascii="Cambria" w:hAnsi="Cambria"/>
          <w:color w:val="231F20"/>
          <w:sz w:val="20"/>
          <w:szCs w:val="20"/>
        </w:rPr>
        <w:t xml:space="preserve">ont pêché activement </w:t>
      </w:r>
      <w:r w:rsidRPr="005E15A8">
        <w:rPr>
          <w:rFonts w:ascii="Cambria" w:hAnsi="Cambria"/>
          <w:color w:val="231F20"/>
          <w:sz w:val="20"/>
          <w:szCs w:val="20"/>
        </w:rPr>
        <w:t>du thon rouge dans l’Atlantique Ouest devront mettre en œuvre le plan provisoire de conservation et de gestion ci-après</w:t>
      </w:r>
      <w:r w:rsidR="00830C04" w:rsidRPr="005E15A8">
        <w:rPr>
          <w:rFonts w:ascii="Cambria" w:hAnsi="Cambria"/>
          <w:color w:val="231F20"/>
          <w:sz w:val="20"/>
          <w:szCs w:val="20"/>
        </w:rPr>
        <w:t xml:space="preserve"> pour la période </w:t>
      </w:r>
      <w:r w:rsidR="0080232F" w:rsidRPr="005E15A8">
        <w:rPr>
          <w:rFonts w:ascii="Cambria" w:hAnsi="Cambria"/>
          <w:color w:val="231F20"/>
          <w:sz w:val="20"/>
          <w:szCs w:val="20"/>
        </w:rPr>
        <w:t>2022</w:t>
      </w:r>
      <w:r w:rsidRPr="005E15A8">
        <w:rPr>
          <w:rFonts w:ascii="Cambria" w:hAnsi="Cambria"/>
          <w:color w:val="231F20"/>
          <w:sz w:val="20"/>
          <w:szCs w:val="20"/>
        </w:rPr>
        <w:t>. »</w:t>
      </w:r>
    </w:p>
    <w:p w14:paraId="68BBEEC1" w14:textId="0E7B3808" w:rsidR="00C561E9" w:rsidRPr="005E15A8" w:rsidRDefault="00C561E9" w:rsidP="00707460">
      <w:pPr>
        <w:ind w:left="426"/>
        <w:rPr>
          <w:rFonts w:ascii="Cambria" w:hAnsi="Cambria"/>
          <w:color w:val="231F20"/>
          <w:sz w:val="20"/>
          <w:szCs w:val="20"/>
        </w:rPr>
      </w:pPr>
    </w:p>
    <w:p w14:paraId="28215576" w14:textId="74EB8505" w:rsidR="00C561E9" w:rsidRPr="005E15A8" w:rsidRDefault="00C561E9" w:rsidP="00707460">
      <w:pPr>
        <w:ind w:left="426"/>
        <w:rPr>
          <w:rFonts w:ascii="Cambria" w:hAnsi="Cambria"/>
          <w:color w:val="231F20"/>
          <w:sz w:val="20"/>
          <w:szCs w:val="20"/>
        </w:rPr>
      </w:pPr>
      <w:r w:rsidRPr="005E15A8">
        <w:rPr>
          <w:rFonts w:ascii="Cambria" w:hAnsi="Cambria"/>
          <w:color w:val="231F20"/>
          <w:sz w:val="20"/>
          <w:szCs w:val="20"/>
        </w:rPr>
        <w:t>(</w:t>
      </w:r>
      <w:r w:rsidR="0080232F" w:rsidRPr="005E15A8">
        <w:rPr>
          <w:rFonts w:ascii="Cambria" w:hAnsi="Cambria"/>
          <w:color w:val="231F20"/>
          <w:sz w:val="20"/>
          <w:szCs w:val="20"/>
        </w:rPr>
        <w:t>B</w:t>
      </w:r>
      <w:r w:rsidRPr="005E15A8">
        <w:rPr>
          <w:rFonts w:ascii="Cambria" w:hAnsi="Cambria"/>
          <w:color w:val="231F20"/>
          <w:sz w:val="20"/>
          <w:szCs w:val="20"/>
        </w:rPr>
        <w:t xml:space="preserve">) Le paragraphe 3 devra être </w:t>
      </w:r>
      <w:r w:rsidR="001776EA" w:rsidRPr="005E15A8">
        <w:rPr>
          <w:rFonts w:ascii="Cambria" w:hAnsi="Cambria"/>
          <w:color w:val="231F20"/>
          <w:sz w:val="20"/>
          <w:szCs w:val="20"/>
        </w:rPr>
        <w:t>remplacé par le texte suivant :</w:t>
      </w:r>
    </w:p>
    <w:p w14:paraId="1C474232" w14:textId="025BBE6A" w:rsidR="00844DAB" w:rsidRPr="005E15A8" w:rsidRDefault="00844DAB" w:rsidP="00CD1ED5">
      <w:pPr>
        <w:rPr>
          <w:rFonts w:ascii="Cambria" w:hAnsi="Cambria"/>
          <w:color w:val="231F20"/>
          <w:sz w:val="20"/>
          <w:szCs w:val="20"/>
        </w:rPr>
      </w:pPr>
    </w:p>
    <w:p w14:paraId="48E5C097" w14:textId="06F04A01" w:rsidR="006A0473" w:rsidRPr="005E15A8" w:rsidRDefault="00C561E9" w:rsidP="00C14F97">
      <w:pPr>
        <w:ind w:leftChars="322" w:left="1132" w:rightChars="192" w:right="422" w:hanging="424"/>
        <w:jc w:val="both"/>
        <w:rPr>
          <w:rFonts w:ascii="Cambria" w:hAnsi="Cambria"/>
          <w:color w:val="231F20"/>
          <w:sz w:val="20"/>
          <w:szCs w:val="20"/>
        </w:rPr>
      </w:pPr>
      <w:r w:rsidRPr="005E15A8">
        <w:rPr>
          <w:rFonts w:ascii="Cambria" w:hAnsi="Cambria"/>
          <w:color w:val="231F20"/>
          <w:sz w:val="20"/>
          <w:szCs w:val="20"/>
        </w:rPr>
        <w:t>« 3.</w:t>
      </w:r>
      <w:r w:rsidR="00C14F97" w:rsidRPr="005E15A8">
        <w:rPr>
          <w:rFonts w:ascii="Cambria" w:hAnsi="Cambria"/>
          <w:color w:val="231F20"/>
          <w:sz w:val="20"/>
          <w:szCs w:val="20"/>
        </w:rPr>
        <w:tab/>
      </w:r>
      <w:r w:rsidRPr="005E15A8">
        <w:rPr>
          <w:rFonts w:ascii="Cambria" w:hAnsi="Cambria"/>
          <w:color w:val="231F20"/>
          <w:sz w:val="20"/>
          <w:szCs w:val="20"/>
        </w:rPr>
        <w:t>Le total de prises admissibles (TAC)</w:t>
      </w:r>
      <w:r w:rsidR="002911C0" w:rsidRPr="005E15A8">
        <w:rPr>
          <w:rFonts w:ascii="Cambria" w:hAnsi="Cambria"/>
          <w:color w:val="231F20"/>
          <w:sz w:val="20"/>
          <w:szCs w:val="20"/>
        </w:rPr>
        <w:t xml:space="preserve"> annuel</w:t>
      </w:r>
      <w:r w:rsidRPr="005E15A8">
        <w:rPr>
          <w:rFonts w:ascii="Cambria" w:hAnsi="Cambria"/>
          <w:color w:val="231F20"/>
          <w:sz w:val="20"/>
          <w:szCs w:val="20"/>
        </w:rPr>
        <w:t xml:space="preserve">, rejets morts y compris, à hauteur de </w:t>
      </w:r>
      <w:r w:rsidR="00C63FC8" w:rsidRPr="005E15A8">
        <w:rPr>
          <w:rFonts w:ascii="Cambria" w:hAnsi="Cambria"/>
          <w:color w:val="231F20"/>
          <w:sz w:val="20"/>
          <w:szCs w:val="20"/>
        </w:rPr>
        <w:t>2.726</w:t>
      </w:r>
      <w:r w:rsidR="0080232F" w:rsidRPr="005E15A8">
        <w:rPr>
          <w:rFonts w:ascii="Cambria" w:hAnsi="Cambria"/>
          <w:color w:val="231F20"/>
          <w:sz w:val="20"/>
          <w:szCs w:val="20"/>
        </w:rPr>
        <w:t> </w:t>
      </w:r>
      <w:r w:rsidRPr="005E15A8">
        <w:rPr>
          <w:rFonts w:ascii="Cambria" w:hAnsi="Cambria"/>
          <w:color w:val="231F20"/>
          <w:sz w:val="20"/>
          <w:szCs w:val="20"/>
        </w:rPr>
        <w:t xml:space="preserve">t est établi au titre de </w:t>
      </w:r>
      <w:r w:rsidR="0080232F" w:rsidRPr="005E15A8">
        <w:rPr>
          <w:rFonts w:ascii="Cambria" w:hAnsi="Cambria"/>
          <w:color w:val="231F20"/>
          <w:sz w:val="20"/>
          <w:szCs w:val="20"/>
        </w:rPr>
        <w:t>2022</w:t>
      </w:r>
      <w:r w:rsidRPr="005E15A8">
        <w:rPr>
          <w:rFonts w:ascii="Cambria" w:hAnsi="Cambria"/>
          <w:color w:val="231F20"/>
          <w:sz w:val="20"/>
          <w:szCs w:val="20"/>
        </w:rPr>
        <w:t>. »</w:t>
      </w:r>
    </w:p>
    <w:p w14:paraId="33B84966" w14:textId="311A3ECF" w:rsidR="00A617C7" w:rsidRPr="005E15A8" w:rsidRDefault="00A617C7" w:rsidP="00A617C7">
      <w:pPr>
        <w:ind w:leftChars="386" w:left="849" w:rightChars="192" w:right="422" w:firstLine="3"/>
        <w:jc w:val="both"/>
        <w:rPr>
          <w:rFonts w:ascii="Cambria" w:hAnsi="Cambria"/>
          <w:color w:val="231F20"/>
          <w:sz w:val="20"/>
          <w:szCs w:val="20"/>
        </w:rPr>
      </w:pPr>
    </w:p>
    <w:p w14:paraId="019FAD0B" w14:textId="48AECDBF" w:rsidR="00C561E9" w:rsidRPr="005E15A8" w:rsidRDefault="00C561E9" w:rsidP="00707460">
      <w:pPr>
        <w:ind w:left="426"/>
        <w:rPr>
          <w:rFonts w:ascii="Cambria" w:eastAsia="Cambria" w:hAnsi="Cambria" w:cs="Cambria"/>
          <w:color w:val="231F20"/>
          <w:sz w:val="20"/>
          <w:szCs w:val="20"/>
        </w:rPr>
      </w:pPr>
      <w:r w:rsidRPr="005E15A8">
        <w:rPr>
          <w:rFonts w:ascii="Cambria" w:hAnsi="Cambria"/>
          <w:color w:val="231F20"/>
          <w:sz w:val="20"/>
          <w:szCs w:val="20"/>
        </w:rPr>
        <w:t>(</w:t>
      </w:r>
      <w:r w:rsidR="0080232F" w:rsidRPr="005E15A8">
        <w:rPr>
          <w:rFonts w:ascii="Cambria" w:hAnsi="Cambria"/>
          <w:color w:val="231F20"/>
          <w:sz w:val="20"/>
          <w:szCs w:val="20"/>
        </w:rPr>
        <w:t>C</w:t>
      </w:r>
      <w:r w:rsidRPr="005E15A8">
        <w:rPr>
          <w:rFonts w:ascii="Cambria" w:hAnsi="Cambria"/>
          <w:color w:val="231F20"/>
          <w:sz w:val="20"/>
          <w:szCs w:val="20"/>
        </w:rPr>
        <w:t xml:space="preserve">) Le paragraphe 4 devra être </w:t>
      </w:r>
      <w:r w:rsidR="001776EA" w:rsidRPr="005E15A8">
        <w:rPr>
          <w:rFonts w:ascii="Cambria" w:hAnsi="Cambria"/>
          <w:color w:val="231F20"/>
          <w:sz w:val="20"/>
          <w:szCs w:val="20"/>
        </w:rPr>
        <w:t>remplacé par le texte suivant :</w:t>
      </w:r>
    </w:p>
    <w:p w14:paraId="31D31B33" w14:textId="77777777" w:rsidR="00C561E9" w:rsidRPr="005E15A8" w:rsidRDefault="00C561E9" w:rsidP="00707460">
      <w:pPr>
        <w:tabs>
          <w:tab w:val="left" w:pos="530"/>
        </w:tabs>
        <w:ind w:left="426" w:right="134"/>
        <w:jc w:val="both"/>
        <w:rPr>
          <w:rFonts w:ascii="Cambria" w:eastAsia="Cambria" w:hAnsi="Cambria" w:cs="Cambria"/>
          <w:color w:val="231F20"/>
          <w:sz w:val="20"/>
          <w:szCs w:val="20"/>
        </w:rPr>
      </w:pPr>
    </w:p>
    <w:p w14:paraId="34ED9323" w14:textId="2632468B" w:rsidR="0080232F" w:rsidRPr="005E15A8" w:rsidRDefault="0080232F" w:rsidP="00C14F97">
      <w:pPr>
        <w:ind w:leftChars="322" w:left="1132" w:rightChars="192" w:right="422" w:hanging="424"/>
        <w:jc w:val="both"/>
        <w:rPr>
          <w:rFonts w:ascii="Cambria" w:eastAsia="Cambria" w:hAnsi="Cambria" w:cs="Cambria"/>
          <w:sz w:val="20"/>
          <w:szCs w:val="20"/>
        </w:rPr>
      </w:pPr>
      <w:r w:rsidRPr="005E15A8">
        <w:rPr>
          <w:rFonts w:ascii="Cambria" w:hAnsi="Cambria"/>
          <w:color w:val="231F20"/>
          <w:sz w:val="20"/>
          <w:szCs w:val="20"/>
        </w:rPr>
        <w:t>« 4.</w:t>
      </w:r>
      <w:r w:rsidR="00C14F97" w:rsidRPr="005E15A8">
        <w:rPr>
          <w:rFonts w:ascii="Cambria" w:hAnsi="Cambria"/>
          <w:color w:val="231F20"/>
          <w:sz w:val="20"/>
          <w:szCs w:val="20"/>
        </w:rPr>
        <w:tab/>
      </w:r>
      <w:r w:rsidRPr="005E15A8">
        <w:rPr>
          <w:rFonts w:ascii="Cambria" w:hAnsi="Cambria"/>
          <w:color w:val="231F20"/>
          <w:sz w:val="20"/>
          <w:szCs w:val="20"/>
        </w:rPr>
        <w:t>Si le processus de MSE n'est pas achevé afin de permettre l'adoption d'une procédure de gestion (MP) en 2022, la Commission devra établir un TAC pour 2023 en tenant compte de l'avis supplémentaire du SCRS en 2022, qui inclurait la prise en considération des actualisations des indicateurs de pêche. En appui à l'élaboration de cet avis, les CPC devront déployer des efforts particuliers, entre autres, pour actualiser les indices d'abondance et autres indicateurs de pêche en 2022 et les fournir au SCRS. »</w:t>
      </w:r>
    </w:p>
    <w:p w14:paraId="13EC7B69" w14:textId="77777777" w:rsidR="00AA1176" w:rsidRPr="005E15A8" w:rsidRDefault="00AA1176" w:rsidP="00707460">
      <w:pPr>
        <w:tabs>
          <w:tab w:val="left" w:pos="530"/>
        </w:tabs>
        <w:ind w:left="426" w:right="-1"/>
        <w:jc w:val="both"/>
        <w:rPr>
          <w:rFonts w:ascii="Cambria" w:hAnsi="Cambria"/>
          <w:sz w:val="20"/>
          <w:szCs w:val="20"/>
        </w:rPr>
      </w:pPr>
    </w:p>
    <w:p w14:paraId="148F1FB7" w14:textId="0F79E88E" w:rsidR="0064289C" w:rsidRPr="005E15A8" w:rsidRDefault="00C561E9" w:rsidP="00707460">
      <w:pPr>
        <w:ind w:left="426" w:right="-1"/>
        <w:jc w:val="both"/>
        <w:rPr>
          <w:rFonts w:ascii="Cambria" w:hAnsi="Cambria"/>
          <w:sz w:val="20"/>
          <w:szCs w:val="20"/>
        </w:rPr>
      </w:pPr>
      <w:r w:rsidRPr="005E15A8">
        <w:rPr>
          <w:rFonts w:ascii="Cambria" w:hAnsi="Cambria"/>
          <w:sz w:val="20"/>
          <w:szCs w:val="20"/>
        </w:rPr>
        <w:t>(</w:t>
      </w:r>
      <w:r w:rsidR="0080232F" w:rsidRPr="005E15A8">
        <w:rPr>
          <w:rFonts w:ascii="Cambria" w:hAnsi="Cambria"/>
          <w:sz w:val="20"/>
          <w:szCs w:val="20"/>
        </w:rPr>
        <w:t>D</w:t>
      </w:r>
      <w:r w:rsidRPr="005E15A8">
        <w:rPr>
          <w:rFonts w:ascii="Cambria" w:hAnsi="Cambria"/>
          <w:sz w:val="20"/>
          <w:szCs w:val="20"/>
        </w:rPr>
        <w:t>) Le paragraphe 6 devra être</w:t>
      </w:r>
      <w:r w:rsidR="001776EA" w:rsidRPr="005E15A8">
        <w:rPr>
          <w:rFonts w:ascii="Cambria" w:hAnsi="Cambria"/>
          <w:sz w:val="20"/>
          <w:szCs w:val="20"/>
        </w:rPr>
        <w:t xml:space="preserve"> remplacé par le texte suivant :</w:t>
      </w:r>
    </w:p>
    <w:p w14:paraId="372C7B16" w14:textId="407ABE34" w:rsidR="00C561E9" w:rsidRPr="005E15A8" w:rsidRDefault="00C561E9" w:rsidP="00707460">
      <w:pPr>
        <w:tabs>
          <w:tab w:val="left" w:pos="530"/>
        </w:tabs>
        <w:ind w:left="426" w:right="-1"/>
        <w:jc w:val="both"/>
        <w:rPr>
          <w:rFonts w:ascii="Cambria" w:hAnsi="Cambria"/>
          <w:sz w:val="20"/>
          <w:szCs w:val="20"/>
          <w:lang w:eastAsia="ja-JP"/>
        </w:rPr>
      </w:pPr>
    </w:p>
    <w:p w14:paraId="0E0184E7" w14:textId="314C13B7" w:rsidR="00DB393E" w:rsidRPr="005E15A8" w:rsidRDefault="00C561E9" w:rsidP="00C14F97">
      <w:pPr>
        <w:ind w:leftChars="322" w:left="1132" w:rightChars="192" w:right="422" w:hanging="424"/>
        <w:jc w:val="both"/>
        <w:rPr>
          <w:rFonts w:ascii="Cambria" w:hAnsi="Cambria"/>
          <w:sz w:val="20"/>
          <w:szCs w:val="20"/>
        </w:rPr>
      </w:pPr>
      <w:r w:rsidRPr="005E15A8">
        <w:rPr>
          <w:rFonts w:ascii="Cambria" w:hAnsi="Cambria"/>
          <w:sz w:val="20"/>
          <w:szCs w:val="20"/>
        </w:rPr>
        <w:t>« 6.</w:t>
      </w:r>
      <w:r w:rsidR="00C14F97" w:rsidRPr="005E15A8">
        <w:rPr>
          <w:rFonts w:ascii="Cambria" w:hAnsi="Cambria"/>
          <w:sz w:val="20"/>
          <w:szCs w:val="20"/>
        </w:rPr>
        <w:tab/>
      </w:r>
      <w:r w:rsidRPr="005E15A8">
        <w:rPr>
          <w:rFonts w:ascii="Cambria" w:hAnsi="Cambria"/>
          <w:color w:val="231F20"/>
          <w:sz w:val="20"/>
          <w:szCs w:val="20"/>
        </w:rPr>
        <w:t>L’allocation</w:t>
      </w:r>
      <w:r w:rsidRPr="005E15A8">
        <w:rPr>
          <w:rFonts w:ascii="Cambria" w:hAnsi="Cambria"/>
          <w:sz w:val="20"/>
          <w:szCs w:val="20"/>
        </w:rPr>
        <w:t xml:space="preserve"> </w:t>
      </w:r>
      <w:r w:rsidRPr="005E15A8">
        <w:rPr>
          <w:rFonts w:ascii="Cambria" w:hAnsi="Cambria"/>
          <w:color w:val="231F20"/>
          <w:sz w:val="20"/>
          <w:szCs w:val="20"/>
        </w:rPr>
        <w:t>du</w:t>
      </w:r>
      <w:r w:rsidRPr="005E15A8">
        <w:rPr>
          <w:rFonts w:ascii="Cambria" w:hAnsi="Cambria"/>
          <w:sz w:val="20"/>
          <w:szCs w:val="20"/>
        </w:rPr>
        <w:t xml:space="preserve"> TAC annuel, rejets morts </w:t>
      </w:r>
      <w:r w:rsidR="002911C0" w:rsidRPr="005E15A8">
        <w:rPr>
          <w:rFonts w:ascii="Cambria" w:hAnsi="Cambria"/>
          <w:sz w:val="20"/>
          <w:szCs w:val="20"/>
        </w:rPr>
        <w:t xml:space="preserve">y </w:t>
      </w:r>
      <w:r w:rsidRPr="005E15A8">
        <w:rPr>
          <w:rFonts w:ascii="Cambria" w:hAnsi="Cambria"/>
          <w:sz w:val="20"/>
          <w:szCs w:val="20"/>
        </w:rPr>
        <w:t>compris, sera indiquée comme suit</w:t>
      </w:r>
      <w:r w:rsidR="00830C04" w:rsidRPr="005E15A8">
        <w:rPr>
          <w:rFonts w:ascii="Cambria" w:hAnsi="Cambria"/>
          <w:sz w:val="20"/>
          <w:szCs w:val="20"/>
        </w:rPr>
        <w:t> :</w:t>
      </w:r>
    </w:p>
    <w:p w14:paraId="6B5448EA" w14:textId="77777777" w:rsidR="00977C4F" w:rsidRPr="005E15A8" w:rsidRDefault="00977C4F" w:rsidP="00977C4F">
      <w:pPr>
        <w:pStyle w:val="ListParagraph"/>
        <w:rPr>
          <w:rFonts w:ascii="Cambria" w:hAnsi="Cambria"/>
          <w:sz w:val="20"/>
          <w:szCs w:val="20"/>
        </w:rPr>
      </w:pPr>
    </w:p>
    <w:p w14:paraId="1B7E1F4A" w14:textId="4AD0F49C" w:rsidR="00DB393E" w:rsidRPr="005E15A8" w:rsidRDefault="00707460" w:rsidP="00707460">
      <w:pPr>
        <w:ind w:leftChars="580" w:left="1700" w:rightChars="192" w:right="422" w:hanging="424"/>
        <w:jc w:val="both"/>
        <w:rPr>
          <w:rFonts w:ascii="Cambria" w:hAnsi="Cambria"/>
          <w:sz w:val="20"/>
          <w:szCs w:val="20"/>
        </w:rPr>
      </w:pPr>
      <w:r w:rsidRPr="005E15A8">
        <w:rPr>
          <w:rFonts w:ascii="Cambria" w:hAnsi="Cambria"/>
          <w:color w:val="231F20"/>
          <w:sz w:val="20"/>
          <w:szCs w:val="20"/>
        </w:rPr>
        <w:t xml:space="preserve">a) </w:t>
      </w:r>
      <w:r w:rsidRPr="005E15A8">
        <w:rPr>
          <w:rFonts w:ascii="Cambria" w:hAnsi="Cambria"/>
          <w:color w:val="231F20"/>
          <w:sz w:val="20"/>
          <w:szCs w:val="20"/>
        </w:rPr>
        <w:tab/>
      </w:r>
      <w:r w:rsidR="0056447F" w:rsidRPr="005E15A8">
        <w:rPr>
          <w:rFonts w:ascii="Cambria" w:hAnsi="Cambria"/>
          <w:color w:val="231F20"/>
          <w:sz w:val="20"/>
          <w:szCs w:val="20"/>
        </w:rPr>
        <w:t xml:space="preserve">Le </w:t>
      </w:r>
      <w:r w:rsidR="0056447F" w:rsidRPr="005E15A8">
        <w:rPr>
          <w:rFonts w:ascii="Cambria" w:hAnsi="Cambria"/>
          <w:sz w:val="20"/>
          <w:szCs w:val="20"/>
        </w:rPr>
        <w:t>TAC</w:t>
      </w:r>
      <w:r w:rsidR="0056447F" w:rsidRPr="005E15A8">
        <w:rPr>
          <w:rFonts w:ascii="Cambria" w:hAnsi="Cambria"/>
          <w:color w:val="231F20"/>
          <w:sz w:val="20"/>
          <w:szCs w:val="20"/>
        </w:rPr>
        <w:t xml:space="preserve"> annuel devra inclure </w:t>
      </w:r>
      <w:r w:rsidR="0056447F" w:rsidRPr="005E15A8">
        <w:rPr>
          <w:rFonts w:ascii="Cambria" w:eastAsia="Times New Roman" w:hAnsi="Cambria" w:cs="Times New Roman"/>
          <w:noProof/>
          <w:color w:val="auto"/>
          <w:sz w:val="20"/>
          <w:szCs w:val="20"/>
          <w:lang w:eastAsia="es-ES"/>
        </w:rPr>
        <w:t>les</w:t>
      </w:r>
      <w:r w:rsidR="0056447F" w:rsidRPr="005E15A8">
        <w:rPr>
          <w:rFonts w:ascii="Cambria" w:hAnsi="Cambria"/>
          <w:color w:val="231F20"/>
          <w:sz w:val="20"/>
          <w:szCs w:val="20"/>
        </w:rPr>
        <w:t xml:space="preserve"> allocations suivantes</w:t>
      </w:r>
      <w:r w:rsidR="00830C04" w:rsidRPr="005E15A8">
        <w:rPr>
          <w:rFonts w:ascii="Cambria" w:hAnsi="Cambria"/>
          <w:color w:val="231F20"/>
          <w:sz w:val="20"/>
          <w:szCs w:val="20"/>
        </w:rPr>
        <w:t> :</w:t>
      </w:r>
    </w:p>
    <w:p w14:paraId="50830B1C" w14:textId="77777777" w:rsidR="00DB393E" w:rsidRPr="005E15A8" w:rsidRDefault="00DB393E">
      <w:pPr>
        <w:spacing w:before="11"/>
        <w:rPr>
          <w:rFonts w:ascii="Cambria" w:hAnsi="Cambria"/>
          <w:sz w:val="20"/>
          <w:szCs w:val="20"/>
        </w:rPr>
      </w:pPr>
    </w:p>
    <w:tbl>
      <w:tblPr>
        <w:tblStyle w:val="a"/>
        <w:tblW w:w="8930" w:type="dxa"/>
        <w:tblInd w:w="137" w:type="dxa"/>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7088"/>
        <w:gridCol w:w="1842"/>
      </w:tblGrid>
      <w:tr w:rsidR="00DB393E" w:rsidRPr="005E15A8" w14:paraId="3B0EF851" w14:textId="77777777" w:rsidTr="00830C04">
        <w:trPr>
          <w:trHeight w:val="259"/>
        </w:trPr>
        <w:tc>
          <w:tcPr>
            <w:tcW w:w="7088" w:type="dxa"/>
          </w:tcPr>
          <w:p w14:paraId="4E4E17F9" w14:textId="77777777" w:rsidR="00DB393E" w:rsidRPr="005E15A8" w:rsidRDefault="0056447F" w:rsidP="00707460">
            <w:pPr>
              <w:widowControl/>
              <w:autoSpaceDE w:val="0"/>
              <w:autoSpaceDN w:val="0"/>
              <w:adjustRightInd w:val="0"/>
              <w:jc w:val="center"/>
              <w:rPr>
                <w:rFonts w:ascii="Cambria" w:eastAsia="Times New Roman" w:hAnsi="Cambria" w:cs="Times New Roman"/>
                <w:i/>
                <w:noProof/>
                <w:color w:val="auto"/>
                <w:sz w:val="20"/>
                <w:szCs w:val="20"/>
                <w:lang w:val="en-GB" w:eastAsia="es-ES"/>
              </w:rPr>
            </w:pPr>
            <w:r w:rsidRPr="005E15A8">
              <w:rPr>
                <w:rFonts w:ascii="Cambria" w:eastAsia="Times New Roman" w:hAnsi="Cambria" w:cs="Times New Roman"/>
                <w:i/>
                <w:noProof/>
                <w:color w:val="auto"/>
                <w:sz w:val="20"/>
                <w:szCs w:val="20"/>
                <w:lang w:val="en-GB" w:eastAsia="es-ES"/>
              </w:rPr>
              <w:t>CPC</w:t>
            </w:r>
          </w:p>
        </w:tc>
        <w:tc>
          <w:tcPr>
            <w:tcW w:w="1842" w:type="dxa"/>
          </w:tcPr>
          <w:p w14:paraId="24FA8D64" w14:textId="77777777" w:rsidR="00DB393E" w:rsidRPr="005E15A8" w:rsidRDefault="0056447F" w:rsidP="00707460">
            <w:pPr>
              <w:widowControl/>
              <w:autoSpaceDE w:val="0"/>
              <w:autoSpaceDN w:val="0"/>
              <w:adjustRightInd w:val="0"/>
              <w:jc w:val="center"/>
              <w:rPr>
                <w:rFonts w:ascii="Cambria" w:eastAsia="Times New Roman" w:hAnsi="Cambria" w:cs="Times New Roman"/>
                <w:i/>
                <w:noProof/>
                <w:color w:val="auto"/>
                <w:sz w:val="20"/>
                <w:szCs w:val="20"/>
                <w:lang w:val="en-GB" w:eastAsia="es-ES"/>
              </w:rPr>
            </w:pPr>
            <w:r w:rsidRPr="005E15A8">
              <w:rPr>
                <w:rFonts w:ascii="Cambria" w:eastAsia="Times New Roman" w:hAnsi="Cambria" w:cs="Times New Roman"/>
                <w:i/>
                <w:noProof/>
                <w:color w:val="auto"/>
                <w:sz w:val="20"/>
                <w:szCs w:val="20"/>
                <w:lang w:val="en-GB" w:eastAsia="es-ES"/>
              </w:rPr>
              <w:t>Allocation</w:t>
            </w:r>
          </w:p>
        </w:tc>
      </w:tr>
      <w:tr w:rsidR="00DB393E" w:rsidRPr="005E15A8" w14:paraId="57D79198" w14:textId="77777777" w:rsidTr="00707460">
        <w:trPr>
          <w:trHeight w:val="380"/>
        </w:trPr>
        <w:tc>
          <w:tcPr>
            <w:tcW w:w="7088" w:type="dxa"/>
          </w:tcPr>
          <w:p w14:paraId="4858FDBD" w14:textId="11A5DDB4" w:rsidR="00DB393E" w:rsidRPr="005E15A8" w:rsidRDefault="0056447F" w:rsidP="00830C04">
            <w:pPr>
              <w:widowControl/>
              <w:autoSpaceDE w:val="0"/>
              <w:autoSpaceDN w:val="0"/>
              <w:adjustRightInd w:val="0"/>
              <w:ind w:right="132"/>
              <w:jc w:val="both"/>
              <w:rPr>
                <w:rFonts w:ascii="Cambria" w:eastAsia="Times New Roman" w:hAnsi="Cambria" w:cs="Times New Roman"/>
                <w:iCs/>
                <w:noProof/>
                <w:color w:val="auto"/>
                <w:sz w:val="20"/>
                <w:szCs w:val="20"/>
                <w:lang w:eastAsia="es-ES"/>
              </w:rPr>
            </w:pPr>
            <w:r w:rsidRPr="005E15A8">
              <w:rPr>
                <w:rFonts w:ascii="Cambria" w:eastAsia="Times New Roman" w:hAnsi="Cambria" w:cs="Times New Roman"/>
                <w:iCs/>
                <w:noProof/>
                <w:color w:val="auto"/>
                <w:sz w:val="20"/>
                <w:szCs w:val="20"/>
                <w:lang w:eastAsia="es-ES"/>
              </w:rPr>
              <w:t xml:space="preserve">États-Unis (prises accessoires liées aux pêcheries palangrières </w:t>
            </w:r>
            <w:r w:rsidR="00FA0248" w:rsidRPr="005E15A8">
              <w:rPr>
                <w:rFonts w:ascii="Cambria" w:eastAsia="Times New Roman" w:hAnsi="Cambria" w:cs="Times New Roman"/>
                <w:iCs/>
                <w:noProof/>
                <w:color w:val="auto"/>
                <w:sz w:val="20"/>
                <w:szCs w:val="20"/>
                <w:lang w:eastAsia="es-ES"/>
              </w:rPr>
              <w:t>aux alentours</w:t>
            </w:r>
            <w:r w:rsidRPr="005E15A8">
              <w:rPr>
                <w:rFonts w:ascii="Cambria" w:eastAsia="Times New Roman" w:hAnsi="Cambria" w:cs="Times New Roman"/>
                <w:iCs/>
                <w:noProof/>
                <w:color w:val="auto"/>
                <w:sz w:val="20"/>
                <w:szCs w:val="20"/>
                <w:lang w:eastAsia="es-ES"/>
              </w:rPr>
              <w:t xml:space="preserve"> de la délimitation de l’unité de gestion)</w:t>
            </w:r>
          </w:p>
        </w:tc>
        <w:tc>
          <w:tcPr>
            <w:tcW w:w="1842" w:type="dxa"/>
          </w:tcPr>
          <w:p w14:paraId="190B0BFC" w14:textId="77777777" w:rsidR="00DB393E" w:rsidRPr="005E15A8" w:rsidRDefault="0056447F" w:rsidP="00707460">
            <w:pPr>
              <w:widowControl/>
              <w:autoSpaceDE w:val="0"/>
              <w:autoSpaceDN w:val="0"/>
              <w:adjustRightInd w:val="0"/>
              <w:jc w:val="center"/>
              <w:rPr>
                <w:rFonts w:ascii="Cambria" w:eastAsia="Times New Roman" w:hAnsi="Cambria" w:cs="Times New Roman"/>
                <w:iCs/>
                <w:noProof/>
                <w:color w:val="auto"/>
                <w:sz w:val="20"/>
                <w:szCs w:val="20"/>
                <w:lang w:val="en-GB" w:eastAsia="es-ES"/>
              </w:rPr>
            </w:pPr>
            <w:r w:rsidRPr="005E15A8">
              <w:rPr>
                <w:rFonts w:ascii="Cambria" w:eastAsia="Times New Roman" w:hAnsi="Cambria" w:cs="Times New Roman"/>
                <w:iCs/>
                <w:noProof/>
                <w:color w:val="auto"/>
                <w:sz w:val="20"/>
                <w:szCs w:val="20"/>
                <w:lang w:val="en-GB" w:eastAsia="es-ES"/>
              </w:rPr>
              <w:t>25 t</w:t>
            </w:r>
          </w:p>
        </w:tc>
      </w:tr>
      <w:tr w:rsidR="00DB393E" w:rsidRPr="005E15A8" w14:paraId="2E3C8456" w14:textId="77777777" w:rsidTr="00707460">
        <w:trPr>
          <w:trHeight w:val="380"/>
        </w:trPr>
        <w:tc>
          <w:tcPr>
            <w:tcW w:w="7088" w:type="dxa"/>
          </w:tcPr>
          <w:p w14:paraId="03F96643" w14:textId="096506C1" w:rsidR="00DB393E" w:rsidRPr="005E15A8" w:rsidRDefault="0056447F" w:rsidP="00830C04">
            <w:pPr>
              <w:widowControl/>
              <w:autoSpaceDE w:val="0"/>
              <w:autoSpaceDN w:val="0"/>
              <w:adjustRightInd w:val="0"/>
              <w:ind w:right="132"/>
              <w:jc w:val="both"/>
              <w:rPr>
                <w:rFonts w:ascii="Cambria" w:eastAsia="Times New Roman" w:hAnsi="Cambria" w:cs="Times New Roman"/>
                <w:iCs/>
                <w:noProof/>
                <w:color w:val="auto"/>
                <w:sz w:val="20"/>
                <w:szCs w:val="20"/>
                <w:lang w:eastAsia="es-ES"/>
              </w:rPr>
            </w:pPr>
            <w:r w:rsidRPr="005E15A8">
              <w:rPr>
                <w:rFonts w:ascii="Cambria" w:eastAsia="Times New Roman" w:hAnsi="Cambria" w:cs="Times New Roman"/>
                <w:iCs/>
                <w:noProof/>
                <w:color w:val="auto"/>
                <w:sz w:val="20"/>
                <w:szCs w:val="20"/>
                <w:lang w:eastAsia="es-ES"/>
              </w:rPr>
              <w:t xml:space="preserve">Canada (prises accessoires liées aux pêcheries palangrières </w:t>
            </w:r>
            <w:r w:rsidR="00FA0248" w:rsidRPr="005E15A8">
              <w:rPr>
                <w:rFonts w:ascii="Cambria" w:eastAsia="Times New Roman" w:hAnsi="Cambria" w:cs="Times New Roman"/>
                <w:iCs/>
                <w:noProof/>
                <w:color w:val="auto"/>
                <w:sz w:val="20"/>
                <w:szCs w:val="20"/>
                <w:lang w:eastAsia="es-ES"/>
              </w:rPr>
              <w:t xml:space="preserve">aux alentours </w:t>
            </w:r>
            <w:r w:rsidRPr="005E15A8">
              <w:rPr>
                <w:rFonts w:ascii="Cambria" w:eastAsia="Times New Roman" w:hAnsi="Cambria" w:cs="Times New Roman"/>
                <w:iCs/>
                <w:noProof/>
                <w:color w:val="auto"/>
                <w:sz w:val="20"/>
                <w:szCs w:val="20"/>
                <w:lang w:eastAsia="es-ES"/>
              </w:rPr>
              <w:t>de la délimitation de l’unité de gestion)</w:t>
            </w:r>
          </w:p>
        </w:tc>
        <w:tc>
          <w:tcPr>
            <w:tcW w:w="1842" w:type="dxa"/>
          </w:tcPr>
          <w:p w14:paraId="11D4DD5A" w14:textId="77777777" w:rsidR="00DB393E" w:rsidRPr="005E15A8" w:rsidRDefault="0056447F" w:rsidP="00707460">
            <w:pPr>
              <w:widowControl/>
              <w:autoSpaceDE w:val="0"/>
              <w:autoSpaceDN w:val="0"/>
              <w:adjustRightInd w:val="0"/>
              <w:jc w:val="center"/>
              <w:rPr>
                <w:rFonts w:ascii="Cambria" w:eastAsia="Times New Roman" w:hAnsi="Cambria" w:cs="Times New Roman"/>
                <w:iCs/>
                <w:noProof/>
                <w:color w:val="auto"/>
                <w:sz w:val="20"/>
                <w:szCs w:val="20"/>
                <w:lang w:val="en-GB" w:eastAsia="es-ES"/>
              </w:rPr>
            </w:pPr>
            <w:r w:rsidRPr="005E15A8">
              <w:rPr>
                <w:rFonts w:ascii="Cambria" w:eastAsia="Times New Roman" w:hAnsi="Cambria" w:cs="Times New Roman"/>
                <w:iCs/>
                <w:noProof/>
                <w:color w:val="auto"/>
                <w:sz w:val="20"/>
                <w:szCs w:val="20"/>
                <w:lang w:val="en-GB" w:eastAsia="es-ES"/>
              </w:rPr>
              <w:t>15 t</w:t>
            </w:r>
          </w:p>
        </w:tc>
      </w:tr>
    </w:tbl>
    <w:p w14:paraId="3DD1EFBA" w14:textId="65E7AAEF" w:rsidR="00830C04" w:rsidRPr="005E15A8" w:rsidRDefault="00830C04">
      <w:pPr>
        <w:rPr>
          <w:rFonts w:ascii="Cambria" w:hAnsi="Cambria"/>
          <w:color w:val="231F20"/>
          <w:sz w:val="20"/>
          <w:szCs w:val="20"/>
        </w:rPr>
      </w:pPr>
    </w:p>
    <w:p w14:paraId="3B94CE21" w14:textId="061F8262" w:rsidR="00DB393E" w:rsidRPr="005E15A8" w:rsidRDefault="00977C4F" w:rsidP="00667F4E">
      <w:pPr>
        <w:spacing w:after="80"/>
        <w:ind w:leftChars="580" w:left="1701" w:rightChars="192" w:right="422" w:hanging="425"/>
        <w:jc w:val="both"/>
        <w:rPr>
          <w:rFonts w:ascii="Cambria" w:hAnsi="Cambria"/>
          <w:color w:val="231F20"/>
          <w:sz w:val="20"/>
          <w:szCs w:val="20"/>
        </w:rPr>
      </w:pPr>
      <w:r w:rsidRPr="005E15A8">
        <w:rPr>
          <w:rFonts w:ascii="Cambria" w:hAnsi="Cambria"/>
          <w:color w:val="231F20"/>
          <w:sz w:val="20"/>
          <w:szCs w:val="20"/>
        </w:rPr>
        <w:t xml:space="preserve">b) </w:t>
      </w:r>
      <w:r w:rsidR="00707460" w:rsidRPr="005E15A8">
        <w:rPr>
          <w:rFonts w:ascii="Cambria" w:hAnsi="Cambria"/>
          <w:color w:val="231F20"/>
          <w:sz w:val="20"/>
          <w:szCs w:val="20"/>
        </w:rPr>
        <w:tab/>
      </w:r>
      <w:r w:rsidRPr="005E15A8">
        <w:rPr>
          <w:rFonts w:ascii="Cambria" w:hAnsi="Cambria"/>
          <w:sz w:val="20"/>
          <w:szCs w:val="20"/>
        </w:rPr>
        <w:t>Après</w:t>
      </w:r>
      <w:r w:rsidRPr="005E15A8">
        <w:rPr>
          <w:rFonts w:ascii="Cambria" w:hAnsi="Cambria"/>
          <w:color w:val="231F20"/>
          <w:sz w:val="20"/>
          <w:szCs w:val="20"/>
        </w:rPr>
        <w:t xml:space="preserve"> </w:t>
      </w:r>
      <w:r w:rsidRPr="005E15A8">
        <w:rPr>
          <w:rFonts w:ascii="Cambria" w:hAnsi="Cambria"/>
          <w:sz w:val="20"/>
          <w:szCs w:val="20"/>
        </w:rPr>
        <w:t>déduction</w:t>
      </w:r>
      <w:r w:rsidRPr="005E15A8">
        <w:rPr>
          <w:rFonts w:ascii="Cambria" w:hAnsi="Cambria"/>
          <w:color w:val="231F20"/>
          <w:sz w:val="20"/>
          <w:szCs w:val="20"/>
        </w:rPr>
        <w:t xml:space="preserve"> des volumes visés au paragraphe 6.a), le solde du TAC annuel sera alloué comme suit :</w:t>
      </w:r>
    </w:p>
    <w:tbl>
      <w:tblPr>
        <w:tblStyle w:val="a0"/>
        <w:tblW w:w="9498" w:type="dxa"/>
        <w:tblInd w:w="-147" w:type="dxa"/>
        <w:tblLayout w:type="fixed"/>
        <w:tblLook w:val="0000" w:firstRow="0" w:lastRow="0" w:firstColumn="0" w:lastColumn="0" w:noHBand="0" w:noVBand="0"/>
      </w:tblPr>
      <w:tblGrid>
        <w:gridCol w:w="2410"/>
        <w:gridCol w:w="1843"/>
        <w:gridCol w:w="1559"/>
        <w:gridCol w:w="2127"/>
        <w:gridCol w:w="1559"/>
      </w:tblGrid>
      <w:tr w:rsidR="00830C04" w:rsidRPr="005E15A8" w14:paraId="791E74A1" w14:textId="77777777" w:rsidTr="0080232F">
        <w:trPr>
          <w:trHeight w:val="260"/>
        </w:trPr>
        <w:tc>
          <w:tcPr>
            <w:tcW w:w="2410" w:type="dxa"/>
            <w:tcBorders>
              <w:top w:val="single" w:sz="4" w:space="0" w:color="231F20"/>
              <w:left w:val="single" w:sz="4" w:space="0" w:color="231F20"/>
              <w:bottom w:val="single" w:sz="4" w:space="0" w:color="231F20"/>
              <w:right w:val="single" w:sz="4" w:space="0" w:color="231F20"/>
            </w:tcBorders>
            <w:vAlign w:val="center"/>
          </w:tcPr>
          <w:p w14:paraId="6B914999" w14:textId="5359B2B4" w:rsidR="00830C04" w:rsidRPr="005E15A8" w:rsidRDefault="00830C04" w:rsidP="00830C04">
            <w:pPr>
              <w:jc w:val="center"/>
              <w:rPr>
                <w:rFonts w:ascii="Cambria" w:hAnsi="Cambria"/>
                <w:i/>
                <w:iCs/>
                <w:sz w:val="20"/>
                <w:szCs w:val="20"/>
              </w:rPr>
            </w:pPr>
          </w:p>
        </w:tc>
        <w:tc>
          <w:tcPr>
            <w:tcW w:w="7088" w:type="dxa"/>
            <w:gridSpan w:val="4"/>
            <w:tcBorders>
              <w:top w:val="single" w:sz="4" w:space="0" w:color="231F20"/>
              <w:left w:val="single" w:sz="4" w:space="0" w:color="231F20"/>
              <w:bottom w:val="single" w:sz="4" w:space="0" w:color="231F20"/>
              <w:right w:val="single" w:sz="4" w:space="0" w:color="231F20"/>
            </w:tcBorders>
          </w:tcPr>
          <w:p w14:paraId="3FC163CD" w14:textId="77777777" w:rsidR="00830C04" w:rsidRPr="005E15A8" w:rsidRDefault="00830C04" w:rsidP="00830C04">
            <w:pPr>
              <w:spacing w:line="213" w:lineRule="auto"/>
              <w:ind w:left="1636"/>
              <w:rPr>
                <w:rFonts w:ascii="Cambria" w:hAnsi="Cambria"/>
                <w:sz w:val="20"/>
                <w:szCs w:val="20"/>
              </w:rPr>
            </w:pPr>
            <w:r w:rsidRPr="005E15A8">
              <w:rPr>
                <w:rFonts w:ascii="Cambria" w:hAnsi="Cambria"/>
                <w:i/>
                <w:color w:val="231F20"/>
                <w:sz w:val="20"/>
                <w:szCs w:val="20"/>
              </w:rPr>
              <w:t>Si le solde du TAC annuel est :</w:t>
            </w:r>
          </w:p>
        </w:tc>
      </w:tr>
      <w:tr w:rsidR="00830C04" w:rsidRPr="005E15A8" w14:paraId="40D4D509" w14:textId="77777777" w:rsidTr="0080232F">
        <w:trPr>
          <w:trHeight w:val="440"/>
        </w:trPr>
        <w:tc>
          <w:tcPr>
            <w:tcW w:w="2410" w:type="dxa"/>
            <w:tcBorders>
              <w:top w:val="single" w:sz="4" w:space="0" w:color="231F20"/>
              <w:left w:val="single" w:sz="4" w:space="0" w:color="231F20"/>
              <w:bottom w:val="single" w:sz="4" w:space="0" w:color="231F20"/>
              <w:right w:val="single" w:sz="4" w:space="0" w:color="231F20"/>
            </w:tcBorders>
            <w:vAlign w:val="center"/>
          </w:tcPr>
          <w:p w14:paraId="206D376E" w14:textId="33298CE4" w:rsidR="00830C04" w:rsidRPr="005E15A8" w:rsidRDefault="002911C0" w:rsidP="002911C0">
            <w:pPr>
              <w:spacing w:line="215" w:lineRule="auto"/>
              <w:ind w:left="96"/>
              <w:jc w:val="center"/>
              <w:rPr>
                <w:rFonts w:ascii="Cambria" w:hAnsi="Cambria"/>
                <w:sz w:val="20"/>
                <w:szCs w:val="20"/>
              </w:rPr>
            </w:pPr>
            <w:r w:rsidRPr="005E15A8">
              <w:rPr>
                <w:rFonts w:ascii="Cambria" w:hAnsi="Cambria"/>
                <w:i/>
                <w:iCs/>
                <w:color w:val="231F20"/>
                <w:sz w:val="20"/>
                <w:szCs w:val="20"/>
              </w:rPr>
              <w:t>CPC</w:t>
            </w:r>
          </w:p>
        </w:tc>
        <w:tc>
          <w:tcPr>
            <w:tcW w:w="1843" w:type="dxa"/>
            <w:tcBorders>
              <w:top w:val="single" w:sz="4" w:space="0" w:color="231F20"/>
              <w:left w:val="single" w:sz="4" w:space="0" w:color="231F20"/>
              <w:bottom w:val="single" w:sz="4" w:space="0" w:color="231F20"/>
              <w:right w:val="single" w:sz="4" w:space="0" w:color="231F20"/>
            </w:tcBorders>
            <w:vAlign w:val="center"/>
          </w:tcPr>
          <w:p w14:paraId="18F44304" w14:textId="16AAEC83" w:rsidR="00830C04" w:rsidRPr="005E15A8" w:rsidRDefault="00830C04" w:rsidP="00384CFD">
            <w:pPr>
              <w:spacing w:before="1" w:line="216" w:lineRule="auto"/>
              <w:ind w:left="626" w:right="472" w:hanging="487"/>
              <w:jc w:val="center"/>
              <w:rPr>
                <w:rFonts w:ascii="Cambria" w:hAnsi="Cambria"/>
                <w:sz w:val="20"/>
                <w:szCs w:val="20"/>
              </w:rPr>
            </w:pPr>
            <w:r w:rsidRPr="005E15A8">
              <w:rPr>
                <w:rFonts w:ascii="Cambria" w:hAnsi="Cambria"/>
                <w:color w:val="231F20"/>
                <w:sz w:val="20"/>
                <w:szCs w:val="20"/>
              </w:rPr>
              <w:t xml:space="preserve">&lt;2.413 t </w:t>
            </w:r>
            <w:r w:rsidR="00384CFD" w:rsidRPr="005E15A8">
              <w:rPr>
                <w:rFonts w:ascii="Cambria" w:hAnsi="Cambria"/>
                <w:color w:val="231F20"/>
                <w:sz w:val="20"/>
                <w:szCs w:val="20"/>
              </w:rPr>
              <w:t>(</w:t>
            </w:r>
            <w:r w:rsidRPr="005E15A8">
              <w:rPr>
                <w:rFonts w:ascii="Cambria" w:hAnsi="Cambria"/>
                <w:color w:val="231F20"/>
                <w:sz w:val="20"/>
                <w:szCs w:val="20"/>
              </w:rPr>
              <w:t>A)</w:t>
            </w:r>
          </w:p>
        </w:tc>
        <w:tc>
          <w:tcPr>
            <w:tcW w:w="1559" w:type="dxa"/>
            <w:tcBorders>
              <w:top w:val="single" w:sz="4" w:space="0" w:color="231F20"/>
              <w:left w:val="single" w:sz="4" w:space="0" w:color="231F20"/>
              <w:bottom w:val="single" w:sz="4" w:space="0" w:color="231F20"/>
              <w:right w:val="single" w:sz="4" w:space="0" w:color="231F20"/>
            </w:tcBorders>
            <w:vAlign w:val="center"/>
          </w:tcPr>
          <w:p w14:paraId="6DBBB1F0" w14:textId="77777777" w:rsidR="00830C04" w:rsidRPr="005E15A8" w:rsidRDefault="00830C04" w:rsidP="00384CFD">
            <w:pPr>
              <w:spacing w:before="1" w:line="216" w:lineRule="auto"/>
              <w:ind w:left="589" w:right="446" w:hanging="589"/>
              <w:jc w:val="center"/>
              <w:rPr>
                <w:rFonts w:ascii="Cambria" w:hAnsi="Cambria"/>
                <w:sz w:val="20"/>
                <w:szCs w:val="20"/>
              </w:rPr>
            </w:pPr>
            <w:r w:rsidRPr="005E15A8">
              <w:rPr>
                <w:rFonts w:ascii="Cambria" w:hAnsi="Cambria"/>
                <w:color w:val="231F20"/>
                <w:sz w:val="20"/>
                <w:szCs w:val="20"/>
              </w:rPr>
              <w:t>2.413 t (B)</w:t>
            </w:r>
          </w:p>
        </w:tc>
        <w:tc>
          <w:tcPr>
            <w:tcW w:w="2127" w:type="dxa"/>
            <w:tcBorders>
              <w:top w:val="single" w:sz="4" w:space="0" w:color="231F20"/>
              <w:left w:val="single" w:sz="4" w:space="0" w:color="231F20"/>
              <w:bottom w:val="single" w:sz="4" w:space="0" w:color="231F20"/>
              <w:right w:val="single" w:sz="4" w:space="0" w:color="231F20"/>
            </w:tcBorders>
            <w:vAlign w:val="center"/>
          </w:tcPr>
          <w:p w14:paraId="54A63AF3" w14:textId="77777777" w:rsidR="00830C04" w:rsidRPr="005E15A8" w:rsidRDefault="00830C04" w:rsidP="00384CFD">
            <w:pPr>
              <w:spacing w:before="1" w:line="216" w:lineRule="auto"/>
              <w:ind w:left="764" w:right="330" w:hanging="626"/>
              <w:jc w:val="center"/>
              <w:rPr>
                <w:rFonts w:ascii="Cambria" w:hAnsi="Cambria"/>
                <w:sz w:val="20"/>
                <w:szCs w:val="20"/>
              </w:rPr>
            </w:pPr>
            <w:r w:rsidRPr="005E15A8">
              <w:rPr>
                <w:rFonts w:ascii="Cambria" w:hAnsi="Cambria"/>
                <w:color w:val="231F20"/>
                <w:sz w:val="20"/>
                <w:szCs w:val="20"/>
              </w:rPr>
              <w:t>&gt; 2.413-2.660 t (C)</w:t>
            </w:r>
          </w:p>
        </w:tc>
        <w:tc>
          <w:tcPr>
            <w:tcW w:w="1559" w:type="dxa"/>
            <w:tcBorders>
              <w:top w:val="single" w:sz="4" w:space="0" w:color="231F20"/>
              <w:left w:val="single" w:sz="4" w:space="0" w:color="231F20"/>
              <w:bottom w:val="single" w:sz="4" w:space="0" w:color="231F20"/>
              <w:right w:val="single" w:sz="4" w:space="0" w:color="231F20"/>
            </w:tcBorders>
            <w:vAlign w:val="center"/>
          </w:tcPr>
          <w:p w14:paraId="08305260" w14:textId="77777777" w:rsidR="00830C04" w:rsidRPr="005E15A8" w:rsidRDefault="00830C04" w:rsidP="00384CFD">
            <w:pPr>
              <w:spacing w:before="1" w:line="216" w:lineRule="auto"/>
              <w:ind w:left="530" w:right="339" w:hanging="391"/>
              <w:jc w:val="both"/>
              <w:rPr>
                <w:rFonts w:ascii="Cambria" w:hAnsi="Cambria"/>
                <w:sz w:val="20"/>
                <w:szCs w:val="20"/>
              </w:rPr>
            </w:pPr>
            <w:r w:rsidRPr="005E15A8">
              <w:rPr>
                <w:rFonts w:ascii="Cambria" w:hAnsi="Cambria"/>
                <w:color w:val="231F20"/>
                <w:sz w:val="20"/>
                <w:szCs w:val="20"/>
              </w:rPr>
              <w:t>&gt; 2.660 t (D)</w:t>
            </w:r>
          </w:p>
        </w:tc>
      </w:tr>
      <w:tr w:rsidR="00830C04" w:rsidRPr="005E15A8" w14:paraId="2691E8EF" w14:textId="77777777" w:rsidTr="0080232F">
        <w:trPr>
          <w:trHeight w:val="220"/>
        </w:trPr>
        <w:tc>
          <w:tcPr>
            <w:tcW w:w="2410" w:type="dxa"/>
            <w:tcBorders>
              <w:top w:val="single" w:sz="4" w:space="0" w:color="231F20"/>
              <w:left w:val="single" w:sz="4" w:space="0" w:color="231F20"/>
              <w:bottom w:val="single" w:sz="4" w:space="0" w:color="231F20"/>
              <w:right w:val="single" w:sz="4" w:space="0" w:color="231F20"/>
            </w:tcBorders>
            <w:vAlign w:val="center"/>
          </w:tcPr>
          <w:p w14:paraId="3FFDA1E5" w14:textId="77777777" w:rsidR="00830C04" w:rsidRPr="005E15A8" w:rsidRDefault="00830C04" w:rsidP="0085201C">
            <w:pPr>
              <w:spacing w:line="214" w:lineRule="auto"/>
              <w:ind w:left="96"/>
              <w:jc w:val="center"/>
              <w:rPr>
                <w:rFonts w:ascii="Cambria" w:hAnsi="Cambria"/>
                <w:sz w:val="20"/>
                <w:szCs w:val="20"/>
              </w:rPr>
            </w:pPr>
            <w:r w:rsidRPr="005E15A8">
              <w:rPr>
                <w:rFonts w:ascii="Cambria" w:hAnsi="Cambria"/>
                <w:color w:val="231F20"/>
                <w:sz w:val="20"/>
                <w:szCs w:val="20"/>
              </w:rPr>
              <w:t>États-Unis</w:t>
            </w:r>
          </w:p>
        </w:tc>
        <w:tc>
          <w:tcPr>
            <w:tcW w:w="1843" w:type="dxa"/>
            <w:tcBorders>
              <w:top w:val="single" w:sz="4" w:space="0" w:color="231F20"/>
              <w:left w:val="single" w:sz="4" w:space="0" w:color="231F20"/>
              <w:bottom w:val="single" w:sz="4" w:space="0" w:color="231F20"/>
              <w:right w:val="single" w:sz="4" w:space="0" w:color="231F20"/>
            </w:tcBorders>
            <w:vAlign w:val="center"/>
          </w:tcPr>
          <w:p w14:paraId="0038B00D" w14:textId="7DDCE886" w:rsidR="00830C04" w:rsidRPr="005E15A8" w:rsidRDefault="00830C04" w:rsidP="0085201C">
            <w:pPr>
              <w:spacing w:line="214" w:lineRule="auto"/>
              <w:ind w:left="502" w:hanging="362"/>
              <w:jc w:val="center"/>
              <w:rPr>
                <w:rFonts w:ascii="Cambria" w:hAnsi="Cambria"/>
                <w:sz w:val="20"/>
                <w:szCs w:val="20"/>
              </w:rPr>
            </w:pPr>
            <w:r w:rsidRPr="005E15A8">
              <w:rPr>
                <w:rFonts w:ascii="Cambria" w:hAnsi="Cambria"/>
                <w:color w:val="231F20"/>
                <w:sz w:val="20"/>
                <w:szCs w:val="20"/>
              </w:rPr>
              <w:t>54,02%</w:t>
            </w:r>
          </w:p>
        </w:tc>
        <w:tc>
          <w:tcPr>
            <w:tcW w:w="1559" w:type="dxa"/>
            <w:tcBorders>
              <w:top w:val="single" w:sz="4" w:space="0" w:color="231F20"/>
              <w:left w:val="single" w:sz="4" w:space="0" w:color="231F20"/>
              <w:bottom w:val="single" w:sz="4" w:space="0" w:color="231F20"/>
              <w:right w:val="single" w:sz="4" w:space="0" w:color="231F20"/>
            </w:tcBorders>
            <w:vAlign w:val="center"/>
          </w:tcPr>
          <w:p w14:paraId="19C69EBE" w14:textId="77777777" w:rsidR="00830C04" w:rsidRPr="005E15A8" w:rsidRDefault="00830C04" w:rsidP="0085201C">
            <w:pPr>
              <w:spacing w:line="214" w:lineRule="auto"/>
              <w:ind w:left="143"/>
              <w:jc w:val="center"/>
              <w:rPr>
                <w:rFonts w:ascii="Cambria" w:hAnsi="Cambria"/>
                <w:sz w:val="20"/>
                <w:szCs w:val="20"/>
              </w:rPr>
            </w:pPr>
            <w:r w:rsidRPr="005E15A8">
              <w:rPr>
                <w:rFonts w:ascii="Cambria" w:hAnsi="Cambria"/>
                <w:color w:val="231F20"/>
                <w:sz w:val="20"/>
                <w:szCs w:val="20"/>
              </w:rPr>
              <w:t>1.303 t</w:t>
            </w:r>
          </w:p>
        </w:tc>
        <w:tc>
          <w:tcPr>
            <w:tcW w:w="2127" w:type="dxa"/>
            <w:tcBorders>
              <w:top w:val="single" w:sz="4" w:space="0" w:color="231F20"/>
              <w:left w:val="single" w:sz="4" w:space="0" w:color="231F20"/>
              <w:bottom w:val="single" w:sz="4" w:space="0" w:color="231F20"/>
              <w:right w:val="single" w:sz="4" w:space="0" w:color="231F20"/>
            </w:tcBorders>
            <w:vAlign w:val="center"/>
          </w:tcPr>
          <w:p w14:paraId="73C4A574" w14:textId="77777777" w:rsidR="00830C04" w:rsidRPr="005E15A8" w:rsidRDefault="00830C04" w:rsidP="002911C0">
            <w:pPr>
              <w:spacing w:line="214" w:lineRule="auto"/>
              <w:jc w:val="center"/>
              <w:rPr>
                <w:rFonts w:ascii="Cambria" w:hAnsi="Cambria"/>
                <w:sz w:val="20"/>
                <w:szCs w:val="20"/>
              </w:rPr>
            </w:pPr>
            <w:r w:rsidRPr="005E15A8">
              <w:rPr>
                <w:rFonts w:ascii="Cambria" w:hAnsi="Cambria"/>
                <w:color w:val="231F20"/>
                <w:sz w:val="20"/>
                <w:szCs w:val="20"/>
              </w:rPr>
              <w:t>1.303 t</w:t>
            </w:r>
          </w:p>
        </w:tc>
        <w:tc>
          <w:tcPr>
            <w:tcW w:w="1559" w:type="dxa"/>
            <w:tcBorders>
              <w:top w:val="single" w:sz="4" w:space="0" w:color="231F20"/>
              <w:left w:val="single" w:sz="4" w:space="0" w:color="231F20"/>
              <w:bottom w:val="single" w:sz="4" w:space="0" w:color="231F20"/>
              <w:right w:val="single" w:sz="4" w:space="0" w:color="231F20"/>
            </w:tcBorders>
            <w:vAlign w:val="center"/>
          </w:tcPr>
          <w:p w14:paraId="5A0C57D2" w14:textId="77777777" w:rsidR="00830C04" w:rsidRPr="005E15A8" w:rsidRDefault="00830C04" w:rsidP="0085201C">
            <w:pPr>
              <w:spacing w:line="214" w:lineRule="auto"/>
              <w:ind w:left="370" w:hanging="370"/>
              <w:jc w:val="center"/>
              <w:rPr>
                <w:rFonts w:ascii="Cambria" w:hAnsi="Cambria"/>
                <w:sz w:val="20"/>
                <w:szCs w:val="20"/>
              </w:rPr>
            </w:pPr>
            <w:r w:rsidRPr="005E15A8">
              <w:rPr>
                <w:rFonts w:ascii="Cambria" w:hAnsi="Cambria"/>
                <w:color w:val="231F20"/>
                <w:sz w:val="20"/>
                <w:szCs w:val="20"/>
              </w:rPr>
              <w:t>49,00%</w:t>
            </w:r>
          </w:p>
        </w:tc>
      </w:tr>
      <w:tr w:rsidR="00830C04" w:rsidRPr="005E15A8" w14:paraId="1258F7D2" w14:textId="77777777" w:rsidTr="0080232F">
        <w:trPr>
          <w:trHeight w:val="220"/>
        </w:trPr>
        <w:tc>
          <w:tcPr>
            <w:tcW w:w="2410" w:type="dxa"/>
            <w:tcBorders>
              <w:top w:val="single" w:sz="4" w:space="0" w:color="231F20"/>
              <w:left w:val="single" w:sz="4" w:space="0" w:color="231F20"/>
              <w:bottom w:val="single" w:sz="4" w:space="0" w:color="231F20"/>
              <w:right w:val="single" w:sz="4" w:space="0" w:color="231F20"/>
            </w:tcBorders>
            <w:vAlign w:val="center"/>
          </w:tcPr>
          <w:p w14:paraId="46A1E3E7" w14:textId="77777777" w:rsidR="00830C04" w:rsidRPr="005E15A8" w:rsidRDefault="00830C04" w:rsidP="0085201C">
            <w:pPr>
              <w:spacing w:line="214" w:lineRule="auto"/>
              <w:ind w:left="96"/>
              <w:jc w:val="center"/>
              <w:rPr>
                <w:rFonts w:ascii="Cambria" w:hAnsi="Cambria"/>
                <w:sz w:val="20"/>
                <w:szCs w:val="20"/>
              </w:rPr>
            </w:pPr>
            <w:r w:rsidRPr="005E15A8">
              <w:rPr>
                <w:rFonts w:ascii="Cambria" w:hAnsi="Cambria"/>
                <w:color w:val="231F20"/>
                <w:sz w:val="20"/>
                <w:szCs w:val="20"/>
              </w:rPr>
              <w:t>Canada</w:t>
            </w:r>
          </w:p>
        </w:tc>
        <w:tc>
          <w:tcPr>
            <w:tcW w:w="1843" w:type="dxa"/>
            <w:tcBorders>
              <w:top w:val="single" w:sz="4" w:space="0" w:color="231F20"/>
              <w:left w:val="single" w:sz="4" w:space="0" w:color="231F20"/>
              <w:bottom w:val="single" w:sz="4" w:space="0" w:color="231F20"/>
              <w:right w:val="single" w:sz="4" w:space="0" w:color="231F20"/>
            </w:tcBorders>
            <w:vAlign w:val="center"/>
          </w:tcPr>
          <w:p w14:paraId="4BB0EEE8" w14:textId="77777777" w:rsidR="00830C04" w:rsidRPr="005E15A8" w:rsidRDefault="00830C04" w:rsidP="0085201C">
            <w:pPr>
              <w:spacing w:line="214" w:lineRule="auto"/>
              <w:ind w:left="502" w:hanging="362"/>
              <w:jc w:val="center"/>
              <w:rPr>
                <w:rFonts w:ascii="Cambria" w:hAnsi="Cambria"/>
                <w:sz w:val="20"/>
                <w:szCs w:val="20"/>
              </w:rPr>
            </w:pPr>
            <w:r w:rsidRPr="005E15A8">
              <w:rPr>
                <w:rFonts w:ascii="Cambria" w:hAnsi="Cambria"/>
                <w:color w:val="231F20"/>
                <w:sz w:val="20"/>
                <w:szCs w:val="20"/>
              </w:rPr>
              <w:t>22,32%</w:t>
            </w:r>
          </w:p>
        </w:tc>
        <w:tc>
          <w:tcPr>
            <w:tcW w:w="1559" w:type="dxa"/>
            <w:tcBorders>
              <w:top w:val="single" w:sz="4" w:space="0" w:color="231F20"/>
              <w:left w:val="single" w:sz="4" w:space="0" w:color="231F20"/>
              <w:bottom w:val="single" w:sz="4" w:space="0" w:color="231F20"/>
              <w:right w:val="single" w:sz="4" w:space="0" w:color="231F20"/>
            </w:tcBorders>
            <w:vAlign w:val="center"/>
          </w:tcPr>
          <w:p w14:paraId="5DCA19E3" w14:textId="77777777" w:rsidR="00830C04" w:rsidRPr="005E15A8" w:rsidRDefault="00830C04" w:rsidP="0085201C">
            <w:pPr>
              <w:spacing w:line="214" w:lineRule="auto"/>
              <w:ind w:left="143"/>
              <w:jc w:val="center"/>
              <w:rPr>
                <w:rFonts w:ascii="Cambria" w:hAnsi="Cambria"/>
                <w:sz w:val="20"/>
                <w:szCs w:val="20"/>
              </w:rPr>
            </w:pPr>
            <w:r w:rsidRPr="005E15A8">
              <w:rPr>
                <w:rFonts w:ascii="Cambria" w:hAnsi="Cambria"/>
                <w:color w:val="231F20"/>
                <w:sz w:val="20"/>
                <w:szCs w:val="20"/>
              </w:rPr>
              <w:t>539 t</w:t>
            </w:r>
          </w:p>
        </w:tc>
        <w:tc>
          <w:tcPr>
            <w:tcW w:w="2127" w:type="dxa"/>
            <w:tcBorders>
              <w:top w:val="single" w:sz="4" w:space="0" w:color="231F20"/>
              <w:left w:val="single" w:sz="4" w:space="0" w:color="231F20"/>
              <w:bottom w:val="single" w:sz="4" w:space="0" w:color="231F20"/>
              <w:right w:val="single" w:sz="4" w:space="0" w:color="231F20"/>
            </w:tcBorders>
            <w:vAlign w:val="center"/>
          </w:tcPr>
          <w:p w14:paraId="2D5010FA" w14:textId="77777777" w:rsidR="00830C04" w:rsidRPr="005E15A8" w:rsidRDefault="00830C04" w:rsidP="002911C0">
            <w:pPr>
              <w:spacing w:line="214" w:lineRule="auto"/>
              <w:ind w:left="1"/>
              <w:jc w:val="center"/>
              <w:rPr>
                <w:rFonts w:ascii="Cambria" w:hAnsi="Cambria"/>
                <w:sz w:val="20"/>
                <w:szCs w:val="20"/>
              </w:rPr>
            </w:pPr>
            <w:r w:rsidRPr="005E15A8">
              <w:rPr>
                <w:rFonts w:ascii="Cambria" w:hAnsi="Cambria"/>
                <w:color w:val="231F20"/>
                <w:sz w:val="20"/>
                <w:szCs w:val="20"/>
              </w:rPr>
              <w:t>539 t</w:t>
            </w:r>
          </w:p>
        </w:tc>
        <w:tc>
          <w:tcPr>
            <w:tcW w:w="1559" w:type="dxa"/>
            <w:tcBorders>
              <w:top w:val="single" w:sz="4" w:space="0" w:color="231F20"/>
              <w:left w:val="single" w:sz="4" w:space="0" w:color="231F20"/>
              <w:bottom w:val="single" w:sz="4" w:space="0" w:color="231F20"/>
              <w:right w:val="single" w:sz="4" w:space="0" w:color="231F20"/>
            </w:tcBorders>
            <w:vAlign w:val="center"/>
          </w:tcPr>
          <w:p w14:paraId="73A815CB" w14:textId="77777777" w:rsidR="00830C04" w:rsidRPr="005E15A8" w:rsidRDefault="00830C04" w:rsidP="0085201C">
            <w:pPr>
              <w:spacing w:line="214" w:lineRule="auto"/>
              <w:ind w:left="370" w:hanging="370"/>
              <w:jc w:val="center"/>
              <w:rPr>
                <w:rFonts w:ascii="Cambria" w:hAnsi="Cambria"/>
                <w:sz w:val="20"/>
                <w:szCs w:val="20"/>
              </w:rPr>
            </w:pPr>
            <w:r w:rsidRPr="005E15A8">
              <w:rPr>
                <w:rFonts w:ascii="Cambria" w:hAnsi="Cambria"/>
                <w:color w:val="231F20"/>
                <w:sz w:val="20"/>
                <w:szCs w:val="20"/>
              </w:rPr>
              <w:t>20,24%</w:t>
            </w:r>
          </w:p>
        </w:tc>
      </w:tr>
      <w:tr w:rsidR="00830C04" w:rsidRPr="005E15A8" w14:paraId="7696FD7B" w14:textId="77777777" w:rsidTr="0080232F">
        <w:trPr>
          <w:trHeight w:val="800"/>
        </w:trPr>
        <w:tc>
          <w:tcPr>
            <w:tcW w:w="2410" w:type="dxa"/>
            <w:tcBorders>
              <w:top w:val="single" w:sz="4" w:space="0" w:color="231F20"/>
              <w:left w:val="single" w:sz="4" w:space="0" w:color="231F20"/>
              <w:bottom w:val="single" w:sz="4" w:space="0" w:color="231F20"/>
              <w:right w:val="single" w:sz="4" w:space="0" w:color="231F20"/>
            </w:tcBorders>
            <w:vAlign w:val="center"/>
          </w:tcPr>
          <w:p w14:paraId="6B0E595E" w14:textId="77777777" w:rsidR="00830C04" w:rsidRPr="005E15A8" w:rsidRDefault="00830C04" w:rsidP="0085201C">
            <w:pPr>
              <w:ind w:left="96"/>
              <w:jc w:val="center"/>
              <w:rPr>
                <w:rFonts w:ascii="Cambria" w:hAnsi="Cambria"/>
                <w:sz w:val="20"/>
                <w:szCs w:val="20"/>
              </w:rPr>
            </w:pPr>
            <w:r w:rsidRPr="005E15A8">
              <w:rPr>
                <w:rFonts w:ascii="Cambria" w:hAnsi="Cambria"/>
                <w:color w:val="231F20"/>
                <w:sz w:val="20"/>
                <w:szCs w:val="20"/>
              </w:rPr>
              <w:t>Japon</w:t>
            </w:r>
          </w:p>
        </w:tc>
        <w:tc>
          <w:tcPr>
            <w:tcW w:w="1843" w:type="dxa"/>
            <w:tcBorders>
              <w:top w:val="single" w:sz="4" w:space="0" w:color="231F20"/>
              <w:left w:val="single" w:sz="4" w:space="0" w:color="231F20"/>
              <w:bottom w:val="single" w:sz="4" w:space="0" w:color="231F20"/>
              <w:right w:val="single" w:sz="4" w:space="0" w:color="231F20"/>
            </w:tcBorders>
            <w:vAlign w:val="center"/>
          </w:tcPr>
          <w:p w14:paraId="053CB84F" w14:textId="77777777" w:rsidR="00830C04" w:rsidRPr="005E15A8" w:rsidRDefault="00830C04" w:rsidP="0085201C">
            <w:pPr>
              <w:ind w:left="502" w:hanging="362"/>
              <w:jc w:val="center"/>
              <w:rPr>
                <w:rFonts w:ascii="Cambria" w:hAnsi="Cambria"/>
                <w:sz w:val="20"/>
                <w:szCs w:val="20"/>
              </w:rPr>
            </w:pPr>
            <w:r w:rsidRPr="005E15A8">
              <w:rPr>
                <w:rFonts w:ascii="Cambria" w:hAnsi="Cambria"/>
                <w:color w:val="231F20"/>
                <w:sz w:val="20"/>
                <w:szCs w:val="20"/>
              </w:rPr>
              <w:t>17,64%</w:t>
            </w:r>
          </w:p>
        </w:tc>
        <w:tc>
          <w:tcPr>
            <w:tcW w:w="1559" w:type="dxa"/>
            <w:tcBorders>
              <w:top w:val="single" w:sz="4" w:space="0" w:color="231F20"/>
              <w:left w:val="single" w:sz="4" w:space="0" w:color="231F20"/>
              <w:bottom w:val="single" w:sz="4" w:space="0" w:color="231F20"/>
              <w:right w:val="single" w:sz="4" w:space="0" w:color="231F20"/>
            </w:tcBorders>
            <w:vAlign w:val="center"/>
          </w:tcPr>
          <w:p w14:paraId="511ABD37" w14:textId="77777777" w:rsidR="00830C04" w:rsidRPr="005E15A8" w:rsidRDefault="00830C04" w:rsidP="0085201C">
            <w:pPr>
              <w:ind w:left="143"/>
              <w:jc w:val="center"/>
              <w:rPr>
                <w:rFonts w:ascii="Cambria" w:hAnsi="Cambria"/>
                <w:sz w:val="20"/>
                <w:szCs w:val="20"/>
              </w:rPr>
            </w:pPr>
            <w:r w:rsidRPr="005E15A8">
              <w:rPr>
                <w:rFonts w:ascii="Cambria" w:hAnsi="Cambria"/>
                <w:color w:val="231F20"/>
                <w:sz w:val="20"/>
                <w:szCs w:val="20"/>
              </w:rPr>
              <w:t>426 t</w:t>
            </w:r>
          </w:p>
        </w:tc>
        <w:tc>
          <w:tcPr>
            <w:tcW w:w="2127" w:type="dxa"/>
            <w:tcBorders>
              <w:top w:val="single" w:sz="4" w:space="0" w:color="231F20"/>
              <w:left w:val="single" w:sz="4" w:space="0" w:color="231F20"/>
              <w:bottom w:val="single" w:sz="4" w:space="0" w:color="231F20"/>
              <w:right w:val="single" w:sz="4" w:space="0" w:color="231F20"/>
            </w:tcBorders>
            <w:vAlign w:val="center"/>
          </w:tcPr>
          <w:p w14:paraId="03CF528F" w14:textId="7676DE89" w:rsidR="00830C04" w:rsidRPr="005E15A8" w:rsidRDefault="00830C04" w:rsidP="002911C0">
            <w:pPr>
              <w:spacing w:line="237" w:lineRule="auto"/>
              <w:ind w:left="136" w:right="135"/>
              <w:jc w:val="center"/>
              <w:rPr>
                <w:rFonts w:ascii="Cambria" w:hAnsi="Cambria"/>
                <w:color w:val="231F20"/>
                <w:sz w:val="20"/>
                <w:szCs w:val="20"/>
              </w:rPr>
            </w:pPr>
            <w:r w:rsidRPr="005E15A8">
              <w:rPr>
                <w:rFonts w:ascii="Cambria" w:hAnsi="Cambria"/>
                <w:color w:val="231F20"/>
                <w:sz w:val="20"/>
                <w:szCs w:val="20"/>
              </w:rPr>
              <w:t>426 t +</w:t>
            </w:r>
            <w:r w:rsidR="0080232F" w:rsidRPr="005E15A8">
              <w:rPr>
                <w:rFonts w:ascii="Cambria" w:hAnsi="Cambria"/>
                <w:color w:val="231F20"/>
                <w:sz w:val="20"/>
                <w:szCs w:val="20"/>
              </w:rPr>
              <w:t xml:space="preserve"> </w:t>
            </w:r>
            <w:r w:rsidRPr="005E15A8">
              <w:rPr>
                <w:rFonts w:ascii="Cambria" w:hAnsi="Cambria"/>
                <w:color w:val="231F20"/>
                <w:sz w:val="20"/>
                <w:szCs w:val="20"/>
              </w:rPr>
              <w:t>toute augmentation entre</w:t>
            </w:r>
            <w:r w:rsidR="0080232F" w:rsidRPr="005E15A8">
              <w:rPr>
                <w:rFonts w:ascii="Cambria" w:hAnsi="Cambria"/>
                <w:color w:val="231F20"/>
                <w:sz w:val="20"/>
                <w:szCs w:val="20"/>
              </w:rPr>
              <w:t xml:space="preserve"> </w:t>
            </w:r>
          </w:p>
          <w:p w14:paraId="439ED9F7" w14:textId="77777777" w:rsidR="00830C04" w:rsidRPr="005E15A8" w:rsidRDefault="00830C04" w:rsidP="002911C0">
            <w:pPr>
              <w:spacing w:line="237" w:lineRule="auto"/>
              <w:ind w:left="136" w:right="135"/>
              <w:jc w:val="center"/>
              <w:rPr>
                <w:rFonts w:ascii="Cambria" w:hAnsi="Cambria"/>
                <w:sz w:val="20"/>
                <w:szCs w:val="20"/>
              </w:rPr>
            </w:pPr>
            <w:r w:rsidRPr="005E15A8">
              <w:rPr>
                <w:rFonts w:ascii="Cambria" w:hAnsi="Cambria"/>
                <w:color w:val="231F20"/>
                <w:sz w:val="20"/>
                <w:szCs w:val="20"/>
              </w:rPr>
              <w:t>2.413 t et 2.660 t</w:t>
            </w:r>
          </w:p>
        </w:tc>
        <w:tc>
          <w:tcPr>
            <w:tcW w:w="1559" w:type="dxa"/>
            <w:tcBorders>
              <w:top w:val="single" w:sz="4" w:space="0" w:color="231F20"/>
              <w:left w:val="single" w:sz="4" w:space="0" w:color="231F20"/>
              <w:bottom w:val="single" w:sz="4" w:space="0" w:color="231F20"/>
              <w:right w:val="single" w:sz="4" w:space="0" w:color="231F20"/>
            </w:tcBorders>
            <w:vAlign w:val="center"/>
          </w:tcPr>
          <w:p w14:paraId="2AA77DEF" w14:textId="77777777" w:rsidR="00830C04" w:rsidRPr="005E15A8" w:rsidRDefault="00830C04" w:rsidP="0085201C">
            <w:pPr>
              <w:ind w:left="370" w:hanging="370"/>
              <w:jc w:val="center"/>
              <w:rPr>
                <w:rFonts w:ascii="Cambria" w:hAnsi="Cambria"/>
                <w:sz w:val="20"/>
                <w:szCs w:val="20"/>
              </w:rPr>
            </w:pPr>
            <w:r w:rsidRPr="005E15A8">
              <w:rPr>
                <w:rFonts w:ascii="Cambria" w:hAnsi="Cambria"/>
                <w:color w:val="231F20"/>
                <w:sz w:val="20"/>
                <w:szCs w:val="20"/>
              </w:rPr>
              <w:t>24,74%</w:t>
            </w:r>
          </w:p>
        </w:tc>
      </w:tr>
      <w:tr w:rsidR="00830C04" w:rsidRPr="005E15A8" w14:paraId="49B068A6" w14:textId="77777777" w:rsidTr="0080232F">
        <w:trPr>
          <w:trHeight w:val="700"/>
        </w:trPr>
        <w:tc>
          <w:tcPr>
            <w:tcW w:w="2410" w:type="dxa"/>
            <w:tcBorders>
              <w:top w:val="single" w:sz="4" w:space="0" w:color="231F20"/>
              <w:left w:val="single" w:sz="4" w:space="0" w:color="231F20"/>
              <w:bottom w:val="single" w:sz="4" w:space="0" w:color="231F20"/>
              <w:right w:val="single" w:sz="4" w:space="0" w:color="231F20"/>
            </w:tcBorders>
            <w:vAlign w:val="center"/>
          </w:tcPr>
          <w:p w14:paraId="198758B6" w14:textId="77777777" w:rsidR="00830C04" w:rsidRPr="005E15A8" w:rsidRDefault="00830C04" w:rsidP="0085201C">
            <w:pPr>
              <w:spacing w:line="238" w:lineRule="auto"/>
              <w:ind w:left="96" w:right="397"/>
              <w:jc w:val="center"/>
              <w:rPr>
                <w:rFonts w:ascii="Cambria" w:hAnsi="Cambria"/>
                <w:sz w:val="20"/>
                <w:szCs w:val="20"/>
              </w:rPr>
            </w:pPr>
            <w:r w:rsidRPr="005E15A8">
              <w:rPr>
                <w:rFonts w:ascii="Cambria" w:hAnsi="Cambria"/>
                <w:color w:val="231F20"/>
                <w:sz w:val="20"/>
                <w:szCs w:val="20"/>
              </w:rPr>
              <w:t>Royaume-Uni (au titre des Bermudes)</w:t>
            </w:r>
          </w:p>
        </w:tc>
        <w:tc>
          <w:tcPr>
            <w:tcW w:w="1843" w:type="dxa"/>
            <w:tcBorders>
              <w:top w:val="single" w:sz="4" w:space="0" w:color="231F20"/>
              <w:left w:val="single" w:sz="4" w:space="0" w:color="231F20"/>
              <w:bottom w:val="single" w:sz="4" w:space="0" w:color="231F20"/>
              <w:right w:val="single" w:sz="4" w:space="0" w:color="231F20"/>
            </w:tcBorders>
            <w:vAlign w:val="center"/>
          </w:tcPr>
          <w:p w14:paraId="78630FDC" w14:textId="77777777" w:rsidR="00830C04" w:rsidRPr="005E15A8" w:rsidRDefault="00830C04" w:rsidP="002911C0">
            <w:pPr>
              <w:spacing w:before="102"/>
              <w:jc w:val="center"/>
              <w:rPr>
                <w:rFonts w:ascii="Cambria" w:hAnsi="Cambria"/>
                <w:sz w:val="20"/>
                <w:szCs w:val="20"/>
              </w:rPr>
            </w:pPr>
            <w:r w:rsidRPr="005E15A8">
              <w:rPr>
                <w:rFonts w:ascii="Cambria" w:hAnsi="Cambria"/>
                <w:color w:val="231F20"/>
                <w:sz w:val="20"/>
                <w:szCs w:val="20"/>
              </w:rPr>
              <w:t>0,23%</w:t>
            </w:r>
          </w:p>
        </w:tc>
        <w:tc>
          <w:tcPr>
            <w:tcW w:w="1559" w:type="dxa"/>
            <w:tcBorders>
              <w:top w:val="single" w:sz="4" w:space="0" w:color="231F20"/>
              <w:left w:val="single" w:sz="4" w:space="0" w:color="231F20"/>
              <w:bottom w:val="single" w:sz="4" w:space="0" w:color="231F20"/>
              <w:right w:val="single" w:sz="4" w:space="0" w:color="231F20"/>
            </w:tcBorders>
            <w:vAlign w:val="center"/>
          </w:tcPr>
          <w:p w14:paraId="0B6471A6" w14:textId="77777777" w:rsidR="00830C04" w:rsidRPr="005E15A8" w:rsidRDefault="00830C04" w:rsidP="0085201C">
            <w:pPr>
              <w:spacing w:before="102"/>
              <w:ind w:left="143"/>
              <w:jc w:val="center"/>
              <w:rPr>
                <w:rFonts w:ascii="Cambria" w:hAnsi="Cambria"/>
                <w:sz w:val="20"/>
                <w:szCs w:val="20"/>
              </w:rPr>
            </w:pPr>
            <w:r w:rsidRPr="005E15A8">
              <w:rPr>
                <w:rFonts w:ascii="Cambria" w:hAnsi="Cambria"/>
                <w:color w:val="231F20"/>
                <w:sz w:val="20"/>
                <w:szCs w:val="20"/>
              </w:rPr>
              <w:t>5,5 t</w:t>
            </w:r>
          </w:p>
        </w:tc>
        <w:tc>
          <w:tcPr>
            <w:tcW w:w="2127" w:type="dxa"/>
            <w:tcBorders>
              <w:top w:val="single" w:sz="4" w:space="0" w:color="231F20"/>
              <w:left w:val="single" w:sz="4" w:space="0" w:color="231F20"/>
              <w:bottom w:val="single" w:sz="4" w:space="0" w:color="231F20"/>
              <w:right w:val="single" w:sz="4" w:space="0" w:color="231F20"/>
            </w:tcBorders>
            <w:vAlign w:val="center"/>
          </w:tcPr>
          <w:p w14:paraId="27689132" w14:textId="77777777" w:rsidR="00830C04" w:rsidRPr="005E15A8" w:rsidRDefault="00830C04" w:rsidP="007F6D45">
            <w:pPr>
              <w:spacing w:before="102"/>
              <w:ind w:left="728" w:firstLine="265"/>
              <w:rPr>
                <w:rFonts w:ascii="Cambria" w:hAnsi="Cambria"/>
                <w:sz w:val="20"/>
                <w:szCs w:val="20"/>
              </w:rPr>
            </w:pPr>
            <w:r w:rsidRPr="005E15A8">
              <w:rPr>
                <w:rFonts w:ascii="Cambria" w:hAnsi="Cambria"/>
                <w:color w:val="231F20"/>
                <w:sz w:val="20"/>
                <w:szCs w:val="20"/>
              </w:rPr>
              <w:t>5,5 t</w:t>
            </w:r>
          </w:p>
        </w:tc>
        <w:tc>
          <w:tcPr>
            <w:tcW w:w="1559" w:type="dxa"/>
            <w:tcBorders>
              <w:top w:val="single" w:sz="4" w:space="0" w:color="231F20"/>
              <w:left w:val="single" w:sz="4" w:space="0" w:color="231F20"/>
              <w:bottom w:val="single" w:sz="4" w:space="0" w:color="231F20"/>
              <w:right w:val="single" w:sz="4" w:space="0" w:color="231F20"/>
            </w:tcBorders>
            <w:vAlign w:val="center"/>
          </w:tcPr>
          <w:p w14:paraId="7197053A" w14:textId="77777777" w:rsidR="00830C04" w:rsidRPr="005E15A8" w:rsidRDefault="00830C04" w:rsidP="0085201C">
            <w:pPr>
              <w:spacing w:before="102"/>
              <w:ind w:left="417" w:hanging="370"/>
              <w:jc w:val="center"/>
              <w:rPr>
                <w:rFonts w:ascii="Cambria" w:hAnsi="Cambria"/>
                <w:sz w:val="20"/>
                <w:szCs w:val="20"/>
              </w:rPr>
            </w:pPr>
            <w:r w:rsidRPr="005E15A8">
              <w:rPr>
                <w:rFonts w:ascii="Cambria" w:hAnsi="Cambria"/>
                <w:color w:val="231F20"/>
                <w:sz w:val="20"/>
                <w:szCs w:val="20"/>
              </w:rPr>
              <w:t>0,23%</w:t>
            </w:r>
          </w:p>
        </w:tc>
      </w:tr>
      <w:tr w:rsidR="00830C04" w:rsidRPr="005E15A8" w14:paraId="18F42F3E" w14:textId="77777777" w:rsidTr="0080232F">
        <w:trPr>
          <w:trHeight w:val="700"/>
        </w:trPr>
        <w:tc>
          <w:tcPr>
            <w:tcW w:w="2410" w:type="dxa"/>
            <w:tcBorders>
              <w:top w:val="single" w:sz="4" w:space="0" w:color="231F20"/>
              <w:left w:val="single" w:sz="4" w:space="0" w:color="231F20"/>
              <w:bottom w:val="single" w:sz="4" w:space="0" w:color="231F20"/>
              <w:right w:val="single" w:sz="4" w:space="0" w:color="231F20"/>
            </w:tcBorders>
            <w:vAlign w:val="center"/>
          </w:tcPr>
          <w:p w14:paraId="0FAB7569" w14:textId="77777777" w:rsidR="00830C04" w:rsidRPr="005E15A8" w:rsidRDefault="00830C04" w:rsidP="0085201C">
            <w:pPr>
              <w:spacing w:line="216" w:lineRule="auto"/>
              <w:ind w:left="96" w:right="128"/>
              <w:jc w:val="center"/>
              <w:rPr>
                <w:rFonts w:ascii="Cambria" w:hAnsi="Cambria"/>
                <w:sz w:val="20"/>
                <w:szCs w:val="20"/>
              </w:rPr>
            </w:pPr>
            <w:r w:rsidRPr="005E15A8">
              <w:rPr>
                <w:rFonts w:ascii="Cambria" w:hAnsi="Cambria"/>
                <w:color w:val="231F20"/>
                <w:sz w:val="20"/>
                <w:szCs w:val="20"/>
              </w:rPr>
              <w:t>France (au titre de Saint-Pierre-et-Miquelon)</w:t>
            </w:r>
          </w:p>
        </w:tc>
        <w:tc>
          <w:tcPr>
            <w:tcW w:w="1843" w:type="dxa"/>
            <w:tcBorders>
              <w:top w:val="single" w:sz="4" w:space="0" w:color="231F20"/>
              <w:left w:val="single" w:sz="4" w:space="0" w:color="231F20"/>
              <w:bottom w:val="single" w:sz="4" w:space="0" w:color="231F20"/>
              <w:right w:val="single" w:sz="4" w:space="0" w:color="231F20"/>
            </w:tcBorders>
            <w:vAlign w:val="center"/>
          </w:tcPr>
          <w:p w14:paraId="3FC3ED19" w14:textId="77777777" w:rsidR="00830C04" w:rsidRPr="005E15A8" w:rsidRDefault="00830C04" w:rsidP="002911C0">
            <w:pPr>
              <w:spacing w:before="103"/>
              <w:jc w:val="center"/>
              <w:rPr>
                <w:rFonts w:ascii="Cambria" w:hAnsi="Cambria"/>
                <w:sz w:val="20"/>
                <w:szCs w:val="20"/>
              </w:rPr>
            </w:pPr>
            <w:r w:rsidRPr="005E15A8">
              <w:rPr>
                <w:rFonts w:ascii="Cambria" w:hAnsi="Cambria"/>
                <w:color w:val="231F20"/>
                <w:sz w:val="20"/>
                <w:szCs w:val="20"/>
              </w:rPr>
              <w:t>0,23%</w:t>
            </w:r>
          </w:p>
        </w:tc>
        <w:tc>
          <w:tcPr>
            <w:tcW w:w="1559" w:type="dxa"/>
            <w:tcBorders>
              <w:top w:val="single" w:sz="4" w:space="0" w:color="231F20"/>
              <w:left w:val="single" w:sz="4" w:space="0" w:color="231F20"/>
              <w:bottom w:val="single" w:sz="4" w:space="0" w:color="231F20"/>
              <w:right w:val="single" w:sz="4" w:space="0" w:color="231F20"/>
            </w:tcBorders>
            <w:vAlign w:val="center"/>
          </w:tcPr>
          <w:p w14:paraId="5A6BBB83" w14:textId="77777777" w:rsidR="00830C04" w:rsidRPr="005E15A8" w:rsidRDefault="00830C04" w:rsidP="0085201C">
            <w:pPr>
              <w:spacing w:before="103"/>
              <w:ind w:left="143"/>
              <w:jc w:val="center"/>
              <w:rPr>
                <w:rFonts w:ascii="Cambria" w:hAnsi="Cambria"/>
                <w:sz w:val="20"/>
                <w:szCs w:val="20"/>
              </w:rPr>
            </w:pPr>
            <w:r w:rsidRPr="005E15A8">
              <w:rPr>
                <w:rFonts w:ascii="Cambria" w:hAnsi="Cambria"/>
                <w:color w:val="231F20"/>
                <w:sz w:val="20"/>
                <w:szCs w:val="20"/>
              </w:rPr>
              <w:t>5,5 t</w:t>
            </w:r>
          </w:p>
        </w:tc>
        <w:tc>
          <w:tcPr>
            <w:tcW w:w="2127" w:type="dxa"/>
            <w:tcBorders>
              <w:top w:val="single" w:sz="4" w:space="0" w:color="231F20"/>
              <w:left w:val="single" w:sz="4" w:space="0" w:color="231F20"/>
              <w:bottom w:val="single" w:sz="4" w:space="0" w:color="231F20"/>
              <w:right w:val="single" w:sz="4" w:space="0" w:color="231F20"/>
            </w:tcBorders>
            <w:vAlign w:val="center"/>
          </w:tcPr>
          <w:p w14:paraId="72056BDA" w14:textId="77777777" w:rsidR="00830C04" w:rsidRPr="005E15A8" w:rsidRDefault="00830C04" w:rsidP="007F6D45">
            <w:pPr>
              <w:spacing w:before="103"/>
              <w:ind w:left="728" w:firstLine="265"/>
              <w:rPr>
                <w:rFonts w:ascii="Cambria" w:hAnsi="Cambria"/>
                <w:sz w:val="20"/>
                <w:szCs w:val="20"/>
              </w:rPr>
            </w:pPr>
            <w:r w:rsidRPr="005E15A8">
              <w:rPr>
                <w:rFonts w:ascii="Cambria" w:hAnsi="Cambria"/>
                <w:color w:val="231F20"/>
                <w:sz w:val="20"/>
                <w:szCs w:val="20"/>
              </w:rPr>
              <w:t>5,5 t</w:t>
            </w:r>
          </w:p>
        </w:tc>
        <w:tc>
          <w:tcPr>
            <w:tcW w:w="1559" w:type="dxa"/>
            <w:tcBorders>
              <w:top w:val="single" w:sz="4" w:space="0" w:color="231F20"/>
              <w:left w:val="single" w:sz="4" w:space="0" w:color="231F20"/>
              <w:bottom w:val="single" w:sz="4" w:space="0" w:color="231F20"/>
              <w:right w:val="single" w:sz="4" w:space="0" w:color="231F20"/>
            </w:tcBorders>
            <w:vAlign w:val="center"/>
          </w:tcPr>
          <w:p w14:paraId="55076D2D" w14:textId="77777777" w:rsidR="00830C04" w:rsidRPr="005E15A8" w:rsidRDefault="00830C04" w:rsidP="0085201C">
            <w:pPr>
              <w:spacing w:before="103"/>
              <w:ind w:left="417" w:hanging="370"/>
              <w:jc w:val="center"/>
              <w:rPr>
                <w:rFonts w:ascii="Cambria" w:hAnsi="Cambria"/>
                <w:sz w:val="20"/>
                <w:szCs w:val="20"/>
              </w:rPr>
            </w:pPr>
            <w:r w:rsidRPr="005E15A8">
              <w:rPr>
                <w:rFonts w:ascii="Cambria" w:hAnsi="Cambria"/>
                <w:color w:val="231F20"/>
                <w:sz w:val="20"/>
                <w:szCs w:val="20"/>
              </w:rPr>
              <w:t>0,23%</w:t>
            </w:r>
          </w:p>
        </w:tc>
      </w:tr>
      <w:tr w:rsidR="00830C04" w:rsidRPr="005E15A8" w14:paraId="54C3A21E" w14:textId="77777777" w:rsidTr="0080232F">
        <w:trPr>
          <w:trHeight w:val="447"/>
        </w:trPr>
        <w:tc>
          <w:tcPr>
            <w:tcW w:w="2410" w:type="dxa"/>
            <w:tcBorders>
              <w:top w:val="single" w:sz="4" w:space="0" w:color="231F20"/>
              <w:left w:val="single" w:sz="4" w:space="0" w:color="231F20"/>
              <w:bottom w:val="single" w:sz="4" w:space="0" w:color="231F20"/>
              <w:right w:val="single" w:sz="4" w:space="0" w:color="231F20"/>
            </w:tcBorders>
            <w:vAlign w:val="center"/>
          </w:tcPr>
          <w:p w14:paraId="6AC51378" w14:textId="77777777" w:rsidR="00830C04" w:rsidRPr="005E15A8" w:rsidRDefault="00830C04" w:rsidP="0085201C">
            <w:pPr>
              <w:spacing w:line="213" w:lineRule="auto"/>
              <w:ind w:left="96"/>
              <w:jc w:val="center"/>
              <w:rPr>
                <w:rFonts w:ascii="Cambria" w:hAnsi="Cambria"/>
                <w:sz w:val="20"/>
                <w:szCs w:val="20"/>
              </w:rPr>
            </w:pPr>
            <w:r w:rsidRPr="005E15A8">
              <w:rPr>
                <w:rFonts w:ascii="Cambria" w:hAnsi="Cambria"/>
                <w:color w:val="231F20"/>
                <w:sz w:val="20"/>
                <w:szCs w:val="20"/>
              </w:rPr>
              <w:t>Mexique</w:t>
            </w:r>
          </w:p>
        </w:tc>
        <w:tc>
          <w:tcPr>
            <w:tcW w:w="1843" w:type="dxa"/>
            <w:tcBorders>
              <w:top w:val="single" w:sz="4" w:space="0" w:color="231F20"/>
              <w:left w:val="single" w:sz="4" w:space="0" w:color="231F20"/>
              <w:bottom w:val="single" w:sz="4" w:space="0" w:color="231F20"/>
              <w:right w:val="single" w:sz="4" w:space="0" w:color="231F20"/>
            </w:tcBorders>
            <w:vAlign w:val="center"/>
          </w:tcPr>
          <w:p w14:paraId="2588DA68" w14:textId="77777777" w:rsidR="00830C04" w:rsidRPr="005E15A8" w:rsidRDefault="00830C04" w:rsidP="002911C0">
            <w:pPr>
              <w:spacing w:line="213" w:lineRule="auto"/>
              <w:jc w:val="center"/>
              <w:rPr>
                <w:rFonts w:ascii="Cambria" w:hAnsi="Cambria"/>
                <w:sz w:val="20"/>
                <w:szCs w:val="20"/>
              </w:rPr>
            </w:pPr>
            <w:r w:rsidRPr="005E15A8">
              <w:rPr>
                <w:rFonts w:ascii="Cambria" w:hAnsi="Cambria"/>
                <w:color w:val="231F20"/>
                <w:sz w:val="20"/>
                <w:szCs w:val="20"/>
              </w:rPr>
              <w:t>5,56%</w:t>
            </w:r>
          </w:p>
        </w:tc>
        <w:tc>
          <w:tcPr>
            <w:tcW w:w="1559" w:type="dxa"/>
            <w:tcBorders>
              <w:top w:val="single" w:sz="4" w:space="0" w:color="231F20"/>
              <w:left w:val="single" w:sz="4" w:space="0" w:color="231F20"/>
              <w:bottom w:val="single" w:sz="4" w:space="0" w:color="231F20"/>
              <w:right w:val="single" w:sz="4" w:space="0" w:color="231F20"/>
            </w:tcBorders>
            <w:vAlign w:val="center"/>
          </w:tcPr>
          <w:p w14:paraId="0E2F8C58" w14:textId="77777777" w:rsidR="00830C04" w:rsidRPr="005E15A8" w:rsidRDefault="00830C04" w:rsidP="0085201C">
            <w:pPr>
              <w:spacing w:line="213" w:lineRule="auto"/>
              <w:ind w:left="143"/>
              <w:jc w:val="center"/>
              <w:rPr>
                <w:rFonts w:ascii="Cambria" w:hAnsi="Cambria"/>
                <w:sz w:val="20"/>
                <w:szCs w:val="20"/>
              </w:rPr>
            </w:pPr>
            <w:r w:rsidRPr="005E15A8">
              <w:rPr>
                <w:rFonts w:ascii="Cambria" w:hAnsi="Cambria"/>
                <w:color w:val="231F20"/>
                <w:sz w:val="20"/>
                <w:szCs w:val="20"/>
              </w:rPr>
              <w:t>134 t</w:t>
            </w:r>
          </w:p>
        </w:tc>
        <w:tc>
          <w:tcPr>
            <w:tcW w:w="2127" w:type="dxa"/>
            <w:tcBorders>
              <w:top w:val="single" w:sz="4" w:space="0" w:color="231F20"/>
              <w:left w:val="single" w:sz="4" w:space="0" w:color="231F20"/>
              <w:bottom w:val="single" w:sz="4" w:space="0" w:color="231F20"/>
              <w:right w:val="single" w:sz="4" w:space="0" w:color="231F20"/>
            </w:tcBorders>
            <w:vAlign w:val="center"/>
          </w:tcPr>
          <w:p w14:paraId="5127C729" w14:textId="77777777" w:rsidR="00830C04" w:rsidRPr="005E15A8" w:rsidRDefault="00830C04" w:rsidP="002911C0">
            <w:pPr>
              <w:spacing w:line="213" w:lineRule="auto"/>
              <w:ind w:left="1" w:firstLine="265"/>
              <w:jc w:val="center"/>
              <w:rPr>
                <w:rFonts w:ascii="Cambria" w:hAnsi="Cambria"/>
                <w:sz w:val="20"/>
                <w:szCs w:val="20"/>
              </w:rPr>
            </w:pPr>
            <w:r w:rsidRPr="005E15A8">
              <w:rPr>
                <w:rFonts w:ascii="Cambria" w:hAnsi="Cambria"/>
                <w:color w:val="231F20"/>
                <w:sz w:val="20"/>
                <w:szCs w:val="20"/>
              </w:rPr>
              <w:t>134 t</w:t>
            </w:r>
          </w:p>
        </w:tc>
        <w:tc>
          <w:tcPr>
            <w:tcW w:w="1559" w:type="dxa"/>
            <w:tcBorders>
              <w:top w:val="single" w:sz="4" w:space="0" w:color="231F20"/>
              <w:left w:val="single" w:sz="4" w:space="0" w:color="231F20"/>
              <w:bottom w:val="single" w:sz="4" w:space="0" w:color="231F20"/>
              <w:right w:val="single" w:sz="4" w:space="0" w:color="231F20"/>
            </w:tcBorders>
            <w:vAlign w:val="center"/>
          </w:tcPr>
          <w:p w14:paraId="7E105CC3" w14:textId="77777777" w:rsidR="00830C04" w:rsidRPr="005E15A8" w:rsidRDefault="00830C04" w:rsidP="0085201C">
            <w:pPr>
              <w:spacing w:line="213" w:lineRule="auto"/>
              <w:ind w:left="417" w:hanging="370"/>
              <w:jc w:val="center"/>
              <w:rPr>
                <w:rFonts w:ascii="Cambria" w:hAnsi="Cambria"/>
                <w:sz w:val="20"/>
                <w:szCs w:val="20"/>
              </w:rPr>
            </w:pPr>
            <w:r w:rsidRPr="005E15A8">
              <w:rPr>
                <w:rFonts w:ascii="Cambria" w:hAnsi="Cambria"/>
                <w:color w:val="231F20"/>
                <w:sz w:val="20"/>
                <w:szCs w:val="20"/>
              </w:rPr>
              <w:t>5,56%</w:t>
            </w:r>
          </w:p>
        </w:tc>
      </w:tr>
    </w:tbl>
    <w:p w14:paraId="61C51FC6" w14:textId="3AA7D3E2" w:rsidR="00DB393E" w:rsidRPr="005E15A8" w:rsidRDefault="00707460" w:rsidP="00707460">
      <w:pPr>
        <w:ind w:leftChars="580" w:left="1700" w:rightChars="192" w:right="422" w:hanging="424"/>
        <w:jc w:val="both"/>
        <w:rPr>
          <w:rFonts w:ascii="Cambria" w:hAnsi="Cambria"/>
          <w:sz w:val="20"/>
          <w:szCs w:val="20"/>
        </w:rPr>
      </w:pPr>
      <w:r w:rsidRPr="005E15A8">
        <w:rPr>
          <w:rFonts w:ascii="Cambria" w:hAnsi="Cambria"/>
          <w:color w:val="231F20"/>
          <w:sz w:val="20"/>
          <w:szCs w:val="20"/>
        </w:rPr>
        <w:lastRenderedPageBreak/>
        <w:t>c)</w:t>
      </w:r>
      <w:r w:rsidRPr="005E15A8">
        <w:rPr>
          <w:rFonts w:ascii="Cambria" w:hAnsi="Cambria"/>
          <w:color w:val="231F20"/>
          <w:sz w:val="20"/>
          <w:szCs w:val="20"/>
        </w:rPr>
        <w:tab/>
      </w:r>
      <w:r w:rsidR="0056447F" w:rsidRPr="005E15A8">
        <w:rPr>
          <w:rFonts w:ascii="Cambria" w:hAnsi="Cambria"/>
          <w:color w:val="231F20"/>
          <w:sz w:val="20"/>
          <w:szCs w:val="20"/>
        </w:rPr>
        <w:t xml:space="preserve">Conformément aux </w:t>
      </w:r>
      <w:r w:rsidR="0056447F" w:rsidRPr="005E15A8">
        <w:rPr>
          <w:rFonts w:ascii="Cambria" w:hAnsi="Cambria"/>
          <w:sz w:val="20"/>
          <w:szCs w:val="20"/>
        </w:rPr>
        <w:t>paragraphes</w:t>
      </w:r>
      <w:r w:rsidR="0056447F" w:rsidRPr="005E15A8">
        <w:rPr>
          <w:rFonts w:ascii="Cambria" w:hAnsi="Cambria"/>
          <w:color w:val="231F20"/>
          <w:sz w:val="20"/>
          <w:szCs w:val="20"/>
        </w:rPr>
        <w:t xml:space="preserve"> 1, 3 et 6.b), le TAC pour </w:t>
      </w:r>
      <w:r w:rsidR="0080232F" w:rsidRPr="005E15A8">
        <w:rPr>
          <w:rFonts w:ascii="Cambria" w:hAnsi="Cambria"/>
          <w:color w:val="231F20"/>
          <w:sz w:val="20"/>
          <w:szCs w:val="20"/>
        </w:rPr>
        <w:t>2022</w:t>
      </w:r>
      <w:r w:rsidR="0056447F" w:rsidRPr="005E15A8">
        <w:rPr>
          <w:rFonts w:ascii="Cambria" w:hAnsi="Cambria"/>
          <w:color w:val="231F20"/>
          <w:sz w:val="20"/>
          <w:szCs w:val="20"/>
        </w:rPr>
        <w:t xml:space="preserve"> donne lieu aux allocations de quota suivantes spécifiques aux CPC (n’incluant pas les tolérances des prises accessoires visées au paragraphe 6.a)</w:t>
      </w:r>
      <w:r w:rsidR="004C4487" w:rsidRPr="005E15A8">
        <w:rPr>
          <w:rFonts w:ascii="Cambria" w:hAnsi="Cambria"/>
          <w:color w:val="231F20"/>
          <w:sz w:val="20"/>
          <w:szCs w:val="20"/>
        </w:rPr>
        <w:t>)</w:t>
      </w:r>
      <w:r w:rsidR="00703BD4" w:rsidRPr="005E15A8">
        <w:rPr>
          <w:rFonts w:ascii="Cambria" w:hAnsi="Cambria"/>
          <w:color w:val="231F20"/>
          <w:sz w:val="20"/>
          <w:szCs w:val="20"/>
        </w:rPr>
        <w:t> :</w:t>
      </w:r>
    </w:p>
    <w:p w14:paraId="6260D50E" w14:textId="11F6A81C" w:rsidR="00DB393E" w:rsidRPr="005E15A8" w:rsidRDefault="0056447F">
      <w:pPr>
        <w:ind w:left="1722"/>
        <w:rPr>
          <w:rFonts w:ascii="Cambria" w:eastAsia="Cambria" w:hAnsi="Cambria" w:cs="Cambria"/>
          <w:sz w:val="20"/>
          <w:szCs w:val="20"/>
        </w:rPr>
      </w:pPr>
      <w:r w:rsidRPr="005E15A8">
        <w:rPr>
          <w:rFonts w:ascii="Cambria" w:hAnsi="Cambria"/>
          <w:noProof/>
          <w:sz w:val="20"/>
          <w:szCs w:val="20"/>
        </w:rPr>
        <mc:AlternateContent>
          <mc:Choice Requires="wpg">
            <w:drawing>
              <wp:inline distT="0" distB="0" distL="0" distR="0" wp14:anchorId="6D74D388" wp14:editId="35E3F295">
                <wp:extent cx="3390900" cy="12700"/>
                <wp:effectExtent l="0" t="0" r="0" b="0"/>
                <wp:docPr id="3" name="Group 3"/>
                <wp:cNvGraphicFramePr/>
                <a:graphic xmlns:a="http://schemas.openxmlformats.org/drawingml/2006/main">
                  <a:graphicData uri="http://schemas.microsoft.com/office/word/2010/wordprocessingGroup">
                    <wpg:wgp>
                      <wpg:cNvGrpSpPr/>
                      <wpg:grpSpPr>
                        <a:xfrm>
                          <a:off x="0" y="0"/>
                          <a:ext cx="3390900" cy="12700"/>
                          <a:chOff x="6" y="6"/>
                          <a:chExt cx="7042079" cy="3776184"/>
                        </a:xfrm>
                      </wpg:grpSpPr>
                      <wps:wsp>
                        <wps:cNvPr id="1" name="Rectangle 1"/>
                        <wps:cNvSpPr/>
                        <wps:spPr>
                          <a:xfrm>
                            <a:off x="3644835" y="3776190"/>
                            <a:ext cx="3397250" cy="0"/>
                          </a:xfrm>
                          <a:prstGeom prst="rect">
                            <a:avLst/>
                          </a:prstGeom>
                          <a:noFill/>
                          <a:ln>
                            <a:noFill/>
                          </a:ln>
                        </wps:spPr>
                        <wps:txbx>
                          <w:txbxContent>
                            <w:p w14:paraId="15CBCE47" w14:textId="77777777" w:rsidR="009F0C95" w:rsidRDefault="009F0C95">
                              <w:pPr>
                                <w:textDirection w:val="btLr"/>
                              </w:pPr>
                            </w:p>
                          </w:txbxContent>
                        </wps:txbx>
                        <wps:bodyPr wrap="square" lIns="91425" tIns="91425" rIns="91425" bIns="91425" anchor="ctr" anchorCtr="0"/>
                      </wps:wsp>
                      <wps:wsp>
                        <wps:cNvPr id="2" name="Freeform 2"/>
                        <wps:cNvSpPr/>
                        <wps:spPr>
                          <a:xfrm>
                            <a:off x="6" y="6"/>
                            <a:ext cx="5347" cy="2"/>
                          </a:xfrm>
                          <a:custGeom>
                            <a:avLst/>
                            <a:gdLst/>
                            <a:ahLst/>
                            <a:cxnLst/>
                            <a:rect l="0" t="0" r="0" b="0"/>
                            <a:pathLst>
                              <a:path w="120000" h="120000" extrusionOk="0">
                                <a:moveTo>
                                  <a:pt x="0" y="0"/>
                                </a:moveTo>
                                <a:lnTo>
                                  <a:pt x="119977" y="0"/>
                                </a:lnTo>
                              </a:path>
                            </a:pathLst>
                          </a:custGeom>
                          <a:noFill/>
                          <a:ln w="9525" cap="flat" cmpd="sng">
                            <a:solidFill>
                              <a:srgbClr val="231F20"/>
                            </a:solidFill>
                            <a:prstDash val="solid"/>
                            <a:round/>
                            <a:headEnd type="none" w="med" len="med"/>
                            <a:tailEnd type="none" w="med" len="med"/>
                          </a:ln>
                        </wps:spPr>
                        <wps:bodyPr wrap="square" lIns="91425" tIns="91425" rIns="91425" bIns="91425" anchor="ctr" anchorCtr="0"/>
                      </wps:wsp>
                    </wpg:wgp>
                  </a:graphicData>
                </a:graphic>
              </wp:inline>
            </w:drawing>
          </mc:Choice>
          <mc:Fallback>
            <w:pict>
              <v:group w14:anchorId="6D74D388" id="Group 3" o:spid="_x0000_s1026" style="width:267pt;height:1pt;mso-position-horizontal-relative:char;mso-position-vertical-relative:line" coordorigin="" coordsize="70420,377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">
                <v:rect id="Rectangle 1" o:spid="_x0000_s1027" style="position:absolute;left:36448;top:37761;width:33972;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" filled="f" stroked="f">
                  <v:textbox inset="2.53958mm,2.53958mm,2.53958mm,2.53958mm">
                    <w:txbxContent>
                      <w:p w14:paraId="15CBCE47" w14:textId="77777777" w:rsidR="009F0C95" w:rsidRDefault="009F0C95">
                        <w:pPr>
                          <w:textDirection w:val="btLr"/>
                        </w:pPr>
                      </w:p>
                    </w:txbxContent>
                  </v:textbox>
                </v:rect>
                <v:shape id="Freeform 2" o:spid="_x0000_s1028" style="position:absolute;width:53;height:0;visibility:visible;mso-wrap-style:square;v-text-anchor:middle" coordsize="120000,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" path="m,l119977,e" filled="f" strokecolor="#231f20">
                  <v:path arrowok="t" o:extrusionok="f" textboxrect="0,0,120000,120000"/>
                </v:shape>
                <w10:anchorlock/>
              </v:group>
            </w:pict>
          </mc:Fallback>
        </mc:AlternateContent>
      </w:r>
    </w:p>
    <w:tbl>
      <w:tblPr>
        <w:tblW w:w="8364" w:type="dxa"/>
        <w:jc w:val="center"/>
        <w:tblBorders>
          <w:top w:val="single" w:sz="4" w:space="0" w:color="auto"/>
          <w:bottom w:val="single" w:sz="4" w:space="0" w:color="auto"/>
          <w:insideH w:val="single" w:sz="4" w:space="0" w:color="auto"/>
          <w:insideV w:val="single" w:sz="4" w:space="0" w:color="auto"/>
        </w:tblBorders>
        <w:tblLook w:val="0000" w:firstRow="0" w:lastRow="0" w:firstColumn="0" w:lastColumn="0" w:noHBand="0" w:noVBand="0"/>
      </w:tblPr>
      <w:tblGrid>
        <w:gridCol w:w="4820"/>
        <w:gridCol w:w="3544"/>
      </w:tblGrid>
      <w:tr w:rsidR="00707460" w:rsidRPr="005E15A8" w14:paraId="321E2CF9" w14:textId="77777777" w:rsidTr="008F43B3">
        <w:trPr>
          <w:jc w:val="center"/>
        </w:trPr>
        <w:tc>
          <w:tcPr>
            <w:tcW w:w="8364" w:type="dxa"/>
            <w:gridSpan w:val="2"/>
          </w:tcPr>
          <w:p w14:paraId="1B128FAA" w14:textId="252A77CF" w:rsidR="00707460" w:rsidRPr="005E15A8" w:rsidRDefault="00707460" w:rsidP="008F43B3">
            <w:pPr>
              <w:autoSpaceDE w:val="0"/>
              <w:autoSpaceDN w:val="0"/>
              <w:adjustRightInd w:val="0"/>
              <w:jc w:val="center"/>
              <w:rPr>
                <w:rFonts w:ascii="Cambria" w:hAnsi="Cambria"/>
                <w:i/>
                <w:sz w:val="20"/>
                <w:szCs w:val="20"/>
              </w:rPr>
            </w:pPr>
            <w:r w:rsidRPr="005E15A8">
              <w:rPr>
                <w:rFonts w:ascii="Cambria" w:hAnsi="Cambria"/>
                <w:i/>
                <w:color w:val="231F20"/>
                <w:sz w:val="20"/>
                <w:szCs w:val="20"/>
              </w:rPr>
              <w:t xml:space="preserve">TAC au titre de </w:t>
            </w:r>
            <w:r w:rsidR="0080232F" w:rsidRPr="005E15A8">
              <w:rPr>
                <w:rFonts w:ascii="Cambria" w:hAnsi="Cambria"/>
                <w:i/>
                <w:color w:val="231F20"/>
                <w:sz w:val="20"/>
                <w:szCs w:val="20"/>
              </w:rPr>
              <w:t>2022</w:t>
            </w:r>
            <w:r w:rsidR="00DD0F0C" w:rsidRPr="005E15A8">
              <w:rPr>
                <w:rFonts w:ascii="Cambria" w:hAnsi="Cambria"/>
                <w:i/>
                <w:color w:val="231F20"/>
                <w:sz w:val="20"/>
                <w:szCs w:val="20"/>
              </w:rPr>
              <w:t xml:space="preserve"> : </w:t>
            </w:r>
            <w:r w:rsidR="00C63FC8" w:rsidRPr="005E15A8">
              <w:rPr>
                <w:rFonts w:ascii="Cambria" w:hAnsi="Cambria"/>
                <w:i/>
                <w:color w:val="231F20"/>
                <w:sz w:val="20"/>
                <w:szCs w:val="20"/>
              </w:rPr>
              <w:t>2.726</w:t>
            </w:r>
            <w:r w:rsidRPr="005E15A8">
              <w:rPr>
                <w:rFonts w:ascii="Cambria" w:hAnsi="Cambria"/>
                <w:i/>
                <w:color w:val="231F20"/>
                <w:sz w:val="20"/>
                <w:szCs w:val="20"/>
              </w:rPr>
              <w:t xml:space="preserve"> t</w:t>
            </w:r>
          </w:p>
        </w:tc>
      </w:tr>
      <w:tr w:rsidR="00707460" w:rsidRPr="005E15A8" w14:paraId="6C13FF3D" w14:textId="77777777" w:rsidTr="00830C04">
        <w:trPr>
          <w:jc w:val="center"/>
        </w:trPr>
        <w:tc>
          <w:tcPr>
            <w:tcW w:w="4820" w:type="dxa"/>
          </w:tcPr>
          <w:p w14:paraId="4AB0197C" w14:textId="77777777" w:rsidR="00707460" w:rsidRPr="005E15A8" w:rsidRDefault="00707460" w:rsidP="008F43B3">
            <w:pPr>
              <w:autoSpaceDE w:val="0"/>
              <w:autoSpaceDN w:val="0"/>
              <w:adjustRightInd w:val="0"/>
              <w:jc w:val="both"/>
              <w:rPr>
                <w:rFonts w:ascii="Cambria" w:hAnsi="Cambria"/>
                <w:sz w:val="20"/>
                <w:szCs w:val="20"/>
                <w:lang w:eastAsia="es-ES"/>
              </w:rPr>
            </w:pPr>
            <w:r w:rsidRPr="005E15A8">
              <w:rPr>
                <w:rFonts w:ascii="Cambria" w:hAnsi="Cambria"/>
                <w:noProof/>
                <w:sz w:val="20"/>
                <w:szCs w:val="20"/>
                <w:lang w:eastAsia="es-ES"/>
              </w:rPr>
              <w:t>États-Unis</w:t>
            </w:r>
          </w:p>
        </w:tc>
        <w:tc>
          <w:tcPr>
            <w:tcW w:w="3544" w:type="dxa"/>
          </w:tcPr>
          <w:p w14:paraId="60CE7965" w14:textId="4B5C850F" w:rsidR="00707460" w:rsidRPr="005E15A8" w:rsidRDefault="00C63FC8" w:rsidP="00DD0F0C">
            <w:pPr>
              <w:autoSpaceDE w:val="0"/>
              <w:autoSpaceDN w:val="0"/>
              <w:adjustRightInd w:val="0"/>
              <w:jc w:val="center"/>
              <w:rPr>
                <w:rFonts w:ascii="Cambria" w:hAnsi="Cambria"/>
                <w:sz w:val="20"/>
                <w:szCs w:val="20"/>
              </w:rPr>
            </w:pPr>
            <w:r w:rsidRPr="005E15A8">
              <w:rPr>
                <w:rFonts w:ascii="Cambria" w:hAnsi="Cambria"/>
                <w:sz w:val="20"/>
                <w:szCs w:val="20"/>
              </w:rPr>
              <w:t>1.316,14</w:t>
            </w:r>
            <w:r w:rsidRPr="005E15A8">
              <w:rPr>
                <w:rFonts w:ascii="Cambria" w:eastAsia="Cambria" w:hAnsi="Cambria" w:cs="Cambria"/>
                <w:color w:val="231F20"/>
                <w:sz w:val="20"/>
                <w:szCs w:val="20"/>
              </w:rPr>
              <w:t xml:space="preserve"> </w:t>
            </w:r>
            <w:r w:rsidR="00A617C7" w:rsidRPr="005E15A8">
              <w:rPr>
                <w:rFonts w:ascii="Cambria" w:hAnsi="Cambria"/>
                <w:color w:val="231F20"/>
                <w:sz w:val="20"/>
                <w:szCs w:val="20"/>
              </w:rPr>
              <w:t>t</w:t>
            </w:r>
          </w:p>
        </w:tc>
      </w:tr>
      <w:tr w:rsidR="00707460" w:rsidRPr="005E15A8" w14:paraId="55EB683B" w14:textId="77777777" w:rsidTr="00830C04">
        <w:trPr>
          <w:jc w:val="center"/>
        </w:trPr>
        <w:tc>
          <w:tcPr>
            <w:tcW w:w="4820" w:type="dxa"/>
          </w:tcPr>
          <w:p w14:paraId="5633C869" w14:textId="77777777" w:rsidR="00707460" w:rsidRPr="005E15A8" w:rsidRDefault="00707460" w:rsidP="008F43B3">
            <w:pPr>
              <w:autoSpaceDE w:val="0"/>
              <w:autoSpaceDN w:val="0"/>
              <w:adjustRightInd w:val="0"/>
              <w:jc w:val="both"/>
              <w:rPr>
                <w:rFonts w:ascii="Cambria" w:hAnsi="Cambria"/>
                <w:sz w:val="20"/>
                <w:szCs w:val="20"/>
                <w:lang w:eastAsia="es-ES"/>
              </w:rPr>
            </w:pPr>
            <w:r w:rsidRPr="005E15A8">
              <w:rPr>
                <w:rFonts w:ascii="Cambria" w:hAnsi="Cambria"/>
                <w:noProof/>
                <w:sz w:val="20"/>
                <w:szCs w:val="20"/>
                <w:lang w:eastAsia="es-ES"/>
              </w:rPr>
              <w:t>Canada</w:t>
            </w:r>
          </w:p>
        </w:tc>
        <w:tc>
          <w:tcPr>
            <w:tcW w:w="3544" w:type="dxa"/>
          </w:tcPr>
          <w:p w14:paraId="1B9C4AB9" w14:textId="6244C8DF" w:rsidR="00707460" w:rsidRPr="005E15A8" w:rsidRDefault="00C63FC8" w:rsidP="00DD0F0C">
            <w:pPr>
              <w:autoSpaceDE w:val="0"/>
              <w:autoSpaceDN w:val="0"/>
              <w:adjustRightInd w:val="0"/>
              <w:jc w:val="center"/>
              <w:rPr>
                <w:rFonts w:ascii="Cambria" w:hAnsi="Cambria"/>
                <w:sz w:val="20"/>
                <w:szCs w:val="20"/>
              </w:rPr>
            </w:pPr>
            <w:r w:rsidRPr="005E15A8">
              <w:rPr>
                <w:rFonts w:ascii="Cambria" w:hAnsi="Cambria"/>
                <w:sz w:val="20"/>
                <w:szCs w:val="20"/>
              </w:rPr>
              <w:t>543,65 t</w:t>
            </w:r>
          </w:p>
        </w:tc>
      </w:tr>
      <w:tr w:rsidR="00707460" w:rsidRPr="005E15A8" w14:paraId="4C225229" w14:textId="77777777" w:rsidTr="00830C04">
        <w:trPr>
          <w:jc w:val="center"/>
        </w:trPr>
        <w:tc>
          <w:tcPr>
            <w:tcW w:w="4820" w:type="dxa"/>
          </w:tcPr>
          <w:p w14:paraId="430A9525" w14:textId="77777777" w:rsidR="00707460" w:rsidRPr="005E15A8" w:rsidRDefault="00707460" w:rsidP="008F43B3">
            <w:pPr>
              <w:autoSpaceDE w:val="0"/>
              <w:autoSpaceDN w:val="0"/>
              <w:adjustRightInd w:val="0"/>
              <w:jc w:val="both"/>
              <w:rPr>
                <w:rFonts w:ascii="Cambria" w:hAnsi="Cambria"/>
                <w:sz w:val="20"/>
                <w:szCs w:val="20"/>
                <w:lang w:eastAsia="es-ES"/>
              </w:rPr>
            </w:pPr>
            <w:r w:rsidRPr="005E15A8">
              <w:rPr>
                <w:rFonts w:ascii="Cambria" w:hAnsi="Cambria"/>
                <w:noProof/>
                <w:sz w:val="20"/>
                <w:szCs w:val="20"/>
                <w:lang w:eastAsia="es-ES"/>
              </w:rPr>
              <w:t>Japon</w:t>
            </w:r>
          </w:p>
        </w:tc>
        <w:tc>
          <w:tcPr>
            <w:tcW w:w="3544" w:type="dxa"/>
          </w:tcPr>
          <w:p w14:paraId="080893FF" w14:textId="042431AF" w:rsidR="00707460" w:rsidRPr="005E15A8" w:rsidRDefault="00C63FC8" w:rsidP="00DD0F0C">
            <w:pPr>
              <w:pBdr>
                <w:top w:val="none" w:sz="0" w:space="0" w:color="auto"/>
                <w:left w:val="none" w:sz="0" w:space="0" w:color="auto"/>
                <w:bottom w:val="none" w:sz="0" w:space="0" w:color="auto"/>
                <w:right w:val="none" w:sz="0" w:space="0" w:color="auto"/>
                <w:between w:val="none" w:sz="0" w:space="0" w:color="auto"/>
              </w:pBdr>
              <w:spacing w:before="49"/>
              <w:ind w:left="2"/>
              <w:jc w:val="center"/>
              <w:rPr>
                <w:rFonts w:ascii="Cambria" w:hAnsi="Cambria"/>
                <w:color w:val="231F20"/>
                <w:sz w:val="20"/>
                <w:szCs w:val="20"/>
              </w:rPr>
            </w:pPr>
            <w:r w:rsidRPr="005E15A8">
              <w:rPr>
                <w:rFonts w:ascii="Cambria" w:hAnsi="Cambria"/>
                <w:sz w:val="20"/>
                <w:szCs w:val="20"/>
              </w:rPr>
              <w:t>664,52</w:t>
            </w:r>
            <w:r w:rsidRPr="005E15A8">
              <w:rPr>
                <w:rFonts w:ascii="Cambria" w:eastAsia="Cambria" w:hAnsi="Cambria" w:cs="Cambria"/>
                <w:color w:val="231F20"/>
                <w:sz w:val="20"/>
                <w:szCs w:val="20"/>
              </w:rPr>
              <w:t xml:space="preserve"> t</w:t>
            </w:r>
          </w:p>
        </w:tc>
      </w:tr>
      <w:tr w:rsidR="00707460" w:rsidRPr="005E15A8" w14:paraId="074ADC02" w14:textId="77777777" w:rsidTr="00830C04">
        <w:trPr>
          <w:jc w:val="center"/>
        </w:trPr>
        <w:tc>
          <w:tcPr>
            <w:tcW w:w="4820" w:type="dxa"/>
          </w:tcPr>
          <w:p w14:paraId="5BB6D565" w14:textId="3FD21479" w:rsidR="00707460" w:rsidRPr="005E15A8" w:rsidRDefault="00707460" w:rsidP="008F43B3">
            <w:pPr>
              <w:autoSpaceDE w:val="0"/>
              <w:autoSpaceDN w:val="0"/>
              <w:adjustRightInd w:val="0"/>
              <w:jc w:val="both"/>
              <w:rPr>
                <w:rFonts w:ascii="Cambria" w:hAnsi="Cambria"/>
                <w:sz w:val="20"/>
                <w:szCs w:val="20"/>
                <w:lang w:eastAsia="es-ES"/>
              </w:rPr>
            </w:pPr>
            <w:r w:rsidRPr="005E15A8">
              <w:rPr>
                <w:rFonts w:ascii="Cambria" w:hAnsi="Cambria"/>
                <w:color w:val="231F20"/>
                <w:sz w:val="20"/>
                <w:szCs w:val="20"/>
              </w:rPr>
              <w:t>Royaume-Uni (au titre des Bermudes)</w:t>
            </w:r>
          </w:p>
        </w:tc>
        <w:tc>
          <w:tcPr>
            <w:tcW w:w="3544" w:type="dxa"/>
          </w:tcPr>
          <w:p w14:paraId="1025701E" w14:textId="497F194C" w:rsidR="00707460" w:rsidRPr="005E15A8" w:rsidRDefault="00C63FC8" w:rsidP="00DD0F0C">
            <w:pPr>
              <w:autoSpaceDE w:val="0"/>
              <w:autoSpaceDN w:val="0"/>
              <w:adjustRightInd w:val="0"/>
              <w:jc w:val="center"/>
              <w:rPr>
                <w:rFonts w:ascii="Cambria" w:hAnsi="Cambria"/>
                <w:sz w:val="20"/>
                <w:szCs w:val="20"/>
              </w:rPr>
            </w:pPr>
            <w:r w:rsidRPr="005E15A8">
              <w:rPr>
                <w:rFonts w:ascii="Cambria" w:hAnsi="Cambria"/>
                <w:sz w:val="20"/>
                <w:szCs w:val="20"/>
              </w:rPr>
              <w:t>6,18</w:t>
            </w:r>
            <w:r w:rsidRPr="005E15A8">
              <w:rPr>
                <w:rFonts w:ascii="Cambria" w:eastAsia="Cambria" w:hAnsi="Cambria" w:cs="Cambria"/>
                <w:color w:val="231F20"/>
                <w:sz w:val="20"/>
                <w:szCs w:val="20"/>
              </w:rPr>
              <w:t xml:space="preserve"> t</w:t>
            </w:r>
          </w:p>
        </w:tc>
      </w:tr>
      <w:tr w:rsidR="00707460" w:rsidRPr="005E15A8" w14:paraId="7848063D" w14:textId="77777777" w:rsidTr="00830C04">
        <w:trPr>
          <w:jc w:val="center"/>
        </w:trPr>
        <w:tc>
          <w:tcPr>
            <w:tcW w:w="4820" w:type="dxa"/>
          </w:tcPr>
          <w:p w14:paraId="5DE6F98A" w14:textId="79694010" w:rsidR="00707460" w:rsidRPr="005E15A8" w:rsidRDefault="00707460" w:rsidP="00707460">
            <w:pPr>
              <w:pBdr>
                <w:top w:val="none" w:sz="0" w:space="0" w:color="auto"/>
                <w:left w:val="none" w:sz="0" w:space="0" w:color="auto"/>
                <w:bottom w:val="none" w:sz="0" w:space="0" w:color="auto"/>
                <w:right w:val="none" w:sz="0" w:space="0" w:color="auto"/>
                <w:between w:val="none" w:sz="0" w:space="0" w:color="auto"/>
              </w:pBdr>
              <w:spacing w:before="48"/>
              <w:rPr>
                <w:rFonts w:ascii="Cambria" w:hAnsi="Cambria"/>
                <w:sz w:val="20"/>
                <w:szCs w:val="20"/>
                <w:lang w:eastAsia="es-ES"/>
              </w:rPr>
            </w:pPr>
            <w:r w:rsidRPr="005E15A8">
              <w:rPr>
                <w:rFonts w:ascii="Cambria" w:hAnsi="Cambria"/>
                <w:color w:val="231F20"/>
                <w:sz w:val="20"/>
                <w:szCs w:val="20"/>
              </w:rPr>
              <w:t>France (au titre de Saint-Pierre-et-Miquelon)</w:t>
            </w:r>
          </w:p>
        </w:tc>
        <w:tc>
          <w:tcPr>
            <w:tcW w:w="3544" w:type="dxa"/>
          </w:tcPr>
          <w:p w14:paraId="0100018C" w14:textId="3C316359" w:rsidR="00707460" w:rsidRPr="005E15A8" w:rsidRDefault="00C63FC8" w:rsidP="00DD0F0C">
            <w:pPr>
              <w:autoSpaceDE w:val="0"/>
              <w:autoSpaceDN w:val="0"/>
              <w:adjustRightInd w:val="0"/>
              <w:jc w:val="center"/>
              <w:rPr>
                <w:rFonts w:ascii="Cambria" w:hAnsi="Cambria"/>
                <w:sz w:val="20"/>
                <w:szCs w:val="20"/>
              </w:rPr>
            </w:pPr>
            <w:r w:rsidRPr="005E15A8">
              <w:rPr>
                <w:rFonts w:ascii="Cambria" w:hAnsi="Cambria"/>
                <w:sz w:val="20"/>
                <w:szCs w:val="20"/>
              </w:rPr>
              <w:t>6,18</w:t>
            </w:r>
            <w:r w:rsidRPr="005E15A8">
              <w:rPr>
                <w:rFonts w:ascii="Cambria" w:eastAsia="Cambria" w:hAnsi="Cambria" w:cs="Cambria"/>
                <w:color w:val="231F20"/>
                <w:sz w:val="20"/>
                <w:szCs w:val="20"/>
              </w:rPr>
              <w:t xml:space="preserve"> t</w:t>
            </w:r>
          </w:p>
        </w:tc>
      </w:tr>
      <w:tr w:rsidR="00707460" w:rsidRPr="005E15A8" w14:paraId="79C802A6" w14:textId="77777777" w:rsidTr="00830C04">
        <w:trPr>
          <w:jc w:val="center"/>
        </w:trPr>
        <w:tc>
          <w:tcPr>
            <w:tcW w:w="4820" w:type="dxa"/>
          </w:tcPr>
          <w:p w14:paraId="7E243CB5" w14:textId="77777777" w:rsidR="00707460" w:rsidRPr="005E15A8" w:rsidRDefault="00707460" w:rsidP="008F43B3">
            <w:pPr>
              <w:autoSpaceDE w:val="0"/>
              <w:autoSpaceDN w:val="0"/>
              <w:adjustRightInd w:val="0"/>
              <w:jc w:val="both"/>
              <w:rPr>
                <w:rFonts w:ascii="Cambria" w:hAnsi="Cambria"/>
                <w:sz w:val="20"/>
                <w:szCs w:val="20"/>
                <w:lang w:eastAsia="es-ES"/>
              </w:rPr>
            </w:pPr>
            <w:r w:rsidRPr="005E15A8">
              <w:rPr>
                <w:rFonts w:ascii="Cambria" w:hAnsi="Cambria"/>
                <w:noProof/>
                <w:sz w:val="20"/>
                <w:szCs w:val="20"/>
                <w:lang w:eastAsia="es-ES"/>
              </w:rPr>
              <w:t>Mexique</w:t>
            </w:r>
          </w:p>
        </w:tc>
        <w:tc>
          <w:tcPr>
            <w:tcW w:w="3544" w:type="dxa"/>
          </w:tcPr>
          <w:p w14:paraId="4F39DC5F" w14:textId="5F1C6F91" w:rsidR="00707460" w:rsidRPr="005E15A8" w:rsidRDefault="00C63FC8" w:rsidP="00DD0F0C">
            <w:pPr>
              <w:autoSpaceDE w:val="0"/>
              <w:autoSpaceDN w:val="0"/>
              <w:adjustRightInd w:val="0"/>
              <w:jc w:val="center"/>
              <w:rPr>
                <w:rFonts w:ascii="Cambria" w:hAnsi="Cambria"/>
                <w:sz w:val="20"/>
                <w:szCs w:val="20"/>
              </w:rPr>
            </w:pPr>
            <w:r w:rsidRPr="005E15A8">
              <w:rPr>
                <w:rFonts w:ascii="Cambria" w:hAnsi="Cambria"/>
                <w:sz w:val="20"/>
                <w:szCs w:val="20"/>
              </w:rPr>
              <w:t>149,34</w:t>
            </w:r>
            <w:r w:rsidR="00E34C9D" w:rsidRPr="005E15A8">
              <w:rPr>
                <w:rFonts w:ascii="Cambria" w:hAnsi="Cambria"/>
                <w:sz w:val="20"/>
                <w:szCs w:val="20"/>
              </w:rPr>
              <w:t xml:space="preserve"> </w:t>
            </w:r>
            <w:r w:rsidRPr="005E15A8">
              <w:rPr>
                <w:rFonts w:ascii="Cambria" w:eastAsia="Cambria" w:hAnsi="Cambria" w:cs="Cambria"/>
                <w:color w:val="231F20"/>
                <w:sz w:val="20"/>
                <w:szCs w:val="20"/>
              </w:rPr>
              <w:t>t</w:t>
            </w:r>
            <w:r w:rsidRPr="005E15A8">
              <w:rPr>
                <w:rFonts w:ascii="Cambria" w:hAnsi="Cambria"/>
                <w:sz w:val="20"/>
                <w:szCs w:val="20"/>
              </w:rPr>
              <w:t xml:space="preserve"> </w:t>
            </w:r>
          </w:p>
        </w:tc>
      </w:tr>
    </w:tbl>
    <w:p w14:paraId="2947B521" w14:textId="340A5A0D" w:rsidR="00A617C7" w:rsidRPr="005E15A8" w:rsidRDefault="00A617C7">
      <w:pPr>
        <w:rPr>
          <w:rFonts w:ascii="Cambria" w:hAnsi="Cambria"/>
          <w:color w:val="231F20"/>
          <w:sz w:val="20"/>
          <w:szCs w:val="20"/>
        </w:rPr>
      </w:pPr>
    </w:p>
    <w:p w14:paraId="39C5A7A5" w14:textId="27ACBFD2" w:rsidR="00DB393E" w:rsidRPr="005E15A8" w:rsidRDefault="0056447F" w:rsidP="00707460">
      <w:pPr>
        <w:ind w:left="1700" w:right="-1"/>
        <w:jc w:val="both"/>
        <w:rPr>
          <w:rFonts w:ascii="Cambria" w:hAnsi="Cambria"/>
          <w:color w:val="231F20"/>
          <w:sz w:val="20"/>
          <w:szCs w:val="20"/>
        </w:rPr>
      </w:pPr>
      <w:r w:rsidRPr="005E15A8">
        <w:rPr>
          <w:rFonts w:ascii="Cambria" w:hAnsi="Cambria"/>
          <w:color w:val="231F20"/>
          <w:sz w:val="20"/>
          <w:szCs w:val="20"/>
        </w:rPr>
        <w:t>En aucun cas, l’allocation de la France (au titre de Saint-Pierre-et-Miquelon) et du Royaume-Uni (au titre des Bermudes) ne devra être inférieure à 4 t au cours d'une année donnée à moins que la pêcherie ne soit fermée.</w:t>
      </w:r>
    </w:p>
    <w:p w14:paraId="6EBD3EDA" w14:textId="77777777" w:rsidR="00977C4F" w:rsidRPr="005E15A8" w:rsidRDefault="00977C4F" w:rsidP="00977C4F">
      <w:pPr>
        <w:ind w:left="993" w:right="-1"/>
        <w:jc w:val="both"/>
        <w:rPr>
          <w:rFonts w:ascii="Cambria" w:hAnsi="Cambria"/>
          <w:sz w:val="20"/>
          <w:szCs w:val="20"/>
        </w:rPr>
      </w:pPr>
    </w:p>
    <w:p w14:paraId="6D213032" w14:textId="7C948AA0" w:rsidR="00DB393E" w:rsidRPr="005E15A8" w:rsidRDefault="00707460" w:rsidP="00830C04">
      <w:pPr>
        <w:ind w:leftChars="580" w:left="1700" w:right="-1" w:hanging="424"/>
        <w:jc w:val="both"/>
        <w:rPr>
          <w:rFonts w:ascii="Cambria" w:hAnsi="Cambria"/>
          <w:color w:val="231F20"/>
          <w:sz w:val="20"/>
          <w:szCs w:val="20"/>
        </w:rPr>
      </w:pPr>
      <w:r w:rsidRPr="005E15A8">
        <w:rPr>
          <w:rFonts w:ascii="Cambria" w:hAnsi="Cambria"/>
          <w:color w:val="231F20"/>
          <w:sz w:val="20"/>
          <w:szCs w:val="20"/>
        </w:rPr>
        <w:t>d)</w:t>
      </w:r>
      <w:r w:rsidRPr="005E15A8">
        <w:rPr>
          <w:rFonts w:ascii="Cambria" w:hAnsi="Cambria"/>
          <w:color w:val="231F20"/>
          <w:sz w:val="20"/>
          <w:szCs w:val="20"/>
        </w:rPr>
        <w:tab/>
      </w:r>
      <w:r w:rsidR="0056447F" w:rsidRPr="005E15A8">
        <w:rPr>
          <w:rFonts w:ascii="Cambria" w:hAnsi="Cambria"/>
          <w:color w:val="231F20"/>
          <w:sz w:val="20"/>
          <w:szCs w:val="20"/>
        </w:rPr>
        <w:t xml:space="preserve">En fonction de la disponibilité, le Mexique peut transférer au Canada jusqu’à </w:t>
      </w:r>
      <w:r w:rsidR="00447855" w:rsidRPr="005E15A8">
        <w:rPr>
          <w:rFonts w:ascii="Cambria" w:hAnsi="Cambria"/>
          <w:sz w:val="20"/>
          <w:szCs w:val="20"/>
        </w:rPr>
        <w:t>149,34</w:t>
      </w:r>
      <w:r w:rsidR="006E770B" w:rsidRPr="005E15A8">
        <w:rPr>
          <w:rFonts w:ascii="Cambria" w:eastAsia="Cambria" w:hAnsi="Cambria" w:cs="Cambria"/>
          <w:color w:val="231F20"/>
          <w:sz w:val="20"/>
          <w:szCs w:val="20"/>
        </w:rPr>
        <w:t> </w:t>
      </w:r>
      <w:r w:rsidR="00447855" w:rsidRPr="005E15A8">
        <w:rPr>
          <w:rFonts w:ascii="Cambria" w:eastAsia="Cambria" w:hAnsi="Cambria" w:cs="Cambria"/>
          <w:color w:val="231F20"/>
          <w:sz w:val="20"/>
          <w:szCs w:val="20"/>
        </w:rPr>
        <w:t>t</w:t>
      </w:r>
      <w:r w:rsidR="00447855" w:rsidRPr="005E15A8">
        <w:rPr>
          <w:rFonts w:ascii="Cambria" w:hAnsi="Cambria"/>
          <w:sz w:val="20"/>
          <w:szCs w:val="20"/>
        </w:rPr>
        <w:t xml:space="preserve"> </w:t>
      </w:r>
      <w:r w:rsidR="0056447F" w:rsidRPr="005E15A8">
        <w:rPr>
          <w:rFonts w:ascii="Cambria" w:hAnsi="Cambria"/>
          <w:color w:val="231F20"/>
          <w:sz w:val="20"/>
          <w:szCs w:val="20"/>
        </w:rPr>
        <w:t xml:space="preserve">de son quota ajusté de </w:t>
      </w:r>
      <w:r w:rsidR="0080232F" w:rsidRPr="005E15A8">
        <w:rPr>
          <w:rFonts w:ascii="Cambria" w:hAnsi="Cambria"/>
          <w:color w:val="231F20"/>
          <w:sz w:val="20"/>
          <w:szCs w:val="20"/>
        </w:rPr>
        <w:t>2022</w:t>
      </w:r>
      <w:r w:rsidR="0056447F" w:rsidRPr="005E15A8">
        <w:rPr>
          <w:rFonts w:ascii="Cambria" w:hAnsi="Cambria"/>
          <w:color w:val="231F20"/>
          <w:sz w:val="20"/>
          <w:szCs w:val="20"/>
        </w:rPr>
        <w:t>, afin d’étayer les travaux de recherche en coopération, tel que le spécifie le paragraphe 20.</w:t>
      </w:r>
      <w:r w:rsidR="00272A57" w:rsidRPr="005E15A8">
        <w:rPr>
          <w:rFonts w:ascii="Cambria" w:hAnsi="Cambria"/>
          <w:color w:val="231F20"/>
          <w:sz w:val="20"/>
          <w:szCs w:val="20"/>
        </w:rPr>
        <w:t xml:space="preserve"> </w:t>
      </w:r>
    </w:p>
    <w:p w14:paraId="2D42E9DF" w14:textId="570D26C2" w:rsidR="00977C4F" w:rsidRPr="005E15A8" w:rsidRDefault="00977C4F" w:rsidP="00977C4F">
      <w:pPr>
        <w:tabs>
          <w:tab w:val="left" w:pos="562"/>
        </w:tabs>
        <w:ind w:left="993" w:right="135"/>
        <w:jc w:val="both"/>
        <w:rPr>
          <w:rFonts w:ascii="Cambria" w:hAnsi="Cambria"/>
          <w:color w:val="231F20"/>
          <w:sz w:val="20"/>
          <w:szCs w:val="20"/>
        </w:rPr>
      </w:pPr>
    </w:p>
    <w:p w14:paraId="7B12E5A7" w14:textId="2E925BA5" w:rsidR="00DB393E" w:rsidRPr="005E15A8" w:rsidRDefault="00707460" w:rsidP="00830C04">
      <w:pPr>
        <w:ind w:leftChars="580" w:left="1700" w:right="-1" w:hanging="424"/>
        <w:jc w:val="both"/>
        <w:rPr>
          <w:rFonts w:ascii="Cambria" w:hAnsi="Cambria"/>
          <w:color w:val="231F20"/>
          <w:sz w:val="20"/>
          <w:szCs w:val="20"/>
        </w:rPr>
      </w:pPr>
      <w:r w:rsidRPr="005E15A8">
        <w:rPr>
          <w:rFonts w:ascii="Cambria" w:hAnsi="Cambria"/>
          <w:color w:val="231F20"/>
          <w:sz w:val="20"/>
          <w:szCs w:val="20"/>
        </w:rPr>
        <w:t>e)</w:t>
      </w:r>
      <w:r w:rsidRPr="005E15A8">
        <w:rPr>
          <w:rFonts w:ascii="Cambria" w:hAnsi="Cambria"/>
          <w:color w:val="231F20"/>
          <w:sz w:val="20"/>
          <w:szCs w:val="20"/>
        </w:rPr>
        <w:tab/>
      </w:r>
      <w:r w:rsidR="006569BE" w:rsidRPr="005E15A8">
        <w:rPr>
          <w:rFonts w:ascii="Cambria" w:hAnsi="Cambria"/>
          <w:color w:val="231F20"/>
          <w:sz w:val="20"/>
          <w:szCs w:val="20"/>
        </w:rPr>
        <w:t>En fonction de la disponibilité, le Royaume-Uni (au titre des Bermudes) peut transférer aux États-Unis un montant ne dépassant pas son quota ajusté</w:t>
      </w:r>
      <w:r w:rsidR="00EE1CA9" w:rsidRPr="005E15A8">
        <w:rPr>
          <w:rFonts w:ascii="Cambria" w:hAnsi="Cambria"/>
          <w:color w:val="231F20"/>
          <w:sz w:val="20"/>
          <w:szCs w:val="20"/>
        </w:rPr>
        <w:t xml:space="preserve"> de 2022</w:t>
      </w:r>
      <w:r w:rsidR="006569BE" w:rsidRPr="005E15A8">
        <w:rPr>
          <w:rFonts w:ascii="Cambria" w:hAnsi="Cambria"/>
          <w:color w:val="231F20"/>
          <w:sz w:val="20"/>
          <w:szCs w:val="20"/>
        </w:rPr>
        <w:t>, afin d’étayer les travaux de recherche en coopération, tel que le spécifie le paragraphe 20.</w:t>
      </w:r>
    </w:p>
    <w:p w14:paraId="623EEDF4" w14:textId="77777777" w:rsidR="00A70654" w:rsidRPr="005E15A8" w:rsidRDefault="00A70654" w:rsidP="00707460">
      <w:pPr>
        <w:ind w:leftChars="580" w:left="1700" w:rightChars="192" w:right="422" w:hanging="424"/>
        <w:jc w:val="both"/>
        <w:rPr>
          <w:rFonts w:ascii="Cambria" w:hAnsi="Cambria"/>
          <w:color w:val="231F20"/>
          <w:sz w:val="20"/>
          <w:szCs w:val="20"/>
        </w:rPr>
      </w:pPr>
    </w:p>
    <w:p w14:paraId="0A92F150" w14:textId="6BA005F3" w:rsidR="00DB393E" w:rsidRPr="005E15A8" w:rsidRDefault="00707460" w:rsidP="00272A57">
      <w:pPr>
        <w:ind w:leftChars="580" w:left="1700" w:right="-1" w:hanging="424"/>
        <w:jc w:val="both"/>
        <w:rPr>
          <w:rFonts w:ascii="Cambria" w:hAnsi="Cambria"/>
          <w:color w:val="231F20"/>
          <w:sz w:val="20"/>
          <w:szCs w:val="20"/>
        </w:rPr>
      </w:pPr>
      <w:r w:rsidRPr="005E15A8">
        <w:rPr>
          <w:rFonts w:ascii="Cambria" w:hAnsi="Cambria"/>
          <w:color w:val="231F20"/>
          <w:sz w:val="20"/>
          <w:szCs w:val="20"/>
        </w:rPr>
        <w:t>f)</w:t>
      </w:r>
      <w:r w:rsidRPr="005E15A8">
        <w:rPr>
          <w:rFonts w:ascii="Cambria" w:hAnsi="Cambria"/>
          <w:color w:val="231F20"/>
          <w:sz w:val="20"/>
          <w:szCs w:val="20"/>
        </w:rPr>
        <w:tab/>
      </w:r>
      <w:r w:rsidR="0056447F" w:rsidRPr="005E15A8">
        <w:rPr>
          <w:rFonts w:ascii="Cambria" w:hAnsi="Cambria"/>
          <w:color w:val="231F20"/>
          <w:sz w:val="20"/>
          <w:szCs w:val="20"/>
        </w:rPr>
        <w:t xml:space="preserve">En fonction de la disponibilité, la France (au titre de Saint-Pierre-et-Miquelon) peut transférer au Canada </w:t>
      </w:r>
      <w:r w:rsidR="006569BE" w:rsidRPr="005E15A8">
        <w:rPr>
          <w:rFonts w:ascii="Cambria" w:hAnsi="Cambria"/>
          <w:color w:val="231F20"/>
          <w:sz w:val="20"/>
          <w:szCs w:val="20"/>
        </w:rPr>
        <w:t>un montant ne dépassant pas son quota ajusté</w:t>
      </w:r>
      <w:r w:rsidR="00EE1CA9" w:rsidRPr="005E15A8">
        <w:rPr>
          <w:rFonts w:ascii="Cambria" w:hAnsi="Cambria"/>
          <w:color w:val="231F20"/>
          <w:sz w:val="20"/>
          <w:szCs w:val="20"/>
        </w:rPr>
        <w:t xml:space="preserve"> de 2022</w:t>
      </w:r>
      <w:r w:rsidR="0056447F" w:rsidRPr="005E15A8">
        <w:rPr>
          <w:rFonts w:ascii="Cambria" w:hAnsi="Cambria"/>
          <w:color w:val="231F20"/>
          <w:sz w:val="20"/>
          <w:szCs w:val="20"/>
        </w:rPr>
        <w:t>, afin d’étayer les travaux de recherche en coopération, tel que le spécifie le paragraphe 20.</w:t>
      </w:r>
    </w:p>
    <w:p w14:paraId="4240513F" w14:textId="77777777" w:rsidR="00977C4F" w:rsidRPr="005E15A8" w:rsidRDefault="00977C4F" w:rsidP="00707460">
      <w:pPr>
        <w:ind w:leftChars="580" w:left="1700" w:rightChars="192" w:right="422" w:hanging="424"/>
        <w:jc w:val="both"/>
        <w:rPr>
          <w:rFonts w:ascii="Cambria" w:hAnsi="Cambria"/>
          <w:color w:val="231F20"/>
          <w:sz w:val="20"/>
          <w:szCs w:val="20"/>
        </w:rPr>
      </w:pPr>
    </w:p>
    <w:p w14:paraId="3879A6CB" w14:textId="78DF244B" w:rsidR="00DB393E" w:rsidRPr="005E15A8" w:rsidRDefault="00707460" w:rsidP="00272A57">
      <w:pPr>
        <w:ind w:leftChars="580" w:left="1700" w:right="-1" w:hanging="424"/>
        <w:jc w:val="both"/>
        <w:rPr>
          <w:rFonts w:ascii="Cambria" w:hAnsi="Cambria"/>
          <w:color w:val="231F20"/>
          <w:sz w:val="20"/>
          <w:szCs w:val="20"/>
        </w:rPr>
      </w:pPr>
      <w:r w:rsidRPr="005E15A8">
        <w:rPr>
          <w:rFonts w:ascii="Cambria" w:hAnsi="Cambria"/>
          <w:color w:val="231F20"/>
          <w:sz w:val="20"/>
          <w:szCs w:val="20"/>
        </w:rPr>
        <w:t>g)</w:t>
      </w:r>
      <w:r w:rsidRPr="005E15A8">
        <w:rPr>
          <w:rFonts w:ascii="Cambria" w:hAnsi="Cambria"/>
          <w:color w:val="231F20"/>
          <w:sz w:val="20"/>
          <w:szCs w:val="20"/>
        </w:rPr>
        <w:tab/>
      </w:r>
      <w:r w:rsidR="0056447F" w:rsidRPr="005E15A8">
        <w:rPr>
          <w:rFonts w:ascii="Cambria" w:hAnsi="Cambria"/>
          <w:color w:val="231F20"/>
          <w:sz w:val="20"/>
          <w:szCs w:val="20"/>
        </w:rPr>
        <w:t>Les CPC ayant l'intention de participer aux travaux de recherche en coopération spécifiés aux paragraphes 6(d), 6(e) et 6(f) ci-dessus devront communiquer à la Commission et au SCRS les détails de leurs programmes de recherche à réaliser, avant qu'ils ne soient lancés, et devront présenter les résultats de la recherche au SCRS. »</w:t>
      </w:r>
    </w:p>
    <w:p w14:paraId="70820B3D" w14:textId="5D1484B8" w:rsidR="00707460" w:rsidRPr="005E15A8" w:rsidRDefault="00707460">
      <w:pPr>
        <w:rPr>
          <w:rFonts w:ascii="Cambria" w:hAnsi="Cambria"/>
          <w:sz w:val="20"/>
          <w:szCs w:val="20"/>
        </w:rPr>
      </w:pPr>
    </w:p>
    <w:p w14:paraId="2E008979" w14:textId="0C19CBD9" w:rsidR="00DB393E" w:rsidRPr="005E15A8" w:rsidRDefault="00C561E9" w:rsidP="00707460">
      <w:pPr>
        <w:ind w:left="426"/>
        <w:rPr>
          <w:rFonts w:ascii="Cambria" w:hAnsi="Cambria"/>
          <w:sz w:val="20"/>
          <w:szCs w:val="20"/>
        </w:rPr>
      </w:pPr>
      <w:r w:rsidRPr="005E15A8">
        <w:rPr>
          <w:rFonts w:ascii="Cambria" w:hAnsi="Cambria"/>
          <w:sz w:val="20"/>
          <w:szCs w:val="20"/>
        </w:rPr>
        <w:t>(</w:t>
      </w:r>
      <w:r w:rsidR="0080232F" w:rsidRPr="005E15A8">
        <w:rPr>
          <w:rFonts w:ascii="Cambria" w:hAnsi="Cambria"/>
          <w:sz w:val="20"/>
          <w:szCs w:val="20"/>
        </w:rPr>
        <w:t>E</w:t>
      </w:r>
      <w:r w:rsidRPr="005E15A8">
        <w:rPr>
          <w:rFonts w:ascii="Cambria" w:hAnsi="Cambria"/>
          <w:sz w:val="20"/>
          <w:szCs w:val="20"/>
        </w:rPr>
        <w:t xml:space="preserve">) Le </w:t>
      </w:r>
      <w:r w:rsidRPr="005E15A8">
        <w:rPr>
          <w:rFonts w:ascii="Cambria" w:hAnsi="Cambria"/>
          <w:color w:val="231F20"/>
          <w:sz w:val="20"/>
          <w:szCs w:val="20"/>
        </w:rPr>
        <w:t>paragraphe</w:t>
      </w:r>
      <w:r w:rsidRPr="005E15A8">
        <w:rPr>
          <w:rFonts w:ascii="Cambria" w:hAnsi="Cambria"/>
          <w:sz w:val="20"/>
          <w:szCs w:val="20"/>
        </w:rPr>
        <w:t xml:space="preserve"> 16 devra être </w:t>
      </w:r>
      <w:r w:rsidR="001776EA" w:rsidRPr="005E15A8">
        <w:rPr>
          <w:rFonts w:ascii="Cambria" w:hAnsi="Cambria"/>
          <w:sz w:val="20"/>
          <w:szCs w:val="20"/>
        </w:rPr>
        <w:t>remplacé par le texte suivant :</w:t>
      </w:r>
    </w:p>
    <w:p w14:paraId="5E6E6C16" w14:textId="77777777" w:rsidR="00C561E9" w:rsidRPr="005E15A8" w:rsidRDefault="00C561E9" w:rsidP="00C561E9">
      <w:pPr>
        <w:ind w:left="528"/>
        <w:rPr>
          <w:rFonts w:ascii="Cambria" w:hAnsi="Cambria"/>
          <w:sz w:val="20"/>
          <w:szCs w:val="20"/>
          <w:lang w:eastAsia="ja-JP"/>
        </w:rPr>
      </w:pPr>
    </w:p>
    <w:p w14:paraId="4E1D7670" w14:textId="2FD25753" w:rsidR="0080232F" w:rsidRPr="005E15A8" w:rsidRDefault="0080232F" w:rsidP="00C14F97">
      <w:pPr>
        <w:ind w:leftChars="258" w:left="1133" w:rightChars="192" w:right="422" w:hanging="565"/>
        <w:jc w:val="both"/>
        <w:rPr>
          <w:rFonts w:ascii="Cambria" w:eastAsia="Cambria" w:hAnsi="Cambria" w:cs="Cambria"/>
          <w:color w:val="231F20"/>
          <w:sz w:val="20"/>
          <w:szCs w:val="20"/>
        </w:rPr>
      </w:pPr>
      <w:r w:rsidRPr="005E15A8">
        <w:rPr>
          <w:rFonts w:ascii="Cambria" w:hAnsi="Cambria"/>
          <w:sz w:val="20"/>
          <w:szCs w:val="20"/>
        </w:rPr>
        <w:t xml:space="preserve">« 16. </w:t>
      </w:r>
      <w:r w:rsidR="00C14F97" w:rsidRPr="005E15A8">
        <w:rPr>
          <w:rFonts w:ascii="Cambria" w:hAnsi="Cambria"/>
          <w:sz w:val="20"/>
          <w:szCs w:val="20"/>
        </w:rPr>
        <w:tab/>
        <w:t>L</w:t>
      </w:r>
      <w:r w:rsidRPr="005E15A8">
        <w:rPr>
          <w:rFonts w:ascii="Cambria" w:hAnsi="Cambria"/>
          <w:sz w:val="20"/>
          <w:szCs w:val="20"/>
        </w:rPr>
        <w:t>e SCRS devra continuer à affiner la MSE et à tester les procédures de gestion potentielles en 2022.</w:t>
      </w:r>
      <w:r w:rsidRPr="005E15A8">
        <w:rPr>
          <w:rFonts w:ascii="Cambria" w:hAnsi="Cambria"/>
          <w:color w:val="231F20"/>
          <w:sz w:val="20"/>
          <w:szCs w:val="20"/>
        </w:rPr>
        <w:t xml:space="preserve"> À l'appui de cet effort, le SCRS et la Sous-commission 2 devront tenir trois réunions de dialogue sur la MSE en 2022. Lors de la réunion annuelle de l'ICCAT de 2022, la Commission devra examiner les MP potentielles finales et, en sélectionner une pour adoption et application afin d'établir le TAC au titre de 2023 et des années suivantes, y compris les mesures de gestion convenues au préalable à prendre </w:t>
      </w:r>
      <w:r w:rsidR="00EE1CA9" w:rsidRPr="005E15A8">
        <w:rPr>
          <w:rFonts w:ascii="Cambria" w:hAnsi="Cambria"/>
          <w:color w:val="231F20"/>
          <w:sz w:val="20"/>
          <w:szCs w:val="20"/>
        </w:rPr>
        <w:t>en fonction</w:t>
      </w:r>
      <w:r w:rsidRPr="005E15A8">
        <w:rPr>
          <w:rFonts w:ascii="Cambria" w:hAnsi="Cambria"/>
          <w:color w:val="231F20"/>
          <w:sz w:val="20"/>
          <w:szCs w:val="20"/>
        </w:rPr>
        <w:t xml:space="preserve"> </w:t>
      </w:r>
      <w:r w:rsidR="00EE1CA9" w:rsidRPr="005E15A8">
        <w:rPr>
          <w:rFonts w:ascii="Cambria" w:hAnsi="Cambria"/>
          <w:color w:val="231F20"/>
          <w:sz w:val="20"/>
          <w:szCs w:val="20"/>
        </w:rPr>
        <w:t xml:space="preserve">de </w:t>
      </w:r>
      <w:r w:rsidRPr="005E15A8">
        <w:rPr>
          <w:rFonts w:ascii="Cambria" w:hAnsi="Cambria"/>
          <w:color w:val="231F20"/>
          <w:sz w:val="20"/>
          <w:szCs w:val="20"/>
        </w:rPr>
        <w:t>diverses conditions de</w:t>
      </w:r>
      <w:r w:rsidR="00EE1CA9" w:rsidRPr="005E15A8">
        <w:rPr>
          <w:rFonts w:ascii="Cambria" w:hAnsi="Cambria"/>
          <w:color w:val="231F20"/>
          <w:sz w:val="20"/>
          <w:szCs w:val="20"/>
        </w:rPr>
        <w:t>s</w:t>
      </w:r>
      <w:r w:rsidRPr="005E15A8">
        <w:rPr>
          <w:rFonts w:ascii="Cambria" w:hAnsi="Cambria"/>
          <w:color w:val="231F20"/>
          <w:sz w:val="20"/>
          <w:szCs w:val="20"/>
        </w:rPr>
        <w:t xml:space="preserve"> stock</w:t>
      </w:r>
      <w:r w:rsidR="00EE1CA9" w:rsidRPr="005E15A8">
        <w:rPr>
          <w:rFonts w:ascii="Cambria" w:hAnsi="Cambria"/>
          <w:color w:val="231F20"/>
          <w:sz w:val="20"/>
          <w:szCs w:val="20"/>
        </w:rPr>
        <w:t>s</w:t>
      </w:r>
      <w:r w:rsidRPr="005E15A8">
        <w:rPr>
          <w:rFonts w:ascii="Cambria" w:hAnsi="Cambria"/>
          <w:color w:val="231F20"/>
          <w:sz w:val="20"/>
          <w:szCs w:val="20"/>
        </w:rPr>
        <w:t> »</w:t>
      </w:r>
      <w:r w:rsidR="00EE1CA9" w:rsidRPr="005E15A8">
        <w:rPr>
          <w:rFonts w:ascii="Cambria" w:hAnsi="Cambria"/>
          <w:color w:val="231F20"/>
          <w:sz w:val="20"/>
          <w:szCs w:val="20"/>
        </w:rPr>
        <w:t>.</w:t>
      </w:r>
    </w:p>
    <w:p w14:paraId="7C472D51" w14:textId="51A26A32" w:rsidR="00C561E9" w:rsidRPr="005E15A8" w:rsidRDefault="00C561E9" w:rsidP="00C561E9">
      <w:pPr>
        <w:jc w:val="both"/>
        <w:rPr>
          <w:rFonts w:ascii="Cambria" w:eastAsia="Cambria" w:hAnsi="Cambria" w:cs="Cambria"/>
          <w:color w:val="231F20"/>
          <w:sz w:val="20"/>
          <w:szCs w:val="20"/>
        </w:rPr>
      </w:pPr>
    </w:p>
    <w:p w14:paraId="7ADD07CD" w14:textId="5879C211" w:rsidR="00C561E9" w:rsidRPr="005E15A8" w:rsidRDefault="00C561E9" w:rsidP="00707460">
      <w:pPr>
        <w:ind w:left="426"/>
        <w:rPr>
          <w:rFonts w:ascii="Cambria" w:hAnsi="Cambria"/>
          <w:color w:val="231F20"/>
          <w:sz w:val="20"/>
          <w:szCs w:val="20"/>
        </w:rPr>
      </w:pPr>
      <w:r w:rsidRPr="005E15A8">
        <w:rPr>
          <w:rFonts w:ascii="Cambria" w:hAnsi="Cambria"/>
          <w:color w:val="231F20"/>
          <w:sz w:val="20"/>
          <w:szCs w:val="20"/>
        </w:rPr>
        <w:t>(</w:t>
      </w:r>
      <w:r w:rsidR="0080232F" w:rsidRPr="005E15A8">
        <w:rPr>
          <w:rFonts w:ascii="Cambria" w:hAnsi="Cambria"/>
          <w:color w:val="231F20"/>
          <w:sz w:val="20"/>
          <w:szCs w:val="20"/>
        </w:rPr>
        <w:t>F</w:t>
      </w:r>
      <w:r w:rsidRPr="005E15A8">
        <w:rPr>
          <w:rFonts w:ascii="Cambria" w:hAnsi="Cambria"/>
          <w:color w:val="231F20"/>
          <w:sz w:val="20"/>
          <w:szCs w:val="20"/>
        </w:rPr>
        <w:t xml:space="preserve">) Le paragraphe 18 devra être </w:t>
      </w:r>
      <w:r w:rsidR="001776EA" w:rsidRPr="005E15A8">
        <w:rPr>
          <w:rFonts w:ascii="Cambria" w:hAnsi="Cambria"/>
          <w:color w:val="231F20"/>
          <w:sz w:val="20"/>
          <w:szCs w:val="20"/>
        </w:rPr>
        <w:t>remplacé par le texte suivant :</w:t>
      </w:r>
    </w:p>
    <w:p w14:paraId="4A8EB321" w14:textId="77777777" w:rsidR="00C561E9" w:rsidRPr="005E15A8" w:rsidRDefault="00C561E9" w:rsidP="00C561E9">
      <w:pPr>
        <w:ind w:left="527"/>
        <w:jc w:val="both"/>
        <w:rPr>
          <w:rFonts w:ascii="Cambria" w:hAnsi="Cambria"/>
          <w:sz w:val="20"/>
          <w:szCs w:val="20"/>
        </w:rPr>
      </w:pPr>
    </w:p>
    <w:p w14:paraId="03C17515" w14:textId="22E46E0D" w:rsidR="00FD223A" w:rsidRPr="005E15A8" w:rsidRDefault="00C561E9" w:rsidP="00C14F97">
      <w:pPr>
        <w:ind w:leftChars="258" w:left="1133" w:rightChars="192" w:right="422" w:hanging="565"/>
        <w:jc w:val="both"/>
        <w:rPr>
          <w:rFonts w:ascii="Cambria" w:eastAsia="Cambria" w:hAnsi="Cambria" w:cs="Cambria"/>
          <w:strike/>
          <w:color w:val="231F20"/>
          <w:sz w:val="20"/>
          <w:szCs w:val="20"/>
        </w:rPr>
      </w:pPr>
      <w:r w:rsidRPr="005E15A8">
        <w:rPr>
          <w:rFonts w:ascii="Cambria" w:hAnsi="Cambria"/>
          <w:sz w:val="20"/>
          <w:szCs w:val="20"/>
        </w:rPr>
        <w:t xml:space="preserve">« 18. </w:t>
      </w:r>
      <w:r w:rsidR="00C14F97" w:rsidRPr="005E15A8">
        <w:rPr>
          <w:rFonts w:ascii="Cambria" w:hAnsi="Cambria"/>
          <w:sz w:val="20"/>
          <w:szCs w:val="20"/>
        </w:rPr>
        <w:tab/>
      </w:r>
      <w:r w:rsidRPr="005E15A8">
        <w:rPr>
          <w:rFonts w:ascii="Cambria" w:hAnsi="Cambria"/>
          <w:sz w:val="20"/>
          <w:szCs w:val="20"/>
        </w:rPr>
        <w:t xml:space="preserve">D’ici </w:t>
      </w:r>
      <w:r w:rsidR="00A617C7" w:rsidRPr="005E15A8">
        <w:rPr>
          <w:rFonts w:ascii="Cambria" w:hAnsi="Cambria"/>
          <w:sz w:val="20"/>
          <w:szCs w:val="20"/>
        </w:rPr>
        <w:t>2022</w:t>
      </w:r>
      <w:r w:rsidRPr="005E15A8">
        <w:rPr>
          <w:rFonts w:ascii="Cambria" w:hAnsi="Cambria"/>
          <w:sz w:val="20"/>
          <w:szCs w:val="20"/>
        </w:rPr>
        <w:t>, le SCRS devra formuler un avis à la Commission sur les incidences éventuelles causées par les incertitudes (y compris en ce qui concerne la relation reproducteurs-recrues) de la mise en œuvre d’une stratégie de F</w:t>
      </w:r>
      <w:r w:rsidRPr="005E15A8">
        <w:rPr>
          <w:rFonts w:ascii="Cambria" w:hAnsi="Cambria"/>
          <w:sz w:val="20"/>
          <w:szCs w:val="20"/>
          <w:vertAlign w:val="subscript"/>
        </w:rPr>
        <w:t>0,1</w:t>
      </w:r>
      <w:r w:rsidRPr="005E15A8">
        <w:rPr>
          <w:rFonts w:ascii="Cambria" w:hAnsi="Cambria"/>
          <w:sz w:val="20"/>
          <w:szCs w:val="20"/>
        </w:rPr>
        <w:t xml:space="preserve"> et, en ce qui concerne les risques identifiés, indiquer quel serait la façon dont ils pourraient être dissipés dans des décisions de gestion futures. »</w:t>
      </w:r>
    </w:p>
    <w:p w14:paraId="10939FF7" w14:textId="0A6C7F3B" w:rsidR="00C561E9" w:rsidRPr="005E15A8" w:rsidRDefault="00C561E9" w:rsidP="00E56A79">
      <w:pPr>
        <w:ind w:right="-1"/>
        <w:jc w:val="both"/>
        <w:rPr>
          <w:rFonts w:ascii="Cambria" w:eastAsia="Cambria" w:hAnsi="Cambria" w:cs="Cambria"/>
          <w:strike/>
          <w:color w:val="231F20"/>
          <w:sz w:val="20"/>
          <w:szCs w:val="20"/>
        </w:rPr>
      </w:pPr>
    </w:p>
    <w:p w14:paraId="7F59AC42" w14:textId="55A4E835" w:rsidR="00C561E9" w:rsidRPr="005E15A8" w:rsidRDefault="00C561E9" w:rsidP="00E56A79">
      <w:pPr>
        <w:ind w:left="426" w:right="-1"/>
        <w:rPr>
          <w:rFonts w:ascii="Cambria" w:hAnsi="Cambria"/>
          <w:sz w:val="20"/>
          <w:szCs w:val="20"/>
        </w:rPr>
      </w:pPr>
      <w:r w:rsidRPr="005E15A8">
        <w:rPr>
          <w:rFonts w:ascii="Cambria" w:hAnsi="Cambria"/>
          <w:sz w:val="20"/>
          <w:szCs w:val="20"/>
        </w:rPr>
        <w:t>(</w:t>
      </w:r>
      <w:r w:rsidR="0080232F" w:rsidRPr="005E15A8">
        <w:rPr>
          <w:rFonts w:ascii="Cambria" w:hAnsi="Cambria"/>
          <w:sz w:val="20"/>
          <w:szCs w:val="20"/>
        </w:rPr>
        <w:t>G</w:t>
      </w:r>
      <w:r w:rsidRPr="005E15A8">
        <w:rPr>
          <w:rFonts w:ascii="Cambria" w:hAnsi="Cambria"/>
          <w:sz w:val="20"/>
          <w:szCs w:val="20"/>
        </w:rPr>
        <w:t xml:space="preserve">) Le </w:t>
      </w:r>
      <w:r w:rsidRPr="005E15A8">
        <w:rPr>
          <w:rFonts w:ascii="Cambria" w:hAnsi="Cambria"/>
          <w:color w:val="231F20"/>
          <w:sz w:val="20"/>
          <w:szCs w:val="20"/>
        </w:rPr>
        <w:t>paragraphe</w:t>
      </w:r>
      <w:r w:rsidRPr="005E15A8">
        <w:rPr>
          <w:rFonts w:ascii="Cambria" w:hAnsi="Cambria"/>
          <w:sz w:val="20"/>
          <w:szCs w:val="20"/>
        </w:rPr>
        <w:t xml:space="preserve"> 20 devra être </w:t>
      </w:r>
      <w:r w:rsidR="001776EA" w:rsidRPr="005E15A8">
        <w:rPr>
          <w:rFonts w:ascii="Cambria" w:hAnsi="Cambria"/>
          <w:sz w:val="20"/>
          <w:szCs w:val="20"/>
        </w:rPr>
        <w:t>remplacé par le texte suivant :</w:t>
      </w:r>
    </w:p>
    <w:p w14:paraId="79C1B336" w14:textId="170521BF" w:rsidR="00C561E9" w:rsidRPr="005E15A8" w:rsidRDefault="00C561E9" w:rsidP="00E56A79">
      <w:pPr>
        <w:ind w:left="527" w:right="-1"/>
        <w:jc w:val="both"/>
        <w:rPr>
          <w:rFonts w:ascii="Cambria" w:hAnsi="Cambria"/>
          <w:sz w:val="20"/>
          <w:szCs w:val="20"/>
        </w:rPr>
      </w:pPr>
    </w:p>
    <w:p w14:paraId="64E81C9D" w14:textId="1D92C012" w:rsidR="00DB393E" w:rsidRPr="005E15A8" w:rsidRDefault="00C561E9" w:rsidP="00C14F97">
      <w:pPr>
        <w:ind w:leftChars="258" w:left="1133" w:rightChars="192" w:right="422" w:hanging="565"/>
        <w:jc w:val="both"/>
        <w:rPr>
          <w:rFonts w:ascii="Cambria" w:hAnsi="Cambria"/>
          <w:sz w:val="20"/>
          <w:szCs w:val="20"/>
        </w:rPr>
      </w:pPr>
      <w:r w:rsidRPr="005E15A8">
        <w:rPr>
          <w:rFonts w:ascii="Cambria" w:hAnsi="Cambria"/>
          <w:sz w:val="20"/>
          <w:szCs w:val="20"/>
        </w:rPr>
        <w:t xml:space="preserve">« 20. </w:t>
      </w:r>
      <w:r w:rsidR="00C14F97" w:rsidRPr="005E15A8">
        <w:rPr>
          <w:rFonts w:ascii="Cambria" w:hAnsi="Cambria"/>
          <w:sz w:val="20"/>
          <w:szCs w:val="20"/>
        </w:rPr>
        <w:tab/>
      </w:r>
      <w:r w:rsidRPr="005E15A8">
        <w:rPr>
          <w:rFonts w:ascii="Cambria" w:hAnsi="Cambria"/>
          <w:color w:val="231F20"/>
          <w:sz w:val="20"/>
          <w:szCs w:val="20"/>
        </w:rPr>
        <w:t xml:space="preserve">Les CPC qui </w:t>
      </w:r>
      <w:r w:rsidRPr="005E15A8">
        <w:rPr>
          <w:rFonts w:ascii="Cambria" w:hAnsi="Cambria"/>
          <w:sz w:val="20"/>
          <w:szCs w:val="20"/>
        </w:rPr>
        <w:t>capturent</w:t>
      </w:r>
      <w:r w:rsidRPr="005E15A8">
        <w:rPr>
          <w:rFonts w:ascii="Cambria" w:hAnsi="Cambria"/>
          <w:color w:val="231F20"/>
          <w:sz w:val="20"/>
          <w:szCs w:val="20"/>
        </w:rPr>
        <w:t xml:space="preserve"> du thon rouge de l’Atlantique devraient </w:t>
      </w:r>
      <w:r w:rsidR="00B467FD" w:rsidRPr="005E15A8">
        <w:rPr>
          <w:rFonts w:ascii="Cambria" w:hAnsi="Cambria"/>
          <w:color w:val="231F20"/>
          <w:sz w:val="20"/>
          <w:szCs w:val="20"/>
        </w:rPr>
        <w:t xml:space="preserve">faire tout leur possible pour </w:t>
      </w:r>
      <w:r w:rsidRPr="005E15A8">
        <w:rPr>
          <w:rFonts w:ascii="Cambria" w:hAnsi="Cambria"/>
          <w:color w:val="231F20"/>
          <w:sz w:val="20"/>
          <w:szCs w:val="20"/>
        </w:rPr>
        <w:t>contribuer aux travaux de recherche</w:t>
      </w:r>
      <w:r w:rsidR="00B467FD" w:rsidRPr="005E15A8">
        <w:rPr>
          <w:rFonts w:ascii="Cambria" w:hAnsi="Cambria"/>
          <w:color w:val="231F20"/>
          <w:sz w:val="20"/>
          <w:szCs w:val="20"/>
        </w:rPr>
        <w:t xml:space="preserve"> prioritaire</w:t>
      </w:r>
      <w:r w:rsidR="00703BD4" w:rsidRPr="005E15A8">
        <w:rPr>
          <w:rFonts w:ascii="Cambria" w:hAnsi="Cambria"/>
          <w:color w:val="231F20"/>
          <w:sz w:val="20"/>
          <w:szCs w:val="20"/>
        </w:rPr>
        <w:t>s</w:t>
      </w:r>
      <w:r w:rsidR="00B467FD" w:rsidRPr="005E15A8">
        <w:rPr>
          <w:rFonts w:ascii="Cambria" w:hAnsi="Cambria"/>
          <w:color w:val="231F20"/>
          <w:sz w:val="20"/>
          <w:szCs w:val="20"/>
        </w:rPr>
        <w:t xml:space="preserve"> et à d'autres activités scientifiques</w:t>
      </w:r>
      <w:r w:rsidRPr="005E15A8">
        <w:rPr>
          <w:rFonts w:ascii="Cambria" w:hAnsi="Cambria"/>
          <w:color w:val="231F20"/>
          <w:sz w:val="20"/>
          <w:szCs w:val="20"/>
        </w:rPr>
        <w:t>, y compris ceux menés dans le cadre du GBYP de l’ICCAT</w:t>
      </w:r>
      <w:r w:rsidR="00B467FD" w:rsidRPr="005E15A8">
        <w:rPr>
          <w:rFonts w:ascii="Cambria" w:hAnsi="Cambria"/>
          <w:color w:val="231F20"/>
          <w:sz w:val="20"/>
          <w:szCs w:val="20"/>
        </w:rPr>
        <w:t>, ou en collaboration avec celui-ci</w:t>
      </w:r>
      <w:r w:rsidRPr="005E15A8">
        <w:rPr>
          <w:rFonts w:ascii="Cambria" w:hAnsi="Cambria"/>
          <w:color w:val="231F20"/>
          <w:sz w:val="20"/>
          <w:szCs w:val="20"/>
        </w:rPr>
        <w:t xml:space="preserve">. Les CPC devraient déployer, ou continuer à déployer, des efforts spéciaux afin d'intensifier la collecte et l'analyse des échantillons biologiques provenant des pêcheries </w:t>
      </w:r>
      <w:r w:rsidRPr="005E15A8">
        <w:rPr>
          <w:rFonts w:ascii="Cambria" w:hAnsi="Cambria"/>
          <w:color w:val="231F20"/>
          <w:sz w:val="20"/>
          <w:szCs w:val="20"/>
        </w:rPr>
        <w:lastRenderedPageBreak/>
        <w:t xml:space="preserve">de thon rouge de l'Atlantique, par exemple en apportant des échantillons au plan d'échantillonnage coordonné recommandé par le SCRS. </w:t>
      </w:r>
      <w:r w:rsidR="00B467FD" w:rsidRPr="005E15A8">
        <w:rPr>
          <w:rFonts w:ascii="Cambria" w:hAnsi="Cambria"/>
          <w:color w:val="231F20"/>
          <w:sz w:val="20"/>
          <w:szCs w:val="20"/>
        </w:rPr>
        <w:t xml:space="preserve">Une attention particulière devrait être accordée au soutien et à la fourniture d'échantillons </w:t>
      </w:r>
      <w:r w:rsidR="00090B11" w:rsidRPr="005E15A8">
        <w:rPr>
          <w:rFonts w:ascii="Cambria" w:hAnsi="Cambria"/>
          <w:color w:val="231F20"/>
          <w:sz w:val="20"/>
          <w:szCs w:val="20"/>
        </w:rPr>
        <w:t xml:space="preserve">provenant de la </w:t>
      </w:r>
      <w:r w:rsidR="00B467FD" w:rsidRPr="005E15A8">
        <w:rPr>
          <w:rFonts w:ascii="Cambria" w:hAnsi="Cambria"/>
          <w:color w:val="231F20"/>
          <w:sz w:val="20"/>
          <w:szCs w:val="20"/>
        </w:rPr>
        <w:t xml:space="preserve">récupération de marques </w:t>
      </w:r>
      <w:r w:rsidR="00090B11" w:rsidRPr="005E15A8">
        <w:rPr>
          <w:rFonts w:ascii="Cambria" w:hAnsi="Cambria"/>
          <w:color w:val="231F20"/>
          <w:sz w:val="20"/>
          <w:szCs w:val="20"/>
        </w:rPr>
        <w:t xml:space="preserve">de spécimens étroitement apparentés pour des analyses génétiques </w:t>
      </w:r>
      <w:r w:rsidR="00B467FD" w:rsidRPr="005E15A8">
        <w:rPr>
          <w:rFonts w:ascii="Cambria" w:hAnsi="Cambria"/>
          <w:color w:val="231F20"/>
          <w:sz w:val="20"/>
          <w:szCs w:val="20"/>
        </w:rPr>
        <w:t xml:space="preserve">et de stock d'origine. </w:t>
      </w:r>
      <w:r w:rsidRPr="005E15A8">
        <w:rPr>
          <w:rFonts w:ascii="Cambria" w:hAnsi="Cambria"/>
          <w:color w:val="231F20"/>
          <w:sz w:val="20"/>
          <w:szCs w:val="20"/>
        </w:rPr>
        <w:t xml:space="preserve">Le SCRS fera rapport </w:t>
      </w:r>
      <w:r w:rsidR="00B467FD" w:rsidRPr="005E15A8">
        <w:rPr>
          <w:rFonts w:ascii="Cambria" w:hAnsi="Cambria"/>
          <w:color w:val="231F20"/>
          <w:sz w:val="20"/>
          <w:szCs w:val="20"/>
        </w:rPr>
        <w:t xml:space="preserve">chaque année </w:t>
      </w:r>
      <w:r w:rsidRPr="005E15A8">
        <w:rPr>
          <w:rFonts w:ascii="Cambria" w:hAnsi="Cambria"/>
          <w:color w:val="231F20"/>
          <w:sz w:val="20"/>
          <w:szCs w:val="20"/>
        </w:rPr>
        <w:t>à la Commission sur ces efforts. En outre, il est important de continuer à explorer des approches d'échantillonnage et/ou d'autre nature en vue de consolider, et lorsque cela s'avère nécessaire, d'élaborer des indices d'abondance précis pour les thons rouges juvéniles. Les CPC devraient également déployer des efforts spéciaux en vue de garantir la transmission complète et en temps opportun au SCRS de toute donnée recueillie. »</w:t>
      </w:r>
    </w:p>
    <w:p w14:paraId="520A1565" w14:textId="67E39B95" w:rsidR="00C561E9" w:rsidRPr="005E15A8" w:rsidRDefault="00C561E9" w:rsidP="005B2C2B">
      <w:pPr>
        <w:rPr>
          <w:rFonts w:ascii="Cambria" w:hAnsi="Cambria"/>
          <w:sz w:val="20"/>
          <w:szCs w:val="20"/>
        </w:rPr>
      </w:pPr>
    </w:p>
    <w:p w14:paraId="623384A7" w14:textId="7141C474" w:rsidR="00DB393E" w:rsidRPr="005E15A8" w:rsidRDefault="00C561E9" w:rsidP="00A872FC">
      <w:pPr>
        <w:ind w:left="426" w:hanging="426"/>
        <w:jc w:val="both"/>
        <w:rPr>
          <w:rFonts w:ascii="Cambria" w:hAnsi="Cambria"/>
          <w:sz w:val="20"/>
          <w:szCs w:val="20"/>
        </w:rPr>
      </w:pPr>
      <w:r w:rsidRPr="005E15A8">
        <w:rPr>
          <w:rFonts w:ascii="Cambria" w:hAnsi="Cambria"/>
          <w:sz w:val="20"/>
          <w:szCs w:val="20"/>
        </w:rPr>
        <w:t>2</w:t>
      </w:r>
      <w:r w:rsidRPr="005E15A8">
        <w:rPr>
          <w:rFonts w:ascii="Cambria" w:hAnsi="Cambria"/>
          <w:b/>
          <w:bCs/>
          <w:sz w:val="20"/>
          <w:szCs w:val="20"/>
        </w:rPr>
        <w:t>.</w:t>
      </w:r>
      <w:r w:rsidRPr="005E15A8">
        <w:rPr>
          <w:rFonts w:ascii="Cambria" w:hAnsi="Cambria"/>
          <w:sz w:val="20"/>
          <w:szCs w:val="20"/>
        </w:rPr>
        <w:t xml:space="preserve"> </w:t>
      </w:r>
      <w:r w:rsidRPr="005E15A8">
        <w:rPr>
          <w:rFonts w:ascii="Cambria" w:hAnsi="Cambria"/>
          <w:sz w:val="20"/>
          <w:szCs w:val="20"/>
        </w:rPr>
        <w:tab/>
        <w:t xml:space="preserve">En </w:t>
      </w:r>
      <w:r w:rsidR="00B467FD" w:rsidRPr="005E15A8">
        <w:rPr>
          <w:rFonts w:ascii="Cambria" w:hAnsi="Cambria"/>
          <w:sz w:val="20"/>
          <w:szCs w:val="20"/>
        </w:rPr>
        <w:t>2022</w:t>
      </w:r>
      <w:r w:rsidRPr="005E15A8">
        <w:rPr>
          <w:rFonts w:ascii="Cambria" w:hAnsi="Cambria"/>
          <w:sz w:val="20"/>
          <w:szCs w:val="20"/>
        </w:rPr>
        <w:t xml:space="preserve">, la Commission devra réexaminer et modifier, le cas échéant, la Recommandation 17-06 </w:t>
      </w:r>
      <w:r w:rsidR="001B2B74" w:rsidRPr="005E15A8">
        <w:rPr>
          <w:rFonts w:ascii="Cambria" w:hAnsi="Cambria"/>
          <w:sz w:val="20"/>
          <w:szCs w:val="20"/>
        </w:rPr>
        <w:t>telle qu’</w:t>
      </w:r>
      <w:r w:rsidRPr="005E15A8">
        <w:rPr>
          <w:rFonts w:ascii="Cambria" w:hAnsi="Cambria"/>
          <w:sz w:val="20"/>
          <w:szCs w:val="20"/>
        </w:rPr>
        <w:t>amendée par la présente Recommandation.</w:t>
      </w:r>
    </w:p>
    <w:p w14:paraId="414B934B" w14:textId="031A9A2B" w:rsidR="008A48A6" w:rsidRPr="005E15A8" w:rsidRDefault="008A48A6" w:rsidP="008A48A6">
      <w:pPr>
        <w:rPr>
          <w:rFonts w:ascii="Cambria" w:hAnsi="Cambria"/>
          <w:sz w:val="20"/>
          <w:szCs w:val="20"/>
        </w:rPr>
      </w:pPr>
    </w:p>
    <w:p w14:paraId="2E991932" w14:textId="16A4358D" w:rsidR="00B467FD" w:rsidRPr="00667F4E" w:rsidRDefault="00B467FD" w:rsidP="00B467FD">
      <w:pPr>
        <w:ind w:left="426" w:hanging="426"/>
        <w:jc w:val="both"/>
        <w:rPr>
          <w:rFonts w:ascii="Cambria" w:hAnsi="Cambria"/>
          <w:sz w:val="20"/>
          <w:szCs w:val="20"/>
        </w:rPr>
      </w:pPr>
      <w:r w:rsidRPr="005E15A8">
        <w:rPr>
          <w:rFonts w:ascii="Cambria" w:hAnsi="Cambria"/>
          <w:sz w:val="20"/>
          <w:szCs w:val="20"/>
        </w:rPr>
        <w:t xml:space="preserve">3. </w:t>
      </w:r>
      <w:r w:rsidRPr="005E15A8">
        <w:rPr>
          <w:rFonts w:ascii="Cambria" w:hAnsi="Cambria"/>
          <w:sz w:val="20"/>
          <w:szCs w:val="20"/>
        </w:rPr>
        <w:tab/>
        <w:t>La présente Recommandation amende la Recommandation 17-06 et abroge et remplace la Recommandation 20-06.</w:t>
      </w:r>
    </w:p>
    <w:sectPr w:rsidR="00B467FD" w:rsidRPr="00667F4E" w:rsidSect="00AD6AA0">
      <w:footerReference w:type="default" r:id="rId8"/>
      <w:pgSz w:w="11907" w:h="16840" w:code="9"/>
      <w:pgMar w:top="1418" w:right="1418" w:bottom="1418" w:left="1418" w:header="851" w:footer="1134"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B9678A" w14:textId="77777777" w:rsidR="002A06B5" w:rsidRDefault="002A06B5">
      <w:r>
        <w:separator/>
      </w:r>
    </w:p>
  </w:endnote>
  <w:endnote w:type="continuationSeparator" w:id="0">
    <w:p w14:paraId="4503A9BA" w14:textId="77777777" w:rsidR="002A06B5" w:rsidRDefault="002A06B5">
      <w:r>
        <w:continuationSeparator/>
      </w:r>
    </w:p>
  </w:endnote>
  <w:endnote w:type="continuationNotice" w:id="1">
    <w:p w14:paraId="0163D867" w14:textId="77777777" w:rsidR="002A06B5" w:rsidRDefault="002A06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Yu Mincho"/>
    <w:charset w:val="80"/>
    <w:family w:val="roman"/>
    <w:pitch w:val="variable"/>
    <w:sig w:usb0="800002E7" w:usb1="2AC7FCFF" w:usb2="00000012" w:usb3="00000000" w:csb0="0002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mbria" w:hAnsi="Cambria"/>
        <w:sz w:val="20"/>
        <w:szCs w:val="20"/>
      </w:rPr>
      <w:id w:val="1121110338"/>
      <w:docPartObj>
        <w:docPartGallery w:val="Page Numbers (Bottom of Page)"/>
        <w:docPartUnique/>
      </w:docPartObj>
    </w:sdtPr>
    <w:sdtEndPr/>
    <w:sdtContent>
      <w:sdt>
        <w:sdtPr>
          <w:rPr>
            <w:rFonts w:ascii="Cambria" w:hAnsi="Cambria"/>
            <w:sz w:val="20"/>
            <w:szCs w:val="20"/>
          </w:rPr>
          <w:id w:val="1728636285"/>
          <w:docPartObj>
            <w:docPartGallery w:val="Page Numbers (Top of Page)"/>
            <w:docPartUnique/>
          </w:docPartObj>
        </w:sdtPr>
        <w:sdtEndPr/>
        <w:sdtContent>
          <w:p w14:paraId="163CCBAC" w14:textId="47B552F3" w:rsidR="00A70654" w:rsidRPr="00A70654" w:rsidRDefault="00AD6AA0" w:rsidP="00AD6AA0">
            <w:pPr>
              <w:pStyle w:val="Footer"/>
              <w:jc w:val="center"/>
              <w:rPr>
                <w:rFonts w:ascii="Cambria" w:hAnsi="Cambria"/>
                <w:sz w:val="20"/>
                <w:szCs w:val="20"/>
              </w:rPr>
            </w:pPr>
            <w:r w:rsidRPr="00EF3C77">
              <w:rPr>
                <w:rFonts w:ascii="Cambria" w:hAnsi="Cambria"/>
                <w:sz w:val="20"/>
                <w:szCs w:val="20"/>
              </w:rPr>
              <w:fldChar w:fldCharType="begin"/>
            </w:r>
            <w:r w:rsidRPr="00EF3C77">
              <w:rPr>
                <w:rFonts w:ascii="Cambria" w:hAnsi="Cambria"/>
                <w:sz w:val="20"/>
                <w:szCs w:val="20"/>
              </w:rPr>
              <w:instrText xml:space="preserve"> PAGE </w:instrText>
            </w:r>
            <w:r w:rsidRPr="00EF3C77">
              <w:rPr>
                <w:rFonts w:ascii="Cambria" w:hAnsi="Cambria"/>
                <w:sz w:val="20"/>
                <w:szCs w:val="20"/>
              </w:rPr>
              <w:fldChar w:fldCharType="separate"/>
            </w:r>
            <w:r w:rsidRPr="00EF3C77">
              <w:rPr>
                <w:rFonts w:ascii="Cambria" w:hAnsi="Cambria"/>
                <w:noProof/>
                <w:sz w:val="20"/>
                <w:szCs w:val="20"/>
              </w:rPr>
              <w:t>2</w:t>
            </w:r>
            <w:r w:rsidRPr="00EF3C77">
              <w:rPr>
                <w:rFonts w:ascii="Cambria" w:hAnsi="Cambria"/>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D7F545" w14:textId="77777777" w:rsidR="002A06B5" w:rsidRDefault="002A06B5">
      <w:r>
        <w:separator/>
      </w:r>
    </w:p>
  </w:footnote>
  <w:footnote w:type="continuationSeparator" w:id="0">
    <w:p w14:paraId="2E1F342C" w14:textId="77777777" w:rsidR="002A06B5" w:rsidRDefault="002A06B5">
      <w:r>
        <w:continuationSeparator/>
      </w:r>
    </w:p>
  </w:footnote>
  <w:footnote w:type="continuationNotice" w:id="1">
    <w:p w14:paraId="5CBBB5CB" w14:textId="77777777" w:rsidR="002A06B5" w:rsidRDefault="002A06B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9D61CF"/>
    <w:multiLevelType w:val="hybridMultilevel"/>
    <w:tmpl w:val="80A233CC"/>
    <w:lvl w:ilvl="0" w:tplc="0409000F">
      <w:start w:val="1"/>
      <w:numFmt w:val="decimal"/>
      <w:lvlText w:val="%1."/>
      <w:lvlJc w:val="left"/>
      <w:pPr>
        <w:ind w:left="768" w:hanging="360"/>
      </w:p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1" w15:restartNumberingAfterBreak="0">
    <w:nsid w:val="282F47E9"/>
    <w:multiLevelType w:val="multilevel"/>
    <w:tmpl w:val="E472704E"/>
    <w:lvl w:ilvl="0">
      <w:start w:val="1"/>
      <w:numFmt w:val="decimal"/>
      <w:lvlText w:val="%1."/>
      <w:lvlJc w:val="left"/>
      <w:pPr>
        <w:ind w:left="5080" w:hanging="401"/>
      </w:pPr>
      <w:rPr>
        <w:rFonts w:ascii="Cambria" w:eastAsia="Cambria" w:hAnsi="Cambria" w:cs="Cambria"/>
        <w:strike w:val="0"/>
        <w:color w:val="231F20"/>
        <w:sz w:val="20"/>
        <w:szCs w:val="20"/>
      </w:rPr>
    </w:lvl>
    <w:lvl w:ilvl="1">
      <w:start w:val="1"/>
      <w:numFmt w:val="lowerLetter"/>
      <w:lvlText w:val="(%2)"/>
      <w:lvlJc w:val="left"/>
      <w:pPr>
        <w:ind w:left="-1470" w:hanging="268"/>
      </w:pPr>
      <w:rPr>
        <w:rFonts w:ascii="Cambria" w:eastAsia="Cambria" w:hAnsi="Cambria" w:cs="Cambria"/>
        <w:color w:val="231F20"/>
        <w:sz w:val="20"/>
        <w:szCs w:val="20"/>
        <w:u w:val="none"/>
      </w:rPr>
    </w:lvl>
    <w:lvl w:ilvl="2">
      <w:start w:val="1"/>
      <w:numFmt w:val="bullet"/>
      <w:lvlText w:val="•"/>
      <w:lvlJc w:val="left"/>
      <w:pPr>
        <w:ind w:left="-1470" w:hanging="268"/>
      </w:pPr>
    </w:lvl>
    <w:lvl w:ilvl="3">
      <w:start w:val="1"/>
      <w:numFmt w:val="bullet"/>
      <w:lvlText w:val="•"/>
      <w:lvlJc w:val="left"/>
      <w:pPr>
        <w:ind w:left="-470" w:hanging="268"/>
      </w:pPr>
    </w:lvl>
    <w:lvl w:ilvl="4">
      <w:start w:val="1"/>
      <w:numFmt w:val="bullet"/>
      <w:lvlText w:val="•"/>
      <w:lvlJc w:val="left"/>
      <w:pPr>
        <w:ind w:left="531" w:hanging="268"/>
      </w:pPr>
    </w:lvl>
    <w:lvl w:ilvl="5">
      <w:start w:val="1"/>
      <w:numFmt w:val="bullet"/>
      <w:lvlText w:val="•"/>
      <w:lvlJc w:val="left"/>
      <w:pPr>
        <w:ind w:left="1531" w:hanging="268"/>
      </w:pPr>
    </w:lvl>
    <w:lvl w:ilvl="6">
      <w:start w:val="1"/>
      <w:numFmt w:val="bullet"/>
      <w:lvlText w:val="•"/>
      <w:lvlJc w:val="left"/>
      <w:pPr>
        <w:ind w:left="2531" w:hanging="268"/>
      </w:pPr>
    </w:lvl>
    <w:lvl w:ilvl="7">
      <w:start w:val="1"/>
      <w:numFmt w:val="bullet"/>
      <w:lvlText w:val="•"/>
      <w:lvlJc w:val="left"/>
      <w:pPr>
        <w:ind w:left="3532" w:hanging="268"/>
      </w:pPr>
    </w:lvl>
    <w:lvl w:ilvl="8">
      <w:start w:val="1"/>
      <w:numFmt w:val="bullet"/>
      <w:lvlText w:val="•"/>
      <w:lvlJc w:val="left"/>
      <w:pPr>
        <w:ind w:left="4532" w:hanging="268"/>
      </w:pPr>
    </w:lvl>
  </w:abstractNum>
  <w:abstractNum w:abstractNumId="2" w15:restartNumberingAfterBreak="0">
    <w:nsid w:val="28C974A6"/>
    <w:multiLevelType w:val="multilevel"/>
    <w:tmpl w:val="AFA010B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15:restartNumberingAfterBreak="0">
    <w:nsid w:val="2B1928BB"/>
    <w:multiLevelType w:val="hybridMultilevel"/>
    <w:tmpl w:val="8FCCF25E"/>
    <w:lvl w:ilvl="0" w:tplc="93D86D24">
      <w:start w:val="1"/>
      <w:numFmt w:val="decimal"/>
      <w:lvlText w:val="%1."/>
      <w:lvlJc w:val="left"/>
      <w:pPr>
        <w:ind w:left="534" w:hanging="401"/>
      </w:pPr>
      <w:rPr>
        <w:rFonts w:ascii="Times New Roman" w:eastAsia="Times New Roman" w:hAnsi="Times New Roman" w:hint="default"/>
        <w:color w:val="231F20"/>
        <w:spacing w:val="-1"/>
        <w:w w:val="99"/>
        <w:sz w:val="19"/>
        <w:szCs w:val="19"/>
      </w:rPr>
    </w:lvl>
    <w:lvl w:ilvl="1" w:tplc="6E6A48D4">
      <w:start w:val="1"/>
      <w:numFmt w:val="lowerLetter"/>
      <w:lvlText w:val="%2)"/>
      <w:lvlJc w:val="left"/>
      <w:pPr>
        <w:ind w:left="797" w:hanging="268"/>
      </w:pPr>
      <w:rPr>
        <w:rFonts w:ascii="Times New Roman" w:eastAsia="Times New Roman" w:hAnsi="Times New Roman" w:hint="default"/>
        <w:color w:val="231F20"/>
        <w:spacing w:val="-1"/>
        <w:w w:val="99"/>
        <w:sz w:val="19"/>
        <w:szCs w:val="19"/>
      </w:rPr>
    </w:lvl>
    <w:lvl w:ilvl="2" w:tplc="51D823AE">
      <w:start w:val="1"/>
      <w:numFmt w:val="bullet"/>
      <w:lvlText w:val="•"/>
      <w:lvlJc w:val="left"/>
      <w:pPr>
        <w:ind w:left="797" w:hanging="268"/>
      </w:pPr>
      <w:rPr>
        <w:rFonts w:hint="default"/>
      </w:rPr>
    </w:lvl>
    <w:lvl w:ilvl="3" w:tplc="16C25308">
      <w:start w:val="1"/>
      <w:numFmt w:val="bullet"/>
      <w:lvlText w:val="•"/>
      <w:lvlJc w:val="left"/>
      <w:pPr>
        <w:ind w:left="1797" w:hanging="268"/>
      </w:pPr>
      <w:rPr>
        <w:rFonts w:hint="default"/>
      </w:rPr>
    </w:lvl>
    <w:lvl w:ilvl="4" w:tplc="D6D2CED6">
      <w:start w:val="1"/>
      <w:numFmt w:val="bullet"/>
      <w:lvlText w:val="•"/>
      <w:lvlJc w:val="left"/>
      <w:pPr>
        <w:ind w:left="2798" w:hanging="268"/>
      </w:pPr>
      <w:rPr>
        <w:rFonts w:hint="default"/>
      </w:rPr>
    </w:lvl>
    <w:lvl w:ilvl="5" w:tplc="725C9ED4">
      <w:start w:val="1"/>
      <w:numFmt w:val="bullet"/>
      <w:lvlText w:val="•"/>
      <w:lvlJc w:val="left"/>
      <w:pPr>
        <w:ind w:left="3798" w:hanging="268"/>
      </w:pPr>
      <w:rPr>
        <w:rFonts w:hint="default"/>
      </w:rPr>
    </w:lvl>
    <w:lvl w:ilvl="6" w:tplc="C8668316">
      <w:start w:val="1"/>
      <w:numFmt w:val="bullet"/>
      <w:lvlText w:val="•"/>
      <w:lvlJc w:val="left"/>
      <w:pPr>
        <w:ind w:left="4798" w:hanging="268"/>
      </w:pPr>
      <w:rPr>
        <w:rFonts w:hint="default"/>
      </w:rPr>
    </w:lvl>
    <w:lvl w:ilvl="7" w:tplc="837A4036">
      <w:start w:val="1"/>
      <w:numFmt w:val="bullet"/>
      <w:lvlText w:val="•"/>
      <w:lvlJc w:val="left"/>
      <w:pPr>
        <w:ind w:left="5799" w:hanging="268"/>
      </w:pPr>
      <w:rPr>
        <w:rFonts w:hint="default"/>
      </w:rPr>
    </w:lvl>
    <w:lvl w:ilvl="8" w:tplc="DC1E1012">
      <w:start w:val="1"/>
      <w:numFmt w:val="bullet"/>
      <w:lvlText w:val="•"/>
      <w:lvlJc w:val="left"/>
      <w:pPr>
        <w:ind w:left="6799" w:hanging="268"/>
      </w:pPr>
      <w:rPr>
        <w:rFonts w:hint="default"/>
      </w:rPr>
    </w:lvl>
  </w:abstractNum>
  <w:abstractNum w:abstractNumId="4" w15:restartNumberingAfterBreak="0">
    <w:nsid w:val="41A6337B"/>
    <w:multiLevelType w:val="hybridMultilevel"/>
    <w:tmpl w:val="023E735C"/>
    <w:lvl w:ilvl="0" w:tplc="8D743614">
      <w:start w:val="1"/>
      <w:numFmt w:val="decimal"/>
      <w:lvlText w:val="%1."/>
      <w:lvlJc w:val="left"/>
      <w:pPr>
        <w:ind w:left="534" w:hanging="401"/>
      </w:pPr>
      <w:rPr>
        <w:rFonts w:asciiTheme="majorHAnsi" w:eastAsia="Times New Roman" w:hAnsiTheme="majorHAnsi" w:hint="default"/>
        <w:color w:val="231F20"/>
        <w:spacing w:val="-1"/>
        <w:w w:val="99"/>
        <w:sz w:val="20"/>
        <w:szCs w:val="20"/>
      </w:rPr>
    </w:lvl>
    <w:lvl w:ilvl="1" w:tplc="0132539E">
      <w:start w:val="1"/>
      <w:numFmt w:val="lowerLetter"/>
      <w:lvlText w:val="(%2)"/>
      <w:lvlJc w:val="left"/>
      <w:pPr>
        <w:ind w:left="797" w:hanging="268"/>
      </w:pPr>
      <w:rPr>
        <w:rFonts w:asciiTheme="majorHAnsi" w:hAnsiTheme="majorHAnsi" w:hint="default"/>
        <w:color w:val="231F20"/>
        <w:spacing w:val="-1"/>
        <w:w w:val="99"/>
        <w:sz w:val="20"/>
        <w:szCs w:val="20"/>
        <w:u w:val="none"/>
      </w:rPr>
    </w:lvl>
    <w:lvl w:ilvl="2" w:tplc="D5221C02">
      <w:start w:val="1"/>
      <w:numFmt w:val="bullet"/>
      <w:lvlText w:val="•"/>
      <w:lvlJc w:val="left"/>
      <w:pPr>
        <w:ind w:left="797" w:hanging="268"/>
      </w:pPr>
      <w:rPr>
        <w:rFonts w:hint="default"/>
      </w:rPr>
    </w:lvl>
    <w:lvl w:ilvl="3" w:tplc="D73CCB78">
      <w:start w:val="1"/>
      <w:numFmt w:val="bullet"/>
      <w:lvlText w:val="•"/>
      <w:lvlJc w:val="left"/>
      <w:pPr>
        <w:ind w:left="1797" w:hanging="268"/>
      </w:pPr>
      <w:rPr>
        <w:rFonts w:hint="default"/>
      </w:rPr>
    </w:lvl>
    <w:lvl w:ilvl="4" w:tplc="7416F5A0">
      <w:start w:val="1"/>
      <w:numFmt w:val="bullet"/>
      <w:lvlText w:val="•"/>
      <w:lvlJc w:val="left"/>
      <w:pPr>
        <w:ind w:left="2798" w:hanging="268"/>
      </w:pPr>
      <w:rPr>
        <w:rFonts w:hint="default"/>
      </w:rPr>
    </w:lvl>
    <w:lvl w:ilvl="5" w:tplc="A6F0EB18">
      <w:start w:val="1"/>
      <w:numFmt w:val="bullet"/>
      <w:lvlText w:val="•"/>
      <w:lvlJc w:val="left"/>
      <w:pPr>
        <w:ind w:left="3798" w:hanging="268"/>
      </w:pPr>
      <w:rPr>
        <w:rFonts w:hint="default"/>
      </w:rPr>
    </w:lvl>
    <w:lvl w:ilvl="6" w:tplc="B61AB29C">
      <w:start w:val="1"/>
      <w:numFmt w:val="bullet"/>
      <w:lvlText w:val="•"/>
      <w:lvlJc w:val="left"/>
      <w:pPr>
        <w:ind w:left="4798" w:hanging="268"/>
      </w:pPr>
      <w:rPr>
        <w:rFonts w:hint="default"/>
      </w:rPr>
    </w:lvl>
    <w:lvl w:ilvl="7" w:tplc="8DA6B7BC">
      <w:start w:val="1"/>
      <w:numFmt w:val="bullet"/>
      <w:lvlText w:val="•"/>
      <w:lvlJc w:val="left"/>
      <w:pPr>
        <w:ind w:left="5799" w:hanging="268"/>
      </w:pPr>
      <w:rPr>
        <w:rFonts w:hint="default"/>
      </w:rPr>
    </w:lvl>
    <w:lvl w:ilvl="8" w:tplc="57E8EECA">
      <w:start w:val="1"/>
      <w:numFmt w:val="bullet"/>
      <w:lvlText w:val="•"/>
      <w:lvlJc w:val="left"/>
      <w:pPr>
        <w:ind w:left="6799" w:hanging="268"/>
      </w:pPr>
      <w:rPr>
        <w:rFonts w:hint="default"/>
      </w:rPr>
    </w:lvl>
  </w:abstractNum>
  <w:abstractNum w:abstractNumId="5" w15:restartNumberingAfterBreak="0">
    <w:nsid w:val="48FD4FD2"/>
    <w:multiLevelType w:val="multilevel"/>
    <w:tmpl w:val="F16A140C"/>
    <w:lvl w:ilvl="0">
      <w:start w:val="6"/>
      <w:numFmt w:val="decimal"/>
      <w:lvlText w:val="%1."/>
      <w:lvlJc w:val="left"/>
      <w:pPr>
        <w:ind w:left="534" w:hanging="401"/>
      </w:pPr>
      <w:rPr>
        <w:rFonts w:ascii="Cambria" w:eastAsia="Cambria" w:hAnsi="Cambria" w:cs="Cambria"/>
        <w:color w:val="231F20"/>
        <w:sz w:val="20"/>
        <w:szCs w:val="20"/>
      </w:rPr>
    </w:lvl>
    <w:lvl w:ilvl="1">
      <w:start w:val="3"/>
      <w:numFmt w:val="lowerLetter"/>
      <w:lvlText w:val="(%2)"/>
      <w:lvlJc w:val="left"/>
      <w:pPr>
        <w:ind w:left="797" w:hanging="268"/>
      </w:pPr>
      <w:rPr>
        <w:rFonts w:ascii="Cambria" w:eastAsia="Cambria" w:hAnsi="Cambria" w:cs="Cambria"/>
        <w:color w:val="231F20"/>
        <w:sz w:val="20"/>
        <w:szCs w:val="20"/>
        <w:u w:val="none"/>
      </w:rPr>
    </w:lvl>
    <w:lvl w:ilvl="2">
      <w:start w:val="1"/>
      <w:numFmt w:val="bullet"/>
      <w:lvlText w:val="•"/>
      <w:lvlJc w:val="left"/>
      <w:pPr>
        <w:ind w:left="797" w:hanging="268"/>
      </w:pPr>
    </w:lvl>
    <w:lvl w:ilvl="3">
      <w:start w:val="1"/>
      <w:numFmt w:val="bullet"/>
      <w:lvlText w:val="•"/>
      <w:lvlJc w:val="left"/>
      <w:pPr>
        <w:ind w:left="1797" w:hanging="268"/>
      </w:pPr>
    </w:lvl>
    <w:lvl w:ilvl="4">
      <w:start w:val="1"/>
      <w:numFmt w:val="bullet"/>
      <w:lvlText w:val="•"/>
      <w:lvlJc w:val="left"/>
      <w:pPr>
        <w:ind w:left="2798" w:hanging="268"/>
      </w:pPr>
    </w:lvl>
    <w:lvl w:ilvl="5">
      <w:start w:val="1"/>
      <w:numFmt w:val="bullet"/>
      <w:lvlText w:val="•"/>
      <w:lvlJc w:val="left"/>
      <w:pPr>
        <w:ind w:left="3798" w:hanging="268"/>
      </w:pPr>
    </w:lvl>
    <w:lvl w:ilvl="6">
      <w:start w:val="1"/>
      <w:numFmt w:val="bullet"/>
      <w:lvlText w:val="•"/>
      <w:lvlJc w:val="left"/>
      <w:pPr>
        <w:ind w:left="4798" w:hanging="268"/>
      </w:pPr>
    </w:lvl>
    <w:lvl w:ilvl="7">
      <w:start w:val="1"/>
      <w:numFmt w:val="bullet"/>
      <w:lvlText w:val="•"/>
      <w:lvlJc w:val="left"/>
      <w:pPr>
        <w:ind w:left="5799" w:hanging="268"/>
      </w:pPr>
    </w:lvl>
    <w:lvl w:ilvl="8">
      <w:start w:val="1"/>
      <w:numFmt w:val="bullet"/>
      <w:lvlText w:val="•"/>
      <w:lvlJc w:val="left"/>
      <w:pPr>
        <w:ind w:left="6799" w:hanging="268"/>
      </w:pPr>
    </w:lvl>
  </w:abstractNum>
  <w:abstractNum w:abstractNumId="6" w15:restartNumberingAfterBreak="0">
    <w:nsid w:val="4B6A763F"/>
    <w:multiLevelType w:val="multilevel"/>
    <w:tmpl w:val="5806457A"/>
    <w:lvl w:ilvl="0">
      <w:start w:val="6"/>
      <w:numFmt w:val="decimal"/>
      <w:lvlText w:val="%1."/>
      <w:lvlJc w:val="left"/>
      <w:pPr>
        <w:ind w:left="534" w:hanging="401"/>
      </w:pPr>
      <w:rPr>
        <w:rFonts w:ascii="Cambria" w:eastAsia="Cambria" w:hAnsi="Cambria" w:cs="Cambria"/>
        <w:color w:val="231F20"/>
        <w:sz w:val="20"/>
        <w:szCs w:val="20"/>
      </w:rPr>
    </w:lvl>
    <w:lvl w:ilvl="1">
      <w:start w:val="1"/>
      <w:numFmt w:val="lowerLetter"/>
      <w:lvlText w:val="(%2)"/>
      <w:lvlJc w:val="left"/>
      <w:pPr>
        <w:ind w:left="797" w:hanging="268"/>
      </w:pPr>
      <w:rPr>
        <w:rFonts w:ascii="Cambria" w:eastAsia="Cambria" w:hAnsi="Cambria" w:cs="Cambria"/>
        <w:color w:val="231F20"/>
        <w:sz w:val="20"/>
        <w:szCs w:val="20"/>
        <w:u w:val="none"/>
      </w:rPr>
    </w:lvl>
    <w:lvl w:ilvl="2">
      <w:start w:val="1"/>
      <w:numFmt w:val="bullet"/>
      <w:lvlText w:val="•"/>
      <w:lvlJc w:val="left"/>
      <w:pPr>
        <w:ind w:left="797" w:hanging="268"/>
      </w:pPr>
    </w:lvl>
    <w:lvl w:ilvl="3">
      <w:start w:val="1"/>
      <w:numFmt w:val="bullet"/>
      <w:lvlText w:val="•"/>
      <w:lvlJc w:val="left"/>
      <w:pPr>
        <w:ind w:left="1797" w:hanging="268"/>
      </w:pPr>
    </w:lvl>
    <w:lvl w:ilvl="4">
      <w:start w:val="1"/>
      <w:numFmt w:val="bullet"/>
      <w:lvlText w:val="•"/>
      <w:lvlJc w:val="left"/>
      <w:pPr>
        <w:ind w:left="2798" w:hanging="268"/>
      </w:pPr>
    </w:lvl>
    <w:lvl w:ilvl="5">
      <w:start w:val="1"/>
      <w:numFmt w:val="bullet"/>
      <w:lvlText w:val="•"/>
      <w:lvlJc w:val="left"/>
      <w:pPr>
        <w:ind w:left="3798" w:hanging="268"/>
      </w:pPr>
    </w:lvl>
    <w:lvl w:ilvl="6">
      <w:start w:val="1"/>
      <w:numFmt w:val="bullet"/>
      <w:lvlText w:val="•"/>
      <w:lvlJc w:val="left"/>
      <w:pPr>
        <w:ind w:left="4798" w:hanging="268"/>
      </w:pPr>
    </w:lvl>
    <w:lvl w:ilvl="7">
      <w:start w:val="1"/>
      <w:numFmt w:val="bullet"/>
      <w:lvlText w:val="•"/>
      <w:lvlJc w:val="left"/>
      <w:pPr>
        <w:ind w:left="5799" w:hanging="268"/>
      </w:pPr>
    </w:lvl>
    <w:lvl w:ilvl="8">
      <w:start w:val="1"/>
      <w:numFmt w:val="bullet"/>
      <w:lvlText w:val="•"/>
      <w:lvlJc w:val="left"/>
      <w:pPr>
        <w:ind w:left="6799" w:hanging="268"/>
      </w:pPr>
    </w:lvl>
  </w:abstractNum>
  <w:abstractNum w:abstractNumId="7" w15:restartNumberingAfterBreak="0">
    <w:nsid w:val="527105D7"/>
    <w:multiLevelType w:val="multilevel"/>
    <w:tmpl w:val="78B651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7D740D0B"/>
    <w:multiLevelType w:val="hybridMultilevel"/>
    <w:tmpl w:val="0A3E6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5"/>
  </w:num>
  <w:num w:numId="4">
    <w:abstractNumId w:val="2"/>
  </w:num>
  <w:num w:numId="5">
    <w:abstractNumId w:val="6"/>
  </w:num>
  <w:num w:numId="6">
    <w:abstractNumId w:val="4"/>
  </w:num>
  <w:num w:numId="7">
    <w:abstractNumId w:val="8"/>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activeWritingStyle w:appName="MSWord" w:lang="fr-FR" w:vendorID="64" w:dllVersion="6" w:nlCheck="1" w:checkStyle="1"/>
  <w:activeWritingStyle w:appName="MSWord" w:lang="en-US" w:vendorID="64" w:dllVersion="6" w:nlCheck="1" w:checkStyle="0"/>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pt-PT" w:vendorID="64" w:dllVersion="0" w:nlCheck="1" w:checkStyle="0"/>
  <w:activeWritingStyle w:appName="MSWord" w:lang="fr-FR" w:vendorID="64" w:dllVersion="0" w:nlCheck="1" w:checkStyle="0"/>
  <w:activeWritingStyle w:appName="MSWord" w:lang="es-ES" w:vendorID="64" w:dllVersion="0" w:nlCheck="1" w:checkStyle="0"/>
  <w:proofState w:spelling="clean" w:grammar="clean"/>
  <w:doNotTrackFormatting/>
  <w:defaultTabStop w:val="720"/>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393E"/>
    <w:rsid w:val="00000F25"/>
    <w:rsid w:val="00004CA2"/>
    <w:rsid w:val="00007A07"/>
    <w:rsid w:val="00022E09"/>
    <w:rsid w:val="00023070"/>
    <w:rsid w:val="00025C38"/>
    <w:rsid w:val="00037CF8"/>
    <w:rsid w:val="00052040"/>
    <w:rsid w:val="00062436"/>
    <w:rsid w:val="00073D6B"/>
    <w:rsid w:val="000766B6"/>
    <w:rsid w:val="0007727C"/>
    <w:rsid w:val="00090B11"/>
    <w:rsid w:val="000956A7"/>
    <w:rsid w:val="00097232"/>
    <w:rsid w:val="000A0E0E"/>
    <w:rsid w:val="000B4B3D"/>
    <w:rsid w:val="000B68CD"/>
    <w:rsid w:val="000C0B0C"/>
    <w:rsid w:val="000C0C13"/>
    <w:rsid w:val="000C3E9C"/>
    <w:rsid w:val="000C5601"/>
    <w:rsid w:val="000D2C05"/>
    <w:rsid w:val="000D47CD"/>
    <w:rsid w:val="000E69F6"/>
    <w:rsid w:val="00105DD9"/>
    <w:rsid w:val="00110F65"/>
    <w:rsid w:val="00116CDC"/>
    <w:rsid w:val="0011731C"/>
    <w:rsid w:val="00117DA9"/>
    <w:rsid w:val="001238DA"/>
    <w:rsid w:val="00123D44"/>
    <w:rsid w:val="00125E46"/>
    <w:rsid w:val="00127123"/>
    <w:rsid w:val="001300E6"/>
    <w:rsid w:val="00130588"/>
    <w:rsid w:val="00133847"/>
    <w:rsid w:val="00143B7A"/>
    <w:rsid w:val="00146C4E"/>
    <w:rsid w:val="001553C0"/>
    <w:rsid w:val="0015588E"/>
    <w:rsid w:val="00176E9C"/>
    <w:rsid w:val="001776EA"/>
    <w:rsid w:val="0017775C"/>
    <w:rsid w:val="001824FC"/>
    <w:rsid w:val="001828E2"/>
    <w:rsid w:val="0018743A"/>
    <w:rsid w:val="00192528"/>
    <w:rsid w:val="001926D0"/>
    <w:rsid w:val="001927BB"/>
    <w:rsid w:val="00195A82"/>
    <w:rsid w:val="00197EDE"/>
    <w:rsid w:val="001A131D"/>
    <w:rsid w:val="001A1811"/>
    <w:rsid w:val="001A4F06"/>
    <w:rsid w:val="001A5BE8"/>
    <w:rsid w:val="001B0C54"/>
    <w:rsid w:val="001B2B74"/>
    <w:rsid w:val="001B6FD7"/>
    <w:rsid w:val="001C002F"/>
    <w:rsid w:val="001C543A"/>
    <w:rsid w:val="001C5EB5"/>
    <w:rsid w:val="001C7083"/>
    <w:rsid w:val="001E112D"/>
    <w:rsid w:val="001E2DE8"/>
    <w:rsid w:val="001E32BA"/>
    <w:rsid w:val="001E442F"/>
    <w:rsid w:val="001F1838"/>
    <w:rsid w:val="001F55EF"/>
    <w:rsid w:val="001F6294"/>
    <w:rsid w:val="00204196"/>
    <w:rsid w:val="0020512A"/>
    <w:rsid w:val="002052BF"/>
    <w:rsid w:val="00205A40"/>
    <w:rsid w:val="00210105"/>
    <w:rsid w:val="00214245"/>
    <w:rsid w:val="00215013"/>
    <w:rsid w:val="00215A0E"/>
    <w:rsid w:val="002201E2"/>
    <w:rsid w:val="0022275B"/>
    <w:rsid w:val="002260A3"/>
    <w:rsid w:val="00226183"/>
    <w:rsid w:val="0023244E"/>
    <w:rsid w:val="0023347A"/>
    <w:rsid w:val="00236003"/>
    <w:rsid w:val="00236579"/>
    <w:rsid w:val="00250B8E"/>
    <w:rsid w:val="00254DB7"/>
    <w:rsid w:val="002627B4"/>
    <w:rsid w:val="002663B4"/>
    <w:rsid w:val="00272A57"/>
    <w:rsid w:val="0027322B"/>
    <w:rsid w:val="00273686"/>
    <w:rsid w:val="002750DF"/>
    <w:rsid w:val="002776E4"/>
    <w:rsid w:val="00287B50"/>
    <w:rsid w:val="00290326"/>
    <w:rsid w:val="002911C0"/>
    <w:rsid w:val="002938C4"/>
    <w:rsid w:val="00293B3F"/>
    <w:rsid w:val="002A06B5"/>
    <w:rsid w:val="002B05EA"/>
    <w:rsid w:val="002B32F8"/>
    <w:rsid w:val="002D5FC2"/>
    <w:rsid w:val="002F0C2E"/>
    <w:rsid w:val="002F4E86"/>
    <w:rsid w:val="00301DF1"/>
    <w:rsid w:val="00305C08"/>
    <w:rsid w:val="003150FB"/>
    <w:rsid w:val="00325693"/>
    <w:rsid w:val="00331595"/>
    <w:rsid w:val="00335F99"/>
    <w:rsid w:val="00336C98"/>
    <w:rsid w:val="00340322"/>
    <w:rsid w:val="00342899"/>
    <w:rsid w:val="00343D37"/>
    <w:rsid w:val="00345142"/>
    <w:rsid w:val="00346244"/>
    <w:rsid w:val="0035314A"/>
    <w:rsid w:val="003548B7"/>
    <w:rsid w:val="00356B8C"/>
    <w:rsid w:val="00361747"/>
    <w:rsid w:val="00362586"/>
    <w:rsid w:val="003649C5"/>
    <w:rsid w:val="00370CE2"/>
    <w:rsid w:val="00375786"/>
    <w:rsid w:val="00384CFD"/>
    <w:rsid w:val="00387C6A"/>
    <w:rsid w:val="0039025E"/>
    <w:rsid w:val="003A14BA"/>
    <w:rsid w:val="003A3C22"/>
    <w:rsid w:val="003A7210"/>
    <w:rsid w:val="003B00A6"/>
    <w:rsid w:val="003B608B"/>
    <w:rsid w:val="003B614D"/>
    <w:rsid w:val="003C21A8"/>
    <w:rsid w:val="003C32D6"/>
    <w:rsid w:val="003D5A00"/>
    <w:rsid w:val="003E3B17"/>
    <w:rsid w:val="003F4E4F"/>
    <w:rsid w:val="00400064"/>
    <w:rsid w:val="0040016D"/>
    <w:rsid w:val="00402901"/>
    <w:rsid w:val="00404E7D"/>
    <w:rsid w:val="004130C3"/>
    <w:rsid w:val="004131AD"/>
    <w:rsid w:val="00414237"/>
    <w:rsid w:val="004205D0"/>
    <w:rsid w:val="004222CB"/>
    <w:rsid w:val="00430548"/>
    <w:rsid w:val="004315CC"/>
    <w:rsid w:val="0043255D"/>
    <w:rsid w:val="00441430"/>
    <w:rsid w:val="00443D70"/>
    <w:rsid w:val="00446FD4"/>
    <w:rsid w:val="00447331"/>
    <w:rsid w:val="00447855"/>
    <w:rsid w:val="004606FD"/>
    <w:rsid w:val="00462C3A"/>
    <w:rsid w:val="00463845"/>
    <w:rsid w:val="004651FD"/>
    <w:rsid w:val="00470FE1"/>
    <w:rsid w:val="00476BAC"/>
    <w:rsid w:val="004836E2"/>
    <w:rsid w:val="00484D30"/>
    <w:rsid w:val="0048530C"/>
    <w:rsid w:val="0049637E"/>
    <w:rsid w:val="004A39EA"/>
    <w:rsid w:val="004A53D2"/>
    <w:rsid w:val="004B2A8A"/>
    <w:rsid w:val="004B3F1C"/>
    <w:rsid w:val="004C0B61"/>
    <w:rsid w:val="004C4487"/>
    <w:rsid w:val="004C63E5"/>
    <w:rsid w:val="004D1EB9"/>
    <w:rsid w:val="004D7DFF"/>
    <w:rsid w:val="004E0524"/>
    <w:rsid w:val="004F13D3"/>
    <w:rsid w:val="004F1D08"/>
    <w:rsid w:val="004F63D0"/>
    <w:rsid w:val="00500BF5"/>
    <w:rsid w:val="005078CE"/>
    <w:rsid w:val="005156F8"/>
    <w:rsid w:val="00516F63"/>
    <w:rsid w:val="00520EF5"/>
    <w:rsid w:val="005222BF"/>
    <w:rsid w:val="00522C0A"/>
    <w:rsid w:val="0052602A"/>
    <w:rsid w:val="005263EC"/>
    <w:rsid w:val="0054128F"/>
    <w:rsid w:val="0056310C"/>
    <w:rsid w:val="0056447F"/>
    <w:rsid w:val="005656EE"/>
    <w:rsid w:val="00570FD1"/>
    <w:rsid w:val="0057648C"/>
    <w:rsid w:val="005802FB"/>
    <w:rsid w:val="005957AD"/>
    <w:rsid w:val="0059701B"/>
    <w:rsid w:val="005A08C7"/>
    <w:rsid w:val="005B0492"/>
    <w:rsid w:val="005B0928"/>
    <w:rsid w:val="005B17C4"/>
    <w:rsid w:val="005B1B01"/>
    <w:rsid w:val="005B2C2B"/>
    <w:rsid w:val="005B30A4"/>
    <w:rsid w:val="005B5DA0"/>
    <w:rsid w:val="005B5E1C"/>
    <w:rsid w:val="005C2105"/>
    <w:rsid w:val="005D2E8C"/>
    <w:rsid w:val="005D6953"/>
    <w:rsid w:val="005E13B4"/>
    <w:rsid w:val="005E15A8"/>
    <w:rsid w:val="005F0ECB"/>
    <w:rsid w:val="005F5E11"/>
    <w:rsid w:val="00600D7B"/>
    <w:rsid w:val="006010B4"/>
    <w:rsid w:val="00606AD2"/>
    <w:rsid w:val="00607E3F"/>
    <w:rsid w:val="00615A6E"/>
    <w:rsid w:val="00626FE1"/>
    <w:rsid w:val="00630D80"/>
    <w:rsid w:val="00634A5A"/>
    <w:rsid w:val="00641434"/>
    <w:rsid w:val="0064289C"/>
    <w:rsid w:val="00646B2A"/>
    <w:rsid w:val="00650C6C"/>
    <w:rsid w:val="00652853"/>
    <w:rsid w:val="006548CD"/>
    <w:rsid w:val="006569BE"/>
    <w:rsid w:val="0066532E"/>
    <w:rsid w:val="00666A80"/>
    <w:rsid w:val="00667F4E"/>
    <w:rsid w:val="00671C53"/>
    <w:rsid w:val="00682BEE"/>
    <w:rsid w:val="00684A60"/>
    <w:rsid w:val="006867AB"/>
    <w:rsid w:val="00695396"/>
    <w:rsid w:val="006A0473"/>
    <w:rsid w:val="006A058D"/>
    <w:rsid w:val="006A4261"/>
    <w:rsid w:val="006A5FBB"/>
    <w:rsid w:val="006A73B9"/>
    <w:rsid w:val="006B5E84"/>
    <w:rsid w:val="006B6C3F"/>
    <w:rsid w:val="006C4632"/>
    <w:rsid w:val="006C4D15"/>
    <w:rsid w:val="006C53CA"/>
    <w:rsid w:val="006C7D6F"/>
    <w:rsid w:val="006D11C8"/>
    <w:rsid w:val="006D3A7B"/>
    <w:rsid w:val="006D4A4D"/>
    <w:rsid w:val="006E0CAB"/>
    <w:rsid w:val="006E48F1"/>
    <w:rsid w:val="006E770B"/>
    <w:rsid w:val="006F3252"/>
    <w:rsid w:val="006F6D4F"/>
    <w:rsid w:val="00703BD4"/>
    <w:rsid w:val="00707460"/>
    <w:rsid w:val="00710B59"/>
    <w:rsid w:val="00711A05"/>
    <w:rsid w:val="00717A34"/>
    <w:rsid w:val="007305FC"/>
    <w:rsid w:val="00732F4B"/>
    <w:rsid w:val="0074163F"/>
    <w:rsid w:val="00746F9B"/>
    <w:rsid w:val="00747DF8"/>
    <w:rsid w:val="0075418D"/>
    <w:rsid w:val="00756CB9"/>
    <w:rsid w:val="0076445D"/>
    <w:rsid w:val="00766BA3"/>
    <w:rsid w:val="00772B46"/>
    <w:rsid w:val="00774D35"/>
    <w:rsid w:val="00774FF9"/>
    <w:rsid w:val="007756FA"/>
    <w:rsid w:val="00777D3C"/>
    <w:rsid w:val="0078644F"/>
    <w:rsid w:val="00791DB3"/>
    <w:rsid w:val="00792E36"/>
    <w:rsid w:val="00793923"/>
    <w:rsid w:val="007951CE"/>
    <w:rsid w:val="007A0C04"/>
    <w:rsid w:val="007A1692"/>
    <w:rsid w:val="007B5DAA"/>
    <w:rsid w:val="007B7DE9"/>
    <w:rsid w:val="007C0C83"/>
    <w:rsid w:val="007C0CAB"/>
    <w:rsid w:val="007D6CD1"/>
    <w:rsid w:val="007D6EC7"/>
    <w:rsid w:val="007F14A1"/>
    <w:rsid w:val="007F1E30"/>
    <w:rsid w:val="007F67DC"/>
    <w:rsid w:val="007F69EA"/>
    <w:rsid w:val="007F6D45"/>
    <w:rsid w:val="0080043F"/>
    <w:rsid w:val="0080232F"/>
    <w:rsid w:val="00803DAA"/>
    <w:rsid w:val="00811874"/>
    <w:rsid w:val="0081190D"/>
    <w:rsid w:val="00812199"/>
    <w:rsid w:val="00812AE8"/>
    <w:rsid w:val="00814089"/>
    <w:rsid w:val="00815553"/>
    <w:rsid w:val="00816060"/>
    <w:rsid w:val="00817F52"/>
    <w:rsid w:val="00830261"/>
    <w:rsid w:val="00830C04"/>
    <w:rsid w:val="008347AE"/>
    <w:rsid w:val="00840A30"/>
    <w:rsid w:val="0084458E"/>
    <w:rsid w:val="00844DAB"/>
    <w:rsid w:val="0085201C"/>
    <w:rsid w:val="00852F92"/>
    <w:rsid w:val="00852FC0"/>
    <w:rsid w:val="00860AE4"/>
    <w:rsid w:val="0086206B"/>
    <w:rsid w:val="00862819"/>
    <w:rsid w:val="00862BD1"/>
    <w:rsid w:val="008772C6"/>
    <w:rsid w:val="0088018C"/>
    <w:rsid w:val="008821BA"/>
    <w:rsid w:val="0088421A"/>
    <w:rsid w:val="00887C3C"/>
    <w:rsid w:val="00892C0F"/>
    <w:rsid w:val="008A06D9"/>
    <w:rsid w:val="008A24BA"/>
    <w:rsid w:val="008A48A6"/>
    <w:rsid w:val="008B1755"/>
    <w:rsid w:val="008B2FD5"/>
    <w:rsid w:val="008B5CB0"/>
    <w:rsid w:val="008C65FB"/>
    <w:rsid w:val="008D1181"/>
    <w:rsid w:val="008D75C2"/>
    <w:rsid w:val="008E4FCB"/>
    <w:rsid w:val="008E6F9E"/>
    <w:rsid w:val="008E7E81"/>
    <w:rsid w:val="008F5976"/>
    <w:rsid w:val="008F6423"/>
    <w:rsid w:val="00905F32"/>
    <w:rsid w:val="0090637C"/>
    <w:rsid w:val="009171E1"/>
    <w:rsid w:val="009204D1"/>
    <w:rsid w:val="00927CDF"/>
    <w:rsid w:val="00936592"/>
    <w:rsid w:val="00944F07"/>
    <w:rsid w:val="00945462"/>
    <w:rsid w:val="0095508A"/>
    <w:rsid w:val="00962BC5"/>
    <w:rsid w:val="00973CAE"/>
    <w:rsid w:val="00977C4F"/>
    <w:rsid w:val="009823C0"/>
    <w:rsid w:val="009828AA"/>
    <w:rsid w:val="00987BF2"/>
    <w:rsid w:val="009A10FE"/>
    <w:rsid w:val="009A4A38"/>
    <w:rsid w:val="009A4F67"/>
    <w:rsid w:val="009A5D13"/>
    <w:rsid w:val="009B3E68"/>
    <w:rsid w:val="009C2BBA"/>
    <w:rsid w:val="009D006C"/>
    <w:rsid w:val="009E003F"/>
    <w:rsid w:val="009E6715"/>
    <w:rsid w:val="009F0C95"/>
    <w:rsid w:val="00A03687"/>
    <w:rsid w:val="00A11963"/>
    <w:rsid w:val="00A17EAA"/>
    <w:rsid w:val="00A2174E"/>
    <w:rsid w:val="00A247B8"/>
    <w:rsid w:val="00A34BFC"/>
    <w:rsid w:val="00A413CE"/>
    <w:rsid w:val="00A42AD9"/>
    <w:rsid w:val="00A45AD1"/>
    <w:rsid w:val="00A53A4C"/>
    <w:rsid w:val="00A56B66"/>
    <w:rsid w:val="00A617C7"/>
    <w:rsid w:val="00A64697"/>
    <w:rsid w:val="00A666D2"/>
    <w:rsid w:val="00A70654"/>
    <w:rsid w:val="00A706B0"/>
    <w:rsid w:val="00A7187A"/>
    <w:rsid w:val="00A73AD2"/>
    <w:rsid w:val="00A753B5"/>
    <w:rsid w:val="00A83A35"/>
    <w:rsid w:val="00A872FC"/>
    <w:rsid w:val="00A94500"/>
    <w:rsid w:val="00A94EB1"/>
    <w:rsid w:val="00AA1176"/>
    <w:rsid w:val="00AA13CC"/>
    <w:rsid w:val="00AA538B"/>
    <w:rsid w:val="00AD0505"/>
    <w:rsid w:val="00AD4393"/>
    <w:rsid w:val="00AD5269"/>
    <w:rsid w:val="00AD6AA0"/>
    <w:rsid w:val="00AE27FE"/>
    <w:rsid w:val="00AE4BBA"/>
    <w:rsid w:val="00AE73E9"/>
    <w:rsid w:val="00AF1349"/>
    <w:rsid w:val="00B147F4"/>
    <w:rsid w:val="00B15C6D"/>
    <w:rsid w:val="00B2089A"/>
    <w:rsid w:val="00B34C75"/>
    <w:rsid w:val="00B4161C"/>
    <w:rsid w:val="00B467FD"/>
    <w:rsid w:val="00B473C5"/>
    <w:rsid w:val="00B52AFA"/>
    <w:rsid w:val="00B53206"/>
    <w:rsid w:val="00B54559"/>
    <w:rsid w:val="00B5528D"/>
    <w:rsid w:val="00B60C1B"/>
    <w:rsid w:val="00B61037"/>
    <w:rsid w:val="00B64204"/>
    <w:rsid w:val="00B65A2B"/>
    <w:rsid w:val="00B668CA"/>
    <w:rsid w:val="00B77822"/>
    <w:rsid w:val="00B80238"/>
    <w:rsid w:val="00B8238A"/>
    <w:rsid w:val="00B878C6"/>
    <w:rsid w:val="00B967CF"/>
    <w:rsid w:val="00BA04F8"/>
    <w:rsid w:val="00BA423A"/>
    <w:rsid w:val="00BB01F4"/>
    <w:rsid w:val="00BB1E47"/>
    <w:rsid w:val="00BB4C2C"/>
    <w:rsid w:val="00BB4D58"/>
    <w:rsid w:val="00BB623B"/>
    <w:rsid w:val="00BB7692"/>
    <w:rsid w:val="00BF759E"/>
    <w:rsid w:val="00C01DC5"/>
    <w:rsid w:val="00C0201D"/>
    <w:rsid w:val="00C05287"/>
    <w:rsid w:val="00C0744E"/>
    <w:rsid w:val="00C14F97"/>
    <w:rsid w:val="00C15FCB"/>
    <w:rsid w:val="00C349B5"/>
    <w:rsid w:val="00C3737F"/>
    <w:rsid w:val="00C46806"/>
    <w:rsid w:val="00C478A4"/>
    <w:rsid w:val="00C50234"/>
    <w:rsid w:val="00C522FE"/>
    <w:rsid w:val="00C561E9"/>
    <w:rsid w:val="00C62650"/>
    <w:rsid w:val="00C63FC8"/>
    <w:rsid w:val="00C74540"/>
    <w:rsid w:val="00C76786"/>
    <w:rsid w:val="00C82251"/>
    <w:rsid w:val="00C84281"/>
    <w:rsid w:val="00C8676B"/>
    <w:rsid w:val="00C87C0F"/>
    <w:rsid w:val="00C926BE"/>
    <w:rsid w:val="00C93A2D"/>
    <w:rsid w:val="00CB58E0"/>
    <w:rsid w:val="00CC2126"/>
    <w:rsid w:val="00CC31B4"/>
    <w:rsid w:val="00CC7F93"/>
    <w:rsid w:val="00CD002A"/>
    <w:rsid w:val="00CD1ED5"/>
    <w:rsid w:val="00CD7576"/>
    <w:rsid w:val="00D00A2B"/>
    <w:rsid w:val="00D0534F"/>
    <w:rsid w:val="00D06B63"/>
    <w:rsid w:val="00D106E3"/>
    <w:rsid w:val="00D244CC"/>
    <w:rsid w:val="00D3197B"/>
    <w:rsid w:val="00D40AEE"/>
    <w:rsid w:val="00D53788"/>
    <w:rsid w:val="00D53F1A"/>
    <w:rsid w:val="00D7407D"/>
    <w:rsid w:val="00DA03AA"/>
    <w:rsid w:val="00DA1C2A"/>
    <w:rsid w:val="00DA6040"/>
    <w:rsid w:val="00DB34DF"/>
    <w:rsid w:val="00DB393E"/>
    <w:rsid w:val="00DD0005"/>
    <w:rsid w:val="00DD0F0C"/>
    <w:rsid w:val="00DD10F8"/>
    <w:rsid w:val="00DD4B15"/>
    <w:rsid w:val="00DD7E88"/>
    <w:rsid w:val="00DE39F1"/>
    <w:rsid w:val="00DE4B89"/>
    <w:rsid w:val="00DE71F7"/>
    <w:rsid w:val="00DF2E55"/>
    <w:rsid w:val="00DF6306"/>
    <w:rsid w:val="00E0308D"/>
    <w:rsid w:val="00E0683C"/>
    <w:rsid w:val="00E07229"/>
    <w:rsid w:val="00E11EE7"/>
    <w:rsid w:val="00E13484"/>
    <w:rsid w:val="00E16305"/>
    <w:rsid w:val="00E16A8D"/>
    <w:rsid w:val="00E24982"/>
    <w:rsid w:val="00E34C9D"/>
    <w:rsid w:val="00E3708A"/>
    <w:rsid w:val="00E44111"/>
    <w:rsid w:val="00E44BAF"/>
    <w:rsid w:val="00E51B4B"/>
    <w:rsid w:val="00E55178"/>
    <w:rsid w:val="00E56A79"/>
    <w:rsid w:val="00E57B32"/>
    <w:rsid w:val="00E6278F"/>
    <w:rsid w:val="00E62E97"/>
    <w:rsid w:val="00E65565"/>
    <w:rsid w:val="00E659DF"/>
    <w:rsid w:val="00E738B9"/>
    <w:rsid w:val="00E806CC"/>
    <w:rsid w:val="00E81024"/>
    <w:rsid w:val="00E93206"/>
    <w:rsid w:val="00E96D86"/>
    <w:rsid w:val="00EA0F7E"/>
    <w:rsid w:val="00EA17C3"/>
    <w:rsid w:val="00EA60A3"/>
    <w:rsid w:val="00EB3767"/>
    <w:rsid w:val="00EB5391"/>
    <w:rsid w:val="00EC692F"/>
    <w:rsid w:val="00ED05BB"/>
    <w:rsid w:val="00ED23F8"/>
    <w:rsid w:val="00ED42ED"/>
    <w:rsid w:val="00EE1B18"/>
    <w:rsid w:val="00EE1CA9"/>
    <w:rsid w:val="00EE61B3"/>
    <w:rsid w:val="00EF00F7"/>
    <w:rsid w:val="00EF3F2D"/>
    <w:rsid w:val="00EF5103"/>
    <w:rsid w:val="00EF6E40"/>
    <w:rsid w:val="00F01BC8"/>
    <w:rsid w:val="00F022C6"/>
    <w:rsid w:val="00F0261C"/>
    <w:rsid w:val="00F03BD1"/>
    <w:rsid w:val="00F077F7"/>
    <w:rsid w:val="00F10688"/>
    <w:rsid w:val="00F115F0"/>
    <w:rsid w:val="00F11DAF"/>
    <w:rsid w:val="00F13679"/>
    <w:rsid w:val="00F14B53"/>
    <w:rsid w:val="00F24846"/>
    <w:rsid w:val="00F25D85"/>
    <w:rsid w:val="00F25EA6"/>
    <w:rsid w:val="00F26F13"/>
    <w:rsid w:val="00F30E60"/>
    <w:rsid w:val="00F351D0"/>
    <w:rsid w:val="00F4137F"/>
    <w:rsid w:val="00F44BE0"/>
    <w:rsid w:val="00F45160"/>
    <w:rsid w:val="00F51A0D"/>
    <w:rsid w:val="00F5223E"/>
    <w:rsid w:val="00F525D4"/>
    <w:rsid w:val="00F53782"/>
    <w:rsid w:val="00F54643"/>
    <w:rsid w:val="00F668C6"/>
    <w:rsid w:val="00F66E6D"/>
    <w:rsid w:val="00F70FD3"/>
    <w:rsid w:val="00F7479A"/>
    <w:rsid w:val="00F8057A"/>
    <w:rsid w:val="00F817F7"/>
    <w:rsid w:val="00F8365F"/>
    <w:rsid w:val="00F84214"/>
    <w:rsid w:val="00F842C3"/>
    <w:rsid w:val="00F85E14"/>
    <w:rsid w:val="00F947A4"/>
    <w:rsid w:val="00F96313"/>
    <w:rsid w:val="00FA0248"/>
    <w:rsid w:val="00FA53B1"/>
    <w:rsid w:val="00FB6830"/>
    <w:rsid w:val="00FD223A"/>
    <w:rsid w:val="00FD22AB"/>
    <w:rsid w:val="00FD3306"/>
    <w:rsid w:val="00FD7874"/>
    <w:rsid w:val="00FE0319"/>
    <w:rsid w:val="00FE03DC"/>
    <w:rsid w:val="00FE146A"/>
    <w:rsid w:val="00FE3769"/>
    <w:rsid w:val="00FE3BD3"/>
    <w:rsid w:val="00FF285A"/>
    <w:rsid w:val="00FF3F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1EDB4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Calibri"/>
        <w:color w:val="000000"/>
        <w:sz w:val="22"/>
        <w:szCs w:val="22"/>
        <w:lang w:val="fr-FR" w:eastAsia="en-US" w:bidi="ar-SA"/>
      </w:rPr>
    </w:rPrDefault>
    <w:pPrDefault>
      <w:pPr>
        <w:widowControl w:val="0"/>
        <w:pBdr>
          <w:top w:val="nil"/>
          <w:left w:val="nil"/>
          <w:bottom w:val="nil"/>
          <w:right w:val="nil"/>
          <w:between w:val="nil"/>
        </w:pBdr>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next w:val="Normal"/>
    <w:uiPriority w:val="1"/>
    <w:qFormat/>
    <w:rsid w:val="00766BA3"/>
    <w:pPr>
      <w:ind w:left="133"/>
      <w:outlineLvl w:val="0"/>
    </w:pPr>
    <w:rPr>
      <w:rFonts w:ascii="Times New Roman" w:eastAsia="Times New Roman" w:hAnsi="Times New Roman" w:cs="Times New Roman"/>
      <w:b/>
      <w:i/>
      <w:sz w:val="19"/>
      <w:szCs w:val="19"/>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paragraph" w:styleId="ListParagraph">
    <w:name w:val="List Paragraph"/>
    <w:basedOn w:val="Normal"/>
    <w:uiPriority w:val="1"/>
    <w:qFormat/>
    <w:rsid w:val="00766BA3"/>
    <w:pPr>
      <w:ind w:left="720"/>
      <w:contextualSpacing/>
    </w:pPr>
  </w:style>
  <w:style w:type="paragraph" w:styleId="BodyText">
    <w:name w:val="Body Text"/>
    <w:basedOn w:val="Normal"/>
    <w:link w:val="BodyTextChar"/>
    <w:uiPriority w:val="1"/>
    <w:qFormat/>
    <w:rsid w:val="00766BA3"/>
    <w:pPr>
      <w:pBdr>
        <w:top w:val="none" w:sz="0" w:space="0" w:color="auto"/>
        <w:left w:val="none" w:sz="0" w:space="0" w:color="auto"/>
        <w:bottom w:val="none" w:sz="0" w:space="0" w:color="auto"/>
        <w:right w:val="none" w:sz="0" w:space="0" w:color="auto"/>
        <w:between w:val="none" w:sz="0" w:space="0" w:color="auto"/>
      </w:pBdr>
      <w:ind w:left="528" w:hanging="395"/>
    </w:pPr>
    <w:rPr>
      <w:rFonts w:ascii="Times New Roman" w:eastAsia="Times New Roman" w:hAnsi="Times New Roman" w:cstheme="minorBidi"/>
      <w:color w:val="auto"/>
      <w:sz w:val="19"/>
      <w:szCs w:val="19"/>
    </w:rPr>
  </w:style>
  <w:style w:type="character" w:customStyle="1" w:styleId="BodyTextChar">
    <w:name w:val="Body Text Char"/>
    <w:basedOn w:val="DefaultParagraphFont"/>
    <w:link w:val="BodyText"/>
    <w:uiPriority w:val="1"/>
    <w:rsid w:val="00766BA3"/>
    <w:rPr>
      <w:rFonts w:ascii="Times New Roman" w:eastAsia="Times New Roman" w:hAnsi="Times New Roman" w:cstheme="minorBidi"/>
      <w:color w:val="auto"/>
      <w:sz w:val="19"/>
      <w:szCs w:val="19"/>
    </w:rPr>
  </w:style>
  <w:style w:type="paragraph" w:customStyle="1" w:styleId="TableParagraph">
    <w:name w:val="Table Paragraph"/>
    <w:basedOn w:val="Normal"/>
    <w:uiPriority w:val="1"/>
    <w:qFormat/>
    <w:rsid w:val="00766BA3"/>
    <w:pPr>
      <w:pBdr>
        <w:top w:val="none" w:sz="0" w:space="0" w:color="auto"/>
        <w:left w:val="none" w:sz="0" w:space="0" w:color="auto"/>
        <w:bottom w:val="none" w:sz="0" w:space="0" w:color="auto"/>
        <w:right w:val="none" w:sz="0" w:space="0" w:color="auto"/>
        <w:between w:val="none" w:sz="0" w:space="0" w:color="auto"/>
      </w:pBdr>
    </w:pPr>
    <w:rPr>
      <w:rFonts w:asciiTheme="minorHAnsi" w:eastAsiaTheme="minorHAnsi" w:hAnsiTheme="minorHAnsi" w:cstheme="minorBidi"/>
      <w:color w:val="auto"/>
    </w:rPr>
  </w:style>
  <w:style w:type="character" w:styleId="CommentReference">
    <w:name w:val="annotation reference"/>
    <w:basedOn w:val="DefaultParagraphFont"/>
    <w:uiPriority w:val="99"/>
    <w:semiHidden/>
    <w:unhideWhenUsed/>
    <w:rsid w:val="00766BA3"/>
    <w:rPr>
      <w:sz w:val="16"/>
      <w:szCs w:val="16"/>
    </w:rPr>
  </w:style>
  <w:style w:type="paragraph" w:styleId="CommentText">
    <w:name w:val="annotation text"/>
    <w:basedOn w:val="Normal"/>
    <w:link w:val="CommentTextChar"/>
    <w:uiPriority w:val="99"/>
    <w:unhideWhenUsed/>
    <w:rsid w:val="00766BA3"/>
    <w:pPr>
      <w:pBdr>
        <w:top w:val="none" w:sz="0" w:space="0" w:color="auto"/>
        <w:left w:val="none" w:sz="0" w:space="0" w:color="auto"/>
        <w:bottom w:val="none" w:sz="0" w:space="0" w:color="auto"/>
        <w:right w:val="none" w:sz="0" w:space="0" w:color="auto"/>
        <w:between w:val="none" w:sz="0" w:space="0" w:color="auto"/>
      </w:pBdr>
    </w:pPr>
    <w:rPr>
      <w:rFonts w:asciiTheme="minorHAnsi" w:eastAsiaTheme="minorHAnsi" w:hAnsiTheme="minorHAnsi" w:cstheme="minorBidi"/>
      <w:color w:val="auto"/>
      <w:sz w:val="20"/>
      <w:szCs w:val="20"/>
    </w:rPr>
  </w:style>
  <w:style w:type="character" w:customStyle="1" w:styleId="CommentTextChar">
    <w:name w:val="Comment Text Char"/>
    <w:basedOn w:val="DefaultParagraphFont"/>
    <w:link w:val="CommentText"/>
    <w:uiPriority w:val="99"/>
    <w:rsid w:val="00766BA3"/>
    <w:rPr>
      <w:rFonts w:asciiTheme="minorHAnsi" w:eastAsiaTheme="minorHAnsi" w:hAnsiTheme="minorHAnsi" w:cstheme="minorBidi"/>
      <w:color w:val="auto"/>
      <w:sz w:val="20"/>
      <w:szCs w:val="20"/>
    </w:rPr>
  </w:style>
  <w:style w:type="paragraph" w:styleId="CommentSubject">
    <w:name w:val="annotation subject"/>
    <w:basedOn w:val="CommentText"/>
    <w:next w:val="CommentText"/>
    <w:link w:val="CommentSubjectChar"/>
    <w:uiPriority w:val="99"/>
    <w:semiHidden/>
    <w:unhideWhenUsed/>
    <w:rsid w:val="00766BA3"/>
    <w:rPr>
      <w:b/>
      <w:bCs/>
    </w:rPr>
  </w:style>
  <w:style w:type="character" w:customStyle="1" w:styleId="CommentSubjectChar">
    <w:name w:val="Comment Subject Char"/>
    <w:basedOn w:val="CommentTextChar"/>
    <w:link w:val="CommentSubject"/>
    <w:uiPriority w:val="99"/>
    <w:semiHidden/>
    <w:rsid w:val="00766BA3"/>
    <w:rPr>
      <w:rFonts w:asciiTheme="minorHAnsi" w:eastAsiaTheme="minorHAnsi" w:hAnsiTheme="minorHAnsi" w:cstheme="minorBidi"/>
      <w:b/>
      <w:bCs/>
      <w:color w:val="auto"/>
      <w:sz w:val="20"/>
      <w:szCs w:val="20"/>
    </w:rPr>
  </w:style>
  <w:style w:type="paragraph" w:styleId="BalloonText">
    <w:name w:val="Balloon Text"/>
    <w:basedOn w:val="Normal"/>
    <w:link w:val="BalloonTextChar"/>
    <w:uiPriority w:val="99"/>
    <w:semiHidden/>
    <w:unhideWhenUsed/>
    <w:rsid w:val="00766BA3"/>
    <w:pPr>
      <w:pBdr>
        <w:top w:val="none" w:sz="0" w:space="0" w:color="auto"/>
        <w:left w:val="none" w:sz="0" w:space="0" w:color="auto"/>
        <w:bottom w:val="none" w:sz="0" w:space="0" w:color="auto"/>
        <w:right w:val="none" w:sz="0" w:space="0" w:color="auto"/>
        <w:between w:val="none" w:sz="0" w:space="0" w:color="auto"/>
      </w:pBdr>
    </w:pPr>
    <w:rPr>
      <w:rFonts w:ascii="Tahoma" w:eastAsiaTheme="minorHAnsi" w:hAnsi="Tahoma" w:cs="Tahoma"/>
      <w:color w:val="auto"/>
      <w:sz w:val="16"/>
      <w:szCs w:val="16"/>
    </w:rPr>
  </w:style>
  <w:style w:type="character" w:customStyle="1" w:styleId="BalloonTextChar">
    <w:name w:val="Balloon Text Char"/>
    <w:basedOn w:val="DefaultParagraphFont"/>
    <w:link w:val="BalloonText"/>
    <w:uiPriority w:val="99"/>
    <w:semiHidden/>
    <w:rsid w:val="00766BA3"/>
    <w:rPr>
      <w:rFonts w:ascii="Tahoma" w:eastAsiaTheme="minorHAnsi" w:hAnsi="Tahoma" w:cs="Tahoma"/>
      <w:color w:val="auto"/>
      <w:sz w:val="16"/>
      <w:szCs w:val="16"/>
    </w:rPr>
  </w:style>
  <w:style w:type="character" w:customStyle="1" w:styleId="apple-converted-space">
    <w:name w:val="apple-converted-space"/>
    <w:basedOn w:val="DefaultParagraphFont"/>
    <w:rsid w:val="00766BA3"/>
  </w:style>
  <w:style w:type="paragraph" w:styleId="Revision">
    <w:name w:val="Revision"/>
    <w:hidden/>
    <w:uiPriority w:val="99"/>
    <w:semiHidden/>
    <w:rsid w:val="00766BA3"/>
    <w:pPr>
      <w:widowControl/>
      <w:pBdr>
        <w:top w:val="none" w:sz="0" w:space="0" w:color="auto"/>
        <w:left w:val="none" w:sz="0" w:space="0" w:color="auto"/>
        <w:bottom w:val="none" w:sz="0" w:space="0" w:color="auto"/>
        <w:right w:val="none" w:sz="0" w:space="0" w:color="auto"/>
        <w:between w:val="none" w:sz="0" w:space="0" w:color="auto"/>
      </w:pBdr>
    </w:pPr>
    <w:rPr>
      <w:rFonts w:asciiTheme="minorHAnsi" w:eastAsiaTheme="minorHAnsi" w:hAnsiTheme="minorHAnsi" w:cstheme="minorBidi"/>
      <w:color w:val="auto"/>
    </w:rPr>
  </w:style>
  <w:style w:type="paragraph" w:styleId="Header">
    <w:name w:val="header"/>
    <w:basedOn w:val="Normal"/>
    <w:link w:val="HeaderChar"/>
    <w:uiPriority w:val="99"/>
    <w:unhideWhenUsed/>
    <w:rsid w:val="00766BA3"/>
    <w:pPr>
      <w:pBdr>
        <w:top w:val="none" w:sz="0" w:space="0" w:color="auto"/>
        <w:left w:val="none" w:sz="0" w:space="0" w:color="auto"/>
        <w:bottom w:val="none" w:sz="0" w:space="0" w:color="auto"/>
        <w:right w:val="none" w:sz="0" w:space="0" w:color="auto"/>
        <w:between w:val="none" w:sz="0" w:space="0" w:color="auto"/>
      </w:pBdr>
      <w:tabs>
        <w:tab w:val="center" w:pos="4680"/>
        <w:tab w:val="right" w:pos="9360"/>
      </w:tabs>
    </w:pPr>
    <w:rPr>
      <w:rFonts w:asciiTheme="minorHAnsi" w:eastAsiaTheme="minorHAnsi" w:hAnsiTheme="minorHAnsi" w:cstheme="minorBidi"/>
      <w:color w:val="auto"/>
    </w:rPr>
  </w:style>
  <w:style w:type="character" w:customStyle="1" w:styleId="HeaderChar">
    <w:name w:val="Header Char"/>
    <w:basedOn w:val="DefaultParagraphFont"/>
    <w:link w:val="Header"/>
    <w:uiPriority w:val="99"/>
    <w:rsid w:val="00766BA3"/>
    <w:rPr>
      <w:rFonts w:asciiTheme="minorHAnsi" w:eastAsiaTheme="minorHAnsi" w:hAnsiTheme="minorHAnsi" w:cstheme="minorBidi"/>
      <w:color w:val="auto"/>
    </w:rPr>
  </w:style>
  <w:style w:type="paragraph" w:styleId="Footer">
    <w:name w:val="footer"/>
    <w:basedOn w:val="Normal"/>
    <w:link w:val="FooterChar"/>
    <w:uiPriority w:val="99"/>
    <w:unhideWhenUsed/>
    <w:rsid w:val="00766BA3"/>
    <w:pPr>
      <w:pBdr>
        <w:top w:val="none" w:sz="0" w:space="0" w:color="auto"/>
        <w:left w:val="none" w:sz="0" w:space="0" w:color="auto"/>
        <w:bottom w:val="none" w:sz="0" w:space="0" w:color="auto"/>
        <w:right w:val="none" w:sz="0" w:space="0" w:color="auto"/>
        <w:between w:val="none" w:sz="0" w:space="0" w:color="auto"/>
      </w:pBdr>
      <w:tabs>
        <w:tab w:val="center" w:pos="4680"/>
        <w:tab w:val="right" w:pos="9360"/>
      </w:tabs>
    </w:pPr>
    <w:rPr>
      <w:rFonts w:asciiTheme="minorHAnsi" w:eastAsiaTheme="minorHAnsi" w:hAnsiTheme="minorHAnsi" w:cstheme="minorBidi"/>
      <w:color w:val="auto"/>
    </w:rPr>
  </w:style>
  <w:style w:type="character" w:customStyle="1" w:styleId="FooterChar">
    <w:name w:val="Footer Char"/>
    <w:basedOn w:val="DefaultParagraphFont"/>
    <w:link w:val="Footer"/>
    <w:uiPriority w:val="99"/>
    <w:rsid w:val="00766BA3"/>
    <w:rPr>
      <w:rFonts w:asciiTheme="minorHAnsi" w:eastAsiaTheme="minorHAnsi" w:hAnsiTheme="minorHAnsi" w:cstheme="minorBidi"/>
      <w:color w:val="auto"/>
    </w:rPr>
  </w:style>
  <w:style w:type="character" w:styleId="Hyperlink">
    <w:name w:val="Hyperlink"/>
    <w:basedOn w:val="DefaultParagraphFont"/>
    <w:uiPriority w:val="99"/>
    <w:semiHidden/>
    <w:unhideWhenUsed/>
    <w:rsid w:val="000D47CD"/>
    <w:rPr>
      <w:color w:val="0000FF"/>
      <w:u w:val="single"/>
    </w:rPr>
  </w:style>
  <w:style w:type="paragraph" w:customStyle="1" w:styleId="Default">
    <w:name w:val="Default"/>
    <w:rsid w:val="00143B7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pPr>
    <w:rPr>
      <w:rFonts w:ascii="Cambria" w:hAnsi="Cambria" w:cs="Cambria"/>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817340">
      <w:bodyDiv w:val="1"/>
      <w:marLeft w:val="0"/>
      <w:marRight w:val="0"/>
      <w:marTop w:val="0"/>
      <w:marBottom w:val="0"/>
      <w:divBdr>
        <w:top w:val="none" w:sz="0" w:space="0" w:color="auto"/>
        <w:left w:val="none" w:sz="0" w:space="0" w:color="auto"/>
        <w:bottom w:val="none" w:sz="0" w:space="0" w:color="auto"/>
        <w:right w:val="none" w:sz="0" w:space="0" w:color="auto"/>
      </w:divBdr>
      <w:divsChild>
        <w:div w:id="429089812">
          <w:marLeft w:val="0"/>
          <w:marRight w:val="0"/>
          <w:marTop w:val="0"/>
          <w:marBottom w:val="0"/>
          <w:divBdr>
            <w:top w:val="none" w:sz="0" w:space="0" w:color="auto"/>
            <w:left w:val="none" w:sz="0" w:space="0" w:color="auto"/>
            <w:bottom w:val="none" w:sz="0" w:space="0" w:color="auto"/>
            <w:right w:val="none" w:sz="0" w:space="0" w:color="auto"/>
          </w:divBdr>
        </w:div>
        <w:div w:id="664281367">
          <w:marLeft w:val="0"/>
          <w:marRight w:val="0"/>
          <w:marTop w:val="0"/>
          <w:marBottom w:val="0"/>
          <w:divBdr>
            <w:top w:val="none" w:sz="0" w:space="0" w:color="auto"/>
            <w:left w:val="none" w:sz="0" w:space="0" w:color="auto"/>
            <w:bottom w:val="none" w:sz="0" w:space="0" w:color="auto"/>
            <w:right w:val="none" w:sz="0" w:space="0" w:color="auto"/>
          </w:divBdr>
        </w:div>
        <w:div w:id="1869952228">
          <w:marLeft w:val="0"/>
          <w:marRight w:val="0"/>
          <w:marTop w:val="0"/>
          <w:marBottom w:val="0"/>
          <w:divBdr>
            <w:top w:val="none" w:sz="0" w:space="0" w:color="auto"/>
            <w:left w:val="none" w:sz="0" w:space="0" w:color="auto"/>
            <w:bottom w:val="none" w:sz="0" w:space="0" w:color="auto"/>
            <w:right w:val="none" w:sz="0" w:space="0" w:color="auto"/>
          </w:divBdr>
        </w:div>
      </w:divsChild>
    </w:div>
    <w:div w:id="1796753420">
      <w:bodyDiv w:val="1"/>
      <w:marLeft w:val="0"/>
      <w:marRight w:val="0"/>
      <w:marTop w:val="0"/>
      <w:marBottom w:val="0"/>
      <w:divBdr>
        <w:top w:val="none" w:sz="0" w:space="0" w:color="auto"/>
        <w:left w:val="none" w:sz="0" w:space="0" w:color="auto"/>
        <w:bottom w:val="none" w:sz="0" w:space="0" w:color="auto"/>
        <w:right w:val="none" w:sz="0" w:space="0" w:color="auto"/>
      </w:divBdr>
      <w:divsChild>
        <w:div w:id="487597203">
          <w:blockQuote w:val="1"/>
          <w:marLeft w:val="600"/>
          <w:marRight w:val="0"/>
          <w:marTop w:val="0"/>
          <w:marBottom w:val="0"/>
          <w:divBdr>
            <w:top w:val="none" w:sz="0" w:space="0" w:color="auto"/>
            <w:left w:val="none" w:sz="0" w:space="0" w:color="auto"/>
            <w:bottom w:val="none" w:sz="0" w:space="0" w:color="auto"/>
            <w:right w:val="none" w:sz="0" w:space="0" w:color="auto"/>
          </w:divBdr>
          <w:divsChild>
            <w:div w:id="1126197967">
              <w:marLeft w:val="0"/>
              <w:marRight w:val="0"/>
              <w:marTop w:val="0"/>
              <w:marBottom w:val="0"/>
              <w:divBdr>
                <w:top w:val="none" w:sz="0" w:space="0" w:color="auto"/>
                <w:left w:val="none" w:sz="0" w:space="0" w:color="auto"/>
                <w:bottom w:val="none" w:sz="0" w:space="0" w:color="auto"/>
                <w:right w:val="none" w:sz="0" w:space="0" w:color="auto"/>
              </w:divBdr>
              <w:divsChild>
                <w:div w:id="225262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697966">
          <w:marLeft w:val="0"/>
          <w:marRight w:val="0"/>
          <w:marTop w:val="0"/>
          <w:marBottom w:val="0"/>
          <w:divBdr>
            <w:top w:val="none" w:sz="0" w:space="0" w:color="auto"/>
            <w:left w:val="none" w:sz="0" w:space="0" w:color="auto"/>
            <w:bottom w:val="none" w:sz="0" w:space="0" w:color="auto"/>
            <w:right w:val="none" w:sz="0" w:space="0" w:color="auto"/>
          </w:divBdr>
        </w:div>
        <w:div w:id="638461383">
          <w:marLeft w:val="0"/>
          <w:marRight w:val="0"/>
          <w:marTop w:val="0"/>
          <w:marBottom w:val="0"/>
          <w:divBdr>
            <w:top w:val="none" w:sz="0" w:space="0" w:color="auto"/>
            <w:left w:val="none" w:sz="0" w:space="0" w:color="auto"/>
            <w:bottom w:val="none" w:sz="0" w:space="0" w:color="auto"/>
            <w:right w:val="none" w:sz="0" w:space="0" w:color="auto"/>
          </w:divBdr>
        </w:div>
        <w:div w:id="717435393">
          <w:marLeft w:val="0"/>
          <w:marRight w:val="0"/>
          <w:marTop w:val="0"/>
          <w:marBottom w:val="0"/>
          <w:divBdr>
            <w:top w:val="none" w:sz="0" w:space="0" w:color="auto"/>
            <w:left w:val="none" w:sz="0" w:space="0" w:color="auto"/>
            <w:bottom w:val="none" w:sz="0" w:space="0" w:color="auto"/>
            <w:right w:val="none" w:sz="0" w:space="0" w:color="auto"/>
          </w:divBdr>
        </w:div>
        <w:div w:id="758865545">
          <w:marLeft w:val="0"/>
          <w:marRight w:val="0"/>
          <w:marTop w:val="0"/>
          <w:marBottom w:val="0"/>
          <w:divBdr>
            <w:top w:val="none" w:sz="0" w:space="0" w:color="auto"/>
            <w:left w:val="none" w:sz="0" w:space="0" w:color="auto"/>
            <w:bottom w:val="none" w:sz="0" w:space="0" w:color="auto"/>
            <w:right w:val="none" w:sz="0" w:space="0" w:color="auto"/>
          </w:divBdr>
        </w:div>
        <w:div w:id="821579472">
          <w:marLeft w:val="0"/>
          <w:marRight w:val="0"/>
          <w:marTop w:val="0"/>
          <w:marBottom w:val="0"/>
          <w:divBdr>
            <w:top w:val="none" w:sz="0" w:space="0" w:color="auto"/>
            <w:left w:val="none" w:sz="0" w:space="0" w:color="auto"/>
            <w:bottom w:val="none" w:sz="0" w:space="0" w:color="auto"/>
            <w:right w:val="none" w:sz="0" w:space="0" w:color="auto"/>
          </w:divBdr>
        </w:div>
        <w:div w:id="1015185011">
          <w:marLeft w:val="0"/>
          <w:marRight w:val="0"/>
          <w:marTop w:val="0"/>
          <w:marBottom w:val="0"/>
          <w:divBdr>
            <w:top w:val="none" w:sz="0" w:space="0" w:color="auto"/>
            <w:left w:val="none" w:sz="0" w:space="0" w:color="auto"/>
            <w:bottom w:val="none" w:sz="0" w:space="0" w:color="auto"/>
            <w:right w:val="none" w:sz="0" w:space="0" w:color="auto"/>
          </w:divBdr>
        </w:div>
        <w:div w:id="1158420613">
          <w:marLeft w:val="0"/>
          <w:marRight w:val="0"/>
          <w:marTop w:val="0"/>
          <w:marBottom w:val="0"/>
          <w:divBdr>
            <w:top w:val="none" w:sz="0" w:space="0" w:color="auto"/>
            <w:left w:val="none" w:sz="0" w:space="0" w:color="auto"/>
            <w:bottom w:val="none" w:sz="0" w:space="0" w:color="auto"/>
            <w:right w:val="none" w:sz="0" w:space="0" w:color="auto"/>
          </w:divBdr>
        </w:div>
        <w:div w:id="1370715289">
          <w:marLeft w:val="0"/>
          <w:marRight w:val="0"/>
          <w:marTop w:val="0"/>
          <w:marBottom w:val="0"/>
          <w:divBdr>
            <w:top w:val="none" w:sz="0" w:space="0" w:color="auto"/>
            <w:left w:val="none" w:sz="0" w:space="0" w:color="auto"/>
            <w:bottom w:val="none" w:sz="0" w:space="0" w:color="auto"/>
            <w:right w:val="none" w:sz="0" w:space="0" w:color="auto"/>
          </w:divBdr>
        </w:div>
        <w:div w:id="1496072084">
          <w:marLeft w:val="0"/>
          <w:marRight w:val="0"/>
          <w:marTop w:val="0"/>
          <w:marBottom w:val="0"/>
          <w:divBdr>
            <w:top w:val="none" w:sz="0" w:space="0" w:color="auto"/>
            <w:left w:val="none" w:sz="0" w:space="0" w:color="auto"/>
            <w:bottom w:val="none" w:sz="0" w:space="0" w:color="auto"/>
            <w:right w:val="none" w:sz="0" w:space="0" w:color="auto"/>
          </w:divBdr>
        </w:div>
        <w:div w:id="1876623917">
          <w:marLeft w:val="0"/>
          <w:marRight w:val="0"/>
          <w:marTop w:val="0"/>
          <w:marBottom w:val="0"/>
          <w:divBdr>
            <w:top w:val="none" w:sz="0" w:space="0" w:color="auto"/>
            <w:left w:val="none" w:sz="0" w:space="0" w:color="auto"/>
            <w:bottom w:val="none" w:sz="0" w:space="0" w:color="auto"/>
            <w:right w:val="none" w:sz="0" w:space="0" w:color="auto"/>
          </w:divBdr>
        </w:div>
        <w:div w:id="1988166083">
          <w:marLeft w:val="0"/>
          <w:marRight w:val="0"/>
          <w:marTop w:val="0"/>
          <w:marBottom w:val="0"/>
          <w:divBdr>
            <w:top w:val="none" w:sz="0" w:space="0" w:color="auto"/>
            <w:left w:val="none" w:sz="0" w:space="0" w:color="auto"/>
            <w:bottom w:val="none" w:sz="0" w:space="0" w:color="auto"/>
            <w:right w:val="none" w:sz="0" w:space="0" w:color="auto"/>
          </w:divBdr>
        </w:div>
      </w:divsChild>
    </w:div>
    <w:div w:id="1833645689">
      <w:bodyDiv w:val="1"/>
      <w:marLeft w:val="0"/>
      <w:marRight w:val="0"/>
      <w:marTop w:val="0"/>
      <w:marBottom w:val="0"/>
      <w:divBdr>
        <w:top w:val="none" w:sz="0" w:space="0" w:color="auto"/>
        <w:left w:val="none" w:sz="0" w:space="0" w:color="auto"/>
        <w:bottom w:val="none" w:sz="0" w:space="0" w:color="auto"/>
        <w:right w:val="none" w:sz="0" w:space="0" w:color="auto"/>
      </w:divBdr>
      <w:divsChild>
        <w:div w:id="675764246">
          <w:marLeft w:val="0"/>
          <w:marRight w:val="0"/>
          <w:marTop w:val="0"/>
          <w:marBottom w:val="0"/>
          <w:divBdr>
            <w:top w:val="none" w:sz="0" w:space="0" w:color="auto"/>
            <w:left w:val="none" w:sz="0" w:space="0" w:color="auto"/>
            <w:bottom w:val="none" w:sz="0" w:space="0" w:color="auto"/>
            <w:right w:val="none" w:sz="0" w:space="0" w:color="auto"/>
          </w:divBdr>
          <w:divsChild>
            <w:div w:id="1558976204">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0D049C-44ED-494A-9880-FEA8066B63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1605</Words>
  <Characters>9153</Characters>
  <Application>Microsoft Office Word</Application>
  <DocSecurity>0</DocSecurity>
  <Lines>76</Lines>
  <Paragraphs>21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10737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2021-11-22T11:49:00Z</dcterms:created>
  <dcterms:modified xsi:type="dcterms:W3CDTF">2021-12-16T10:13:00Z</dcterms:modified>
</cp:coreProperties>
</file>