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07635" w14:textId="1011D41D" w:rsidR="006D6BDA" w:rsidRPr="00C833E0" w:rsidRDefault="006D6BDA" w:rsidP="006D6BDA">
      <w:pPr>
        <w:pBdr>
          <w:top w:val="double" w:sz="4" w:space="1" w:color="auto"/>
          <w:left w:val="double" w:sz="4" w:space="4" w:color="auto"/>
          <w:bottom w:val="double" w:sz="4" w:space="1" w:color="auto"/>
          <w:right w:val="double" w:sz="4" w:space="4" w:color="auto"/>
        </w:pBdr>
        <w:tabs>
          <w:tab w:val="left" w:pos="426"/>
          <w:tab w:val="center" w:pos="4680"/>
          <w:tab w:val="left" w:pos="6430"/>
        </w:tabs>
        <w:jc w:val="center"/>
        <w:rPr>
          <w:rFonts w:ascii="Cambria" w:eastAsia="Cambria" w:hAnsi="Cambria" w:cs="Cambria"/>
          <w:b/>
          <w:sz w:val="20"/>
          <w:szCs w:val="20"/>
        </w:rPr>
      </w:pPr>
      <w:r w:rsidRPr="00C833E0">
        <w:rPr>
          <w:rFonts w:ascii="Cambria" w:eastAsia="Cambria" w:hAnsi="Cambria" w:cs="Cambria"/>
          <w:b/>
          <w:sz w:val="20"/>
          <w:szCs w:val="20"/>
        </w:rPr>
        <w:t>21-</w:t>
      </w:r>
      <w:r w:rsidR="001E36C2" w:rsidRPr="00C833E0">
        <w:rPr>
          <w:rFonts w:ascii="Cambria" w:eastAsia="Cambria" w:hAnsi="Cambria" w:cs="Cambria"/>
          <w:b/>
          <w:sz w:val="20"/>
          <w:szCs w:val="20"/>
        </w:rPr>
        <w:t>0</w:t>
      </w:r>
      <w:r w:rsidR="006339D1" w:rsidRPr="00C833E0">
        <w:rPr>
          <w:rFonts w:ascii="Cambria" w:eastAsia="Cambria" w:hAnsi="Cambria" w:cs="Cambria"/>
          <w:b/>
          <w:sz w:val="20"/>
          <w:szCs w:val="20"/>
        </w:rPr>
        <w:t>7</w:t>
      </w:r>
      <w:r w:rsidRPr="00C833E0">
        <w:rPr>
          <w:rFonts w:ascii="Cambria" w:eastAsia="Cambria" w:hAnsi="Cambria" w:cs="Cambria"/>
          <w:b/>
          <w:sz w:val="20"/>
          <w:szCs w:val="20"/>
        </w:rPr>
        <w:tab/>
      </w:r>
      <w:r w:rsidRPr="00C833E0">
        <w:rPr>
          <w:rFonts w:ascii="Cambria" w:eastAsia="Cambria" w:hAnsi="Cambria" w:cs="Cambria"/>
          <w:b/>
          <w:sz w:val="20"/>
          <w:szCs w:val="20"/>
        </w:rPr>
        <w:tab/>
      </w:r>
      <w:r w:rsidRPr="00C833E0">
        <w:rPr>
          <w:rFonts w:ascii="Cambria" w:eastAsia="Cambria" w:hAnsi="Cambria" w:cs="Cambria"/>
          <w:b/>
          <w:sz w:val="20"/>
          <w:szCs w:val="20"/>
        </w:rPr>
        <w:tab/>
      </w:r>
      <w:r w:rsidRPr="00C833E0">
        <w:rPr>
          <w:rFonts w:ascii="Cambria" w:eastAsia="Cambria" w:hAnsi="Cambria" w:cs="Cambria"/>
          <w:b/>
          <w:sz w:val="20"/>
          <w:szCs w:val="20"/>
        </w:rPr>
        <w:tab/>
      </w:r>
      <w:r w:rsidRPr="00C833E0">
        <w:rPr>
          <w:rFonts w:ascii="Cambria" w:eastAsia="Cambria" w:hAnsi="Cambria" w:cs="Cambria"/>
          <w:b/>
          <w:sz w:val="20"/>
          <w:szCs w:val="20"/>
        </w:rPr>
        <w:tab/>
      </w:r>
      <w:r w:rsidRPr="00C833E0">
        <w:rPr>
          <w:rFonts w:ascii="Cambria" w:eastAsia="Cambria" w:hAnsi="Cambria" w:cs="Cambria"/>
          <w:b/>
          <w:sz w:val="20"/>
          <w:szCs w:val="20"/>
        </w:rPr>
        <w:tab/>
      </w:r>
      <w:r w:rsidR="006339D1" w:rsidRPr="00C833E0">
        <w:rPr>
          <w:rFonts w:ascii="Cambria" w:eastAsia="Cambria" w:hAnsi="Cambria" w:cs="Cambria"/>
          <w:b/>
          <w:sz w:val="20"/>
          <w:szCs w:val="20"/>
        </w:rPr>
        <w:t>BFT</w:t>
      </w:r>
    </w:p>
    <w:p w14:paraId="7DBBBCD9" w14:textId="295DB321" w:rsidR="006D6BDA" w:rsidRPr="00C833E0" w:rsidRDefault="00EB2CD8" w:rsidP="006D6BDA">
      <w:pPr>
        <w:pBdr>
          <w:top w:val="double" w:sz="4" w:space="1" w:color="auto"/>
          <w:left w:val="double" w:sz="4" w:space="4" w:color="auto"/>
          <w:bottom w:val="double" w:sz="4" w:space="1" w:color="auto"/>
          <w:right w:val="double" w:sz="4" w:space="4" w:color="auto"/>
        </w:pBdr>
        <w:tabs>
          <w:tab w:val="left" w:pos="426"/>
          <w:tab w:val="center" w:pos="4680"/>
          <w:tab w:val="left" w:pos="6430"/>
        </w:tabs>
        <w:jc w:val="center"/>
        <w:rPr>
          <w:rFonts w:ascii="Cambria" w:eastAsia="Cambria" w:hAnsi="Cambria" w:cs="Cambria"/>
          <w:b/>
          <w:sz w:val="20"/>
          <w:szCs w:val="20"/>
        </w:rPr>
      </w:pPr>
      <w:r w:rsidRPr="00C833E0">
        <w:rPr>
          <w:rFonts w:ascii="Cambria" w:eastAsia="Cambria" w:hAnsi="Cambria" w:cs="Cambria"/>
          <w:b/>
          <w:sz w:val="20"/>
          <w:szCs w:val="20"/>
        </w:rPr>
        <w:t>RECOMMENDATION BY ICCAT AMENDING REC</w:t>
      </w:r>
      <w:r w:rsidR="00F6261C" w:rsidRPr="00C833E0">
        <w:rPr>
          <w:rFonts w:ascii="Cambria" w:eastAsia="Cambria" w:hAnsi="Cambria" w:cs="Cambria"/>
          <w:b/>
          <w:sz w:val="20"/>
          <w:szCs w:val="20"/>
        </w:rPr>
        <w:t>OM</w:t>
      </w:r>
      <w:r w:rsidR="00BE18E4" w:rsidRPr="00C833E0">
        <w:rPr>
          <w:rFonts w:ascii="Cambria" w:eastAsia="Cambria" w:hAnsi="Cambria" w:cs="Cambria"/>
          <w:b/>
          <w:sz w:val="20"/>
          <w:szCs w:val="20"/>
        </w:rPr>
        <w:t>M</w:t>
      </w:r>
      <w:r w:rsidR="00F6261C" w:rsidRPr="00C833E0">
        <w:rPr>
          <w:rFonts w:ascii="Cambria" w:eastAsia="Cambria" w:hAnsi="Cambria" w:cs="Cambria"/>
          <w:b/>
          <w:sz w:val="20"/>
          <w:szCs w:val="20"/>
        </w:rPr>
        <w:t>ENDATION</w:t>
      </w:r>
      <w:r w:rsidRPr="00C833E0">
        <w:rPr>
          <w:rFonts w:ascii="Cambria" w:eastAsia="Cambria" w:hAnsi="Cambria" w:cs="Cambria"/>
          <w:b/>
          <w:sz w:val="20"/>
          <w:szCs w:val="20"/>
        </w:rPr>
        <w:t xml:space="preserve"> 17-06 FOR AN INTERIM </w:t>
      </w:r>
    </w:p>
    <w:p w14:paraId="00000002" w14:textId="753141F1" w:rsidR="00C21388" w:rsidRPr="00C833E0" w:rsidRDefault="00EB2CD8" w:rsidP="006D6BDA">
      <w:pPr>
        <w:pBdr>
          <w:top w:val="double" w:sz="4" w:space="1" w:color="auto"/>
          <w:left w:val="double" w:sz="4" w:space="4" w:color="auto"/>
          <w:bottom w:val="double" w:sz="4" w:space="1" w:color="auto"/>
          <w:right w:val="double" w:sz="4" w:space="4" w:color="auto"/>
        </w:pBdr>
        <w:tabs>
          <w:tab w:val="left" w:pos="426"/>
          <w:tab w:val="center" w:pos="4680"/>
          <w:tab w:val="left" w:pos="6430"/>
        </w:tabs>
        <w:jc w:val="center"/>
        <w:rPr>
          <w:rFonts w:ascii="Cambria" w:eastAsia="Cambria" w:hAnsi="Cambria" w:cs="Cambria"/>
          <w:b/>
          <w:sz w:val="20"/>
          <w:szCs w:val="20"/>
        </w:rPr>
      </w:pPr>
      <w:r w:rsidRPr="00C833E0">
        <w:rPr>
          <w:rFonts w:ascii="Cambria" w:eastAsia="Cambria" w:hAnsi="Cambria" w:cs="Cambria"/>
          <w:b/>
          <w:sz w:val="20"/>
          <w:szCs w:val="20"/>
        </w:rPr>
        <w:t>CONSERVATION AND MANAGEMENT PLAN FOR WESTERN ATLANTIC BLUEFIN TUNA</w:t>
      </w:r>
    </w:p>
    <w:p w14:paraId="00000008" w14:textId="59B393F6" w:rsidR="00C21388" w:rsidRPr="00C833E0" w:rsidRDefault="00C213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i/>
          <w:color w:val="231F20"/>
          <w:sz w:val="20"/>
          <w:szCs w:val="20"/>
        </w:rPr>
      </w:pPr>
    </w:p>
    <w:p w14:paraId="594033DC" w14:textId="77777777" w:rsidR="006D6BDA" w:rsidRPr="00C833E0" w:rsidRDefault="006D6BDA">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i/>
          <w:color w:val="231F20"/>
          <w:sz w:val="20"/>
          <w:szCs w:val="20"/>
        </w:rPr>
      </w:pPr>
    </w:p>
    <w:p w14:paraId="00000009" w14:textId="77777777" w:rsidR="00C21388" w:rsidRPr="00C833E0" w:rsidRDefault="00EB2CD8" w:rsidP="00F07A8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jc w:val="both"/>
        <w:rPr>
          <w:rFonts w:ascii="Cambria" w:eastAsia="Cambria" w:hAnsi="Cambria" w:cs="Cambria"/>
          <w:color w:val="231F20"/>
          <w:sz w:val="20"/>
          <w:szCs w:val="20"/>
        </w:rPr>
      </w:pPr>
      <w:r w:rsidRPr="00C833E0">
        <w:rPr>
          <w:rFonts w:ascii="Cambria" w:eastAsia="Cambria" w:hAnsi="Cambria" w:cs="Cambria"/>
          <w:i/>
          <w:color w:val="231F20"/>
          <w:sz w:val="20"/>
          <w:szCs w:val="20"/>
        </w:rPr>
        <w:tab/>
      </w:r>
      <w:r w:rsidRPr="00C833E0">
        <w:rPr>
          <w:rFonts w:ascii="Cambria" w:eastAsia="Cambria" w:hAnsi="Cambria" w:cs="Cambria"/>
          <w:i/>
          <w:color w:val="231F20"/>
          <w:sz w:val="20"/>
          <w:szCs w:val="20"/>
        </w:rPr>
        <w:tab/>
        <w:t xml:space="preserve">AWARE that </w:t>
      </w:r>
      <w:r w:rsidRPr="00C833E0">
        <w:rPr>
          <w:rFonts w:ascii="Cambria" w:eastAsia="Cambria" w:hAnsi="Cambria" w:cs="Cambria"/>
          <w:color w:val="231F20"/>
          <w:sz w:val="20"/>
          <w:szCs w:val="20"/>
        </w:rPr>
        <w:t>the</w:t>
      </w:r>
      <w:r w:rsidRPr="00C833E0">
        <w:rPr>
          <w:rFonts w:ascii="Cambria" w:eastAsia="Cambria" w:hAnsi="Cambria" w:cs="Cambria"/>
          <w:i/>
          <w:color w:val="231F20"/>
          <w:sz w:val="20"/>
          <w:szCs w:val="20"/>
        </w:rPr>
        <w:t xml:space="preserve"> Recommendation by ICCAT for an Interim Conservation and Management Plan for Western Atlantic Bluefin Tuna </w:t>
      </w:r>
      <w:r w:rsidRPr="00C833E0">
        <w:rPr>
          <w:rFonts w:ascii="Cambria" w:eastAsia="Cambria" w:hAnsi="Cambria" w:cs="Cambria"/>
          <w:color w:val="231F20"/>
          <w:sz w:val="20"/>
          <w:szCs w:val="20"/>
        </w:rPr>
        <w:t xml:space="preserve">(Rec. 17-06) was amended and extended only through 2021 by the </w:t>
      </w:r>
      <w:r w:rsidRPr="00C833E0">
        <w:rPr>
          <w:rFonts w:ascii="Cambria" w:eastAsia="Cambria" w:hAnsi="Cambria" w:cs="Cambria"/>
          <w:i/>
          <w:color w:val="231F20"/>
          <w:sz w:val="20"/>
          <w:szCs w:val="20"/>
        </w:rPr>
        <w:t xml:space="preserve">Recommendation by ICCAT Amending Rec. 17-06 for an Interim Conservation and Management Plan for Western Atlantic Bluefin Tuna </w:t>
      </w:r>
      <w:r w:rsidRPr="00C833E0">
        <w:rPr>
          <w:rFonts w:ascii="Cambria" w:eastAsia="Cambria" w:hAnsi="Cambria" w:cs="Cambria"/>
          <w:color w:val="231F20"/>
          <w:sz w:val="20"/>
          <w:szCs w:val="20"/>
        </w:rPr>
        <w:t>(Rec. 20-06</w:t>
      </w:r>
      <w:proofErr w:type="gramStart"/>
      <w:r w:rsidRPr="00C833E0">
        <w:rPr>
          <w:rFonts w:ascii="Cambria" w:eastAsia="Cambria" w:hAnsi="Cambria" w:cs="Cambria"/>
          <w:color w:val="231F20"/>
          <w:sz w:val="20"/>
          <w:szCs w:val="20"/>
        </w:rPr>
        <w:t>);</w:t>
      </w:r>
      <w:proofErr w:type="gramEnd"/>
    </w:p>
    <w:p w14:paraId="0000000A" w14:textId="6D025A49" w:rsidR="00C21388" w:rsidRPr="00C833E0" w:rsidRDefault="00C213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p>
    <w:p w14:paraId="0000000B" w14:textId="30D0D3AE" w:rsidR="00C21388" w:rsidRPr="00C833E0" w:rsidRDefault="00EB2CD8" w:rsidP="00F07A8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jc w:val="both"/>
        <w:rPr>
          <w:rFonts w:ascii="Cambria" w:eastAsia="Cambria" w:hAnsi="Cambria" w:cs="Cambria"/>
          <w:color w:val="231F20"/>
          <w:sz w:val="20"/>
          <w:szCs w:val="20"/>
        </w:rPr>
      </w:pPr>
      <w:r w:rsidRPr="00C833E0">
        <w:rPr>
          <w:rFonts w:ascii="Cambria" w:eastAsia="Cambria" w:hAnsi="Cambria" w:cs="Cambria"/>
          <w:i/>
          <w:sz w:val="20"/>
          <w:szCs w:val="20"/>
        </w:rPr>
        <w:tab/>
      </w:r>
      <w:r w:rsidRPr="00C833E0">
        <w:rPr>
          <w:rFonts w:ascii="Cambria" w:eastAsia="Cambria" w:hAnsi="Cambria" w:cs="Cambria"/>
          <w:i/>
          <w:sz w:val="20"/>
          <w:szCs w:val="20"/>
        </w:rPr>
        <w:tab/>
        <w:t xml:space="preserve">RECALLING </w:t>
      </w:r>
      <w:r w:rsidRPr="00C833E0">
        <w:rPr>
          <w:rFonts w:ascii="Cambria" w:eastAsia="Cambria" w:hAnsi="Cambria" w:cs="Cambria"/>
          <w:sz w:val="20"/>
          <w:szCs w:val="20"/>
        </w:rPr>
        <w:t>the commitment of the Commission in Rec</w:t>
      </w:r>
      <w:r w:rsidR="00C74D75" w:rsidRPr="00C833E0">
        <w:rPr>
          <w:rFonts w:ascii="Cambria" w:eastAsia="Cambria" w:hAnsi="Cambria" w:cs="Cambria"/>
          <w:sz w:val="20"/>
          <w:szCs w:val="20"/>
        </w:rPr>
        <w:t>ommendation</w:t>
      </w:r>
      <w:r w:rsidRPr="00C833E0">
        <w:rPr>
          <w:rFonts w:ascii="Cambria" w:eastAsia="Cambria" w:hAnsi="Cambria" w:cs="Cambria"/>
          <w:sz w:val="20"/>
          <w:szCs w:val="20"/>
        </w:rPr>
        <w:t xml:space="preserve"> 20-06 to take actions that would address overfishing in 2022 with at least a 50% </w:t>
      </w:r>
      <w:proofErr w:type="gramStart"/>
      <w:r w:rsidRPr="00C833E0">
        <w:rPr>
          <w:rFonts w:ascii="Cambria" w:eastAsia="Cambria" w:hAnsi="Cambria" w:cs="Cambria"/>
          <w:sz w:val="20"/>
          <w:szCs w:val="20"/>
        </w:rPr>
        <w:t>probability;</w:t>
      </w:r>
      <w:proofErr w:type="gramEnd"/>
    </w:p>
    <w:p w14:paraId="0000000C" w14:textId="77777777" w:rsidR="00C21388" w:rsidRPr="00C833E0" w:rsidRDefault="00C213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p>
    <w:p w14:paraId="0000000D" w14:textId="339AB05D" w:rsidR="00C21388" w:rsidRPr="00C833E0" w:rsidRDefault="00EB2CD8" w:rsidP="00F07A8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jc w:val="both"/>
        <w:rPr>
          <w:rFonts w:ascii="Cambria" w:eastAsia="Cambria" w:hAnsi="Cambria" w:cs="Cambria"/>
          <w:color w:val="231F20"/>
          <w:sz w:val="20"/>
          <w:szCs w:val="20"/>
        </w:rPr>
      </w:pPr>
      <w:r w:rsidRPr="00C833E0">
        <w:rPr>
          <w:rFonts w:ascii="Cambria" w:eastAsia="Cambria" w:hAnsi="Cambria" w:cs="Cambria"/>
          <w:color w:val="231F20"/>
          <w:sz w:val="20"/>
          <w:szCs w:val="20"/>
        </w:rPr>
        <w:tab/>
      </w:r>
      <w:r w:rsidRPr="00C833E0">
        <w:rPr>
          <w:rFonts w:ascii="Cambria" w:eastAsia="Cambria" w:hAnsi="Cambria" w:cs="Cambria"/>
          <w:color w:val="231F20"/>
          <w:sz w:val="20"/>
          <w:szCs w:val="20"/>
        </w:rPr>
        <w:tab/>
      </w:r>
      <w:r w:rsidRPr="00C833E0">
        <w:rPr>
          <w:rFonts w:ascii="Cambria" w:eastAsia="Cambria" w:hAnsi="Cambria" w:cs="Cambria"/>
          <w:i/>
          <w:color w:val="231F20"/>
          <w:sz w:val="20"/>
          <w:szCs w:val="20"/>
        </w:rPr>
        <w:t>NOTING</w:t>
      </w:r>
      <w:r w:rsidRPr="00C833E0">
        <w:rPr>
          <w:rFonts w:ascii="Cambria" w:eastAsia="Cambria" w:hAnsi="Cambria" w:cs="Cambria"/>
          <w:color w:val="231F20"/>
          <w:sz w:val="20"/>
          <w:szCs w:val="20"/>
        </w:rPr>
        <w:t xml:space="preserve"> the positive results of the 2021 western Atlantic bluefin tuna stock assessment, which estimates that the total biomass has increased by 9% over the time period 2017-2020, indicates that the current TAC is not likely to have led to overfishing relative to F</w:t>
      </w:r>
      <w:r w:rsidRPr="00C833E0">
        <w:rPr>
          <w:rFonts w:ascii="Cambria" w:eastAsia="Cambria" w:hAnsi="Cambria" w:cs="Cambria"/>
          <w:color w:val="231F20"/>
          <w:sz w:val="20"/>
          <w:szCs w:val="20"/>
          <w:vertAlign w:val="subscript"/>
        </w:rPr>
        <w:t>0.1</w:t>
      </w:r>
      <w:r w:rsidRPr="00C833E0">
        <w:rPr>
          <w:rFonts w:ascii="Cambria" w:eastAsia="Cambria" w:hAnsi="Cambria" w:cs="Cambria"/>
          <w:color w:val="231F20"/>
          <w:sz w:val="20"/>
          <w:szCs w:val="20"/>
        </w:rPr>
        <w:t xml:space="preserve"> with a high probability,</w:t>
      </w:r>
      <w:r w:rsidR="00F6348D" w:rsidRPr="00C833E0">
        <w:rPr>
          <w:rFonts w:ascii="Cambria" w:eastAsia="Cambria" w:hAnsi="Cambria" w:cs="Cambria"/>
          <w:color w:val="231F20"/>
          <w:sz w:val="20"/>
          <w:szCs w:val="20"/>
        </w:rPr>
        <w:t xml:space="preserve"> and</w:t>
      </w:r>
      <w:r w:rsidRPr="00C833E0">
        <w:rPr>
          <w:rFonts w:ascii="Cambria" w:eastAsia="Cambria" w:hAnsi="Cambria" w:cs="Cambria"/>
          <w:color w:val="231F20"/>
          <w:sz w:val="20"/>
          <w:szCs w:val="20"/>
        </w:rPr>
        <w:t xml:space="preserve"> shows clear signs of several strong subsequent recruitment </w:t>
      </w:r>
      <w:proofErr w:type="gramStart"/>
      <w:r w:rsidRPr="00C833E0">
        <w:rPr>
          <w:rFonts w:ascii="Cambria" w:eastAsia="Cambria" w:hAnsi="Cambria" w:cs="Cambria"/>
          <w:color w:val="231F20"/>
          <w:sz w:val="20"/>
          <w:szCs w:val="20"/>
        </w:rPr>
        <w:t>years;</w:t>
      </w:r>
      <w:proofErr w:type="gramEnd"/>
      <w:r w:rsidRPr="00C833E0">
        <w:rPr>
          <w:rFonts w:ascii="Cambria" w:eastAsia="Cambria" w:hAnsi="Cambria" w:cs="Cambria"/>
          <w:color w:val="231F20"/>
          <w:sz w:val="20"/>
          <w:szCs w:val="20"/>
        </w:rPr>
        <w:t xml:space="preserve"> </w:t>
      </w:r>
    </w:p>
    <w:p w14:paraId="0000000E" w14:textId="77777777" w:rsidR="00C21388" w:rsidRPr="00C833E0" w:rsidRDefault="00C213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p>
    <w:p w14:paraId="0000000F" w14:textId="77777777" w:rsidR="00C21388" w:rsidRPr="00C833E0" w:rsidRDefault="00EB2CD8" w:rsidP="00F07A8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jc w:val="both"/>
        <w:rPr>
          <w:rFonts w:ascii="Cambria" w:eastAsia="Cambria" w:hAnsi="Cambria" w:cs="Cambria"/>
          <w:color w:val="231F20"/>
          <w:sz w:val="20"/>
          <w:szCs w:val="20"/>
        </w:rPr>
      </w:pPr>
      <w:r w:rsidRPr="00C833E0">
        <w:rPr>
          <w:rFonts w:ascii="Cambria" w:eastAsia="Cambria" w:hAnsi="Cambria" w:cs="Cambria"/>
          <w:color w:val="231F20"/>
          <w:sz w:val="20"/>
          <w:szCs w:val="20"/>
        </w:rPr>
        <w:tab/>
      </w:r>
      <w:r w:rsidRPr="00C833E0">
        <w:rPr>
          <w:rFonts w:ascii="Cambria" w:eastAsia="Cambria" w:hAnsi="Cambria" w:cs="Cambria"/>
          <w:color w:val="231F20"/>
          <w:sz w:val="20"/>
          <w:szCs w:val="20"/>
        </w:rPr>
        <w:tab/>
      </w:r>
      <w:r w:rsidRPr="00C833E0">
        <w:rPr>
          <w:rFonts w:ascii="Cambria" w:eastAsia="Cambria" w:hAnsi="Cambria" w:cs="Cambria"/>
          <w:i/>
          <w:color w:val="231F20"/>
          <w:sz w:val="20"/>
          <w:szCs w:val="20"/>
        </w:rPr>
        <w:t xml:space="preserve">RECOGNIZING, </w:t>
      </w:r>
      <w:r w:rsidRPr="00C833E0">
        <w:rPr>
          <w:rFonts w:ascii="Cambria" w:eastAsia="Cambria" w:hAnsi="Cambria" w:cs="Cambria"/>
          <w:color w:val="231F20"/>
          <w:sz w:val="20"/>
          <w:szCs w:val="20"/>
        </w:rPr>
        <w:t>however, that</w:t>
      </w:r>
      <w:r w:rsidRPr="00C833E0">
        <w:rPr>
          <w:rFonts w:ascii="Cambria" w:eastAsia="Cambria" w:hAnsi="Cambria" w:cs="Cambria"/>
          <w:i/>
          <w:color w:val="231F20"/>
          <w:sz w:val="20"/>
          <w:szCs w:val="20"/>
        </w:rPr>
        <w:t xml:space="preserve"> </w:t>
      </w:r>
      <w:r w:rsidRPr="00C833E0">
        <w:rPr>
          <w:rFonts w:ascii="Cambria" w:eastAsia="Cambria" w:hAnsi="Cambria" w:cs="Cambria"/>
          <w:color w:val="231F20"/>
          <w:sz w:val="20"/>
          <w:szCs w:val="20"/>
        </w:rPr>
        <w:t xml:space="preserve">the results of the 2021 stock assessment and projections, including the Kobe matrix, do not capture the full degree of uncertainty with regard to the spawner-recruit relationship, the effects of stock mixing, and other aspects, and mindful as well of the conclusions of the external review of that </w:t>
      </w:r>
      <w:proofErr w:type="gramStart"/>
      <w:r w:rsidRPr="00C833E0">
        <w:rPr>
          <w:rFonts w:ascii="Cambria" w:eastAsia="Cambria" w:hAnsi="Cambria" w:cs="Cambria"/>
          <w:color w:val="231F20"/>
          <w:sz w:val="20"/>
          <w:szCs w:val="20"/>
        </w:rPr>
        <w:t>assessment;</w:t>
      </w:r>
      <w:proofErr w:type="gramEnd"/>
    </w:p>
    <w:p w14:paraId="00000010" w14:textId="77777777" w:rsidR="00C21388" w:rsidRPr="00C833E0" w:rsidRDefault="00C213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p>
    <w:p w14:paraId="00000011" w14:textId="458B5455" w:rsidR="00C21388" w:rsidRPr="00C833E0" w:rsidRDefault="00EB2CD8" w:rsidP="00F07A8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jc w:val="both"/>
        <w:rPr>
          <w:rFonts w:ascii="Cambria" w:eastAsia="Cambria" w:hAnsi="Cambria" w:cs="Cambria"/>
          <w:color w:val="231F20"/>
          <w:sz w:val="20"/>
          <w:szCs w:val="20"/>
        </w:rPr>
      </w:pPr>
      <w:r w:rsidRPr="00C833E0">
        <w:rPr>
          <w:rFonts w:ascii="Cambria" w:eastAsia="Cambria" w:hAnsi="Cambria" w:cs="Cambria"/>
          <w:color w:val="231F20"/>
          <w:sz w:val="20"/>
          <w:szCs w:val="20"/>
        </w:rPr>
        <w:tab/>
      </w:r>
      <w:r w:rsidRPr="00C833E0">
        <w:rPr>
          <w:rFonts w:ascii="Cambria" w:eastAsia="Cambria" w:hAnsi="Cambria" w:cs="Cambria"/>
          <w:color w:val="231F20"/>
          <w:sz w:val="20"/>
          <w:szCs w:val="20"/>
        </w:rPr>
        <w:tab/>
      </w:r>
      <w:r w:rsidRPr="00C833E0">
        <w:rPr>
          <w:rFonts w:ascii="Cambria" w:eastAsia="Cambria" w:hAnsi="Cambria" w:cs="Cambria"/>
          <w:i/>
          <w:color w:val="231F20"/>
          <w:sz w:val="20"/>
          <w:szCs w:val="20"/>
        </w:rPr>
        <w:t xml:space="preserve">ACKNOWLEDGING </w:t>
      </w:r>
      <w:r w:rsidRPr="00C833E0">
        <w:rPr>
          <w:rFonts w:ascii="Cambria" w:eastAsia="Cambria" w:hAnsi="Cambria" w:cs="Cambria"/>
          <w:color w:val="231F20"/>
          <w:sz w:val="20"/>
          <w:szCs w:val="20"/>
        </w:rPr>
        <w:t>the SCRS advice that, in light of the uncertainties and conclusions of the external review, the current scientific advice should be used with caution and, toward that end</w:t>
      </w:r>
      <w:r w:rsidRPr="00C833E0">
        <w:rPr>
          <w:rFonts w:ascii="Cambria" w:eastAsia="Cambria" w:hAnsi="Cambria" w:cs="Cambria"/>
          <w:color w:val="231F20"/>
          <w:sz w:val="15"/>
          <w:szCs w:val="15"/>
        </w:rPr>
        <w:t>,</w:t>
      </w:r>
      <w:r w:rsidRPr="00C833E0">
        <w:rPr>
          <w:rFonts w:ascii="Cambria" w:eastAsia="Cambria" w:hAnsi="Cambria" w:cs="Cambria"/>
          <w:color w:val="231F20"/>
          <w:sz w:val="20"/>
          <w:szCs w:val="20"/>
        </w:rPr>
        <w:t xml:space="preserve"> only two years (2022 and 2023) were included in the Kobe </w:t>
      </w:r>
      <w:r w:rsidR="00694099" w:rsidRPr="00C833E0">
        <w:rPr>
          <w:rFonts w:ascii="Cambria" w:eastAsia="Cambria" w:hAnsi="Cambria" w:cs="Cambria"/>
          <w:color w:val="231F20"/>
          <w:sz w:val="20"/>
          <w:szCs w:val="20"/>
        </w:rPr>
        <w:t>II</w:t>
      </w:r>
      <w:r w:rsidRPr="00C833E0">
        <w:rPr>
          <w:rFonts w:ascii="Cambria" w:eastAsia="Cambria" w:hAnsi="Cambria" w:cs="Cambria"/>
          <w:color w:val="231F20"/>
          <w:sz w:val="20"/>
          <w:szCs w:val="20"/>
        </w:rPr>
        <w:t xml:space="preserve"> Strategy Matrix, and the SCRS advised the Commission could implement a moderate increase to the current TAC of 2,350 </w:t>
      </w:r>
      <w:proofErr w:type="gramStart"/>
      <w:r w:rsidRPr="00C833E0">
        <w:rPr>
          <w:rFonts w:ascii="Cambria" w:eastAsia="Cambria" w:hAnsi="Cambria" w:cs="Cambria"/>
          <w:color w:val="231F20"/>
          <w:sz w:val="20"/>
          <w:szCs w:val="20"/>
        </w:rPr>
        <w:t>t;</w:t>
      </w:r>
      <w:proofErr w:type="gramEnd"/>
    </w:p>
    <w:p w14:paraId="00000012" w14:textId="77777777" w:rsidR="00C21388" w:rsidRPr="00C833E0" w:rsidRDefault="00C213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p>
    <w:p w14:paraId="00000013" w14:textId="77777777" w:rsidR="00C21388" w:rsidRPr="00C833E0" w:rsidRDefault="00EB2CD8" w:rsidP="00F07A8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jc w:val="both"/>
        <w:rPr>
          <w:rFonts w:ascii="Cambria" w:eastAsia="Cambria" w:hAnsi="Cambria" w:cs="Cambria"/>
          <w:color w:val="231F20"/>
          <w:sz w:val="20"/>
          <w:szCs w:val="20"/>
        </w:rPr>
      </w:pPr>
      <w:r w:rsidRPr="00C833E0">
        <w:rPr>
          <w:rFonts w:ascii="Cambria" w:eastAsia="Cambria" w:hAnsi="Cambria" w:cs="Cambria"/>
          <w:color w:val="231F20"/>
          <w:sz w:val="20"/>
          <w:szCs w:val="20"/>
        </w:rPr>
        <w:tab/>
      </w:r>
      <w:r w:rsidRPr="00C833E0">
        <w:rPr>
          <w:rFonts w:ascii="Cambria" w:eastAsia="Cambria" w:hAnsi="Cambria" w:cs="Cambria"/>
          <w:color w:val="231F20"/>
          <w:sz w:val="20"/>
          <w:szCs w:val="20"/>
        </w:rPr>
        <w:tab/>
      </w:r>
      <w:r w:rsidRPr="00C833E0">
        <w:rPr>
          <w:rFonts w:ascii="Cambria" w:eastAsia="Cambria" w:hAnsi="Cambria" w:cs="Cambria"/>
          <w:i/>
          <w:color w:val="231F20"/>
          <w:sz w:val="20"/>
          <w:szCs w:val="20"/>
        </w:rPr>
        <w:t>TAKING INTO ACCOUNT</w:t>
      </w:r>
      <w:r w:rsidRPr="00C833E0">
        <w:rPr>
          <w:rFonts w:ascii="Cambria" w:eastAsia="Cambria" w:hAnsi="Cambria" w:cs="Cambria"/>
          <w:color w:val="231F20"/>
          <w:sz w:val="20"/>
          <w:szCs w:val="20"/>
        </w:rPr>
        <w:t xml:space="preserve"> the additional advice provided by the SCRS on alternative approaches to assist the Commission in determining the level of a moderate increase in TAC, specifically the empirical approach looking at both western area and western spawning stock abundance, and the management strategy evaluation (MSE) </w:t>
      </w:r>
      <w:proofErr w:type="gramStart"/>
      <w:r w:rsidRPr="00C833E0">
        <w:rPr>
          <w:rFonts w:ascii="Cambria" w:eastAsia="Cambria" w:hAnsi="Cambria" w:cs="Cambria"/>
          <w:color w:val="231F20"/>
          <w:sz w:val="20"/>
          <w:szCs w:val="20"/>
        </w:rPr>
        <w:t>approach;</w:t>
      </w:r>
      <w:proofErr w:type="gramEnd"/>
    </w:p>
    <w:p w14:paraId="00000014" w14:textId="77777777" w:rsidR="00C21388" w:rsidRPr="00C833E0" w:rsidRDefault="00C213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p>
    <w:p w14:paraId="00000015" w14:textId="135BA9F1" w:rsidR="00C21388" w:rsidRPr="00C833E0" w:rsidRDefault="00EB2CD8" w:rsidP="00F07A8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jc w:val="both"/>
        <w:rPr>
          <w:rFonts w:ascii="Cambria" w:eastAsia="Cambria" w:hAnsi="Cambria" w:cs="Cambria"/>
          <w:color w:val="231F20"/>
          <w:sz w:val="20"/>
          <w:szCs w:val="20"/>
        </w:rPr>
      </w:pPr>
      <w:r w:rsidRPr="00C833E0">
        <w:rPr>
          <w:rFonts w:ascii="Cambria" w:eastAsia="Cambria" w:hAnsi="Cambria" w:cs="Cambria"/>
          <w:color w:val="231F20"/>
          <w:sz w:val="20"/>
          <w:szCs w:val="20"/>
        </w:rPr>
        <w:tab/>
      </w:r>
      <w:r w:rsidRPr="00C833E0">
        <w:rPr>
          <w:rFonts w:ascii="Cambria" w:eastAsia="Cambria" w:hAnsi="Cambria" w:cs="Cambria"/>
          <w:color w:val="231F20"/>
          <w:sz w:val="20"/>
          <w:szCs w:val="20"/>
        </w:rPr>
        <w:tab/>
      </w:r>
      <w:r w:rsidRPr="00C833E0">
        <w:rPr>
          <w:rFonts w:ascii="Cambria" w:eastAsia="Cambria" w:hAnsi="Cambria" w:cs="Cambria"/>
          <w:i/>
          <w:color w:val="231F20"/>
          <w:sz w:val="20"/>
          <w:szCs w:val="20"/>
        </w:rPr>
        <w:t>SUPPORTING</w:t>
      </w:r>
      <w:r w:rsidRPr="00C833E0">
        <w:rPr>
          <w:rFonts w:ascii="Cambria" w:eastAsia="Cambria" w:hAnsi="Cambria" w:cs="Cambria"/>
          <w:color w:val="333333"/>
          <w:sz w:val="20"/>
          <w:szCs w:val="20"/>
        </w:rPr>
        <w:t xml:space="preserve"> the </w:t>
      </w:r>
      <w:r w:rsidRPr="00C833E0">
        <w:rPr>
          <w:rFonts w:ascii="Cambria" w:eastAsia="Cambria" w:hAnsi="Cambria" w:cs="Cambria"/>
          <w:color w:val="231F20"/>
          <w:sz w:val="20"/>
          <w:szCs w:val="20"/>
        </w:rPr>
        <w:t xml:space="preserve">Commission’s work toward the development of MSE for bluefin tuna to manage fisheries more effectively in the face of identified uncertainties, including efforts to develop operational management objectives, in particular, </w:t>
      </w:r>
      <w:r w:rsidRPr="00C833E0">
        <w:rPr>
          <w:rFonts w:ascii="Cambria" w:eastAsia="Cambria" w:hAnsi="Cambria" w:cs="Cambria"/>
          <w:i/>
          <w:color w:val="231F20"/>
          <w:sz w:val="20"/>
          <w:szCs w:val="20"/>
        </w:rPr>
        <w:t xml:space="preserve">Resolution by ICCAT on Development of Initial Management Objectives for Eastern and Western Bluefin Tuna </w:t>
      </w:r>
      <w:r w:rsidRPr="00C833E0">
        <w:rPr>
          <w:rFonts w:ascii="Cambria" w:eastAsia="Cambria" w:hAnsi="Cambria" w:cs="Cambria"/>
          <w:iCs/>
          <w:color w:val="231F20"/>
          <w:sz w:val="20"/>
          <w:szCs w:val="20"/>
        </w:rPr>
        <w:t>(Res. 18-03),</w:t>
      </w:r>
      <w:r w:rsidRPr="00C833E0">
        <w:rPr>
          <w:rFonts w:ascii="Cambria" w:eastAsia="Cambria" w:hAnsi="Cambria" w:cs="Cambria"/>
          <w:color w:val="231F20"/>
          <w:sz w:val="20"/>
          <w:szCs w:val="20"/>
        </w:rPr>
        <w:t xml:space="preserve"> and efforts to finalize these management objectives consistent with the Convention and </w:t>
      </w:r>
      <w:r w:rsidRPr="00C833E0">
        <w:rPr>
          <w:rFonts w:ascii="Cambria" w:eastAsia="Cambria" w:hAnsi="Cambria" w:cs="Cambria"/>
          <w:i/>
          <w:iCs/>
          <w:color w:val="231F20"/>
          <w:sz w:val="20"/>
          <w:szCs w:val="20"/>
        </w:rPr>
        <w:t>R</w:t>
      </w:r>
      <w:r w:rsidRPr="00C833E0">
        <w:rPr>
          <w:rFonts w:ascii="Cambria" w:eastAsia="Cambria" w:hAnsi="Cambria" w:cs="Cambria"/>
          <w:i/>
          <w:color w:val="231F20"/>
          <w:sz w:val="20"/>
          <w:szCs w:val="20"/>
        </w:rPr>
        <w:t>ecommendation by ICCAT on the Principles of Decision Making for ICCAT Conservation and Management Measures</w:t>
      </w:r>
      <w:r w:rsidRPr="00C833E0">
        <w:rPr>
          <w:rFonts w:ascii="Cambria" w:eastAsia="Cambria" w:hAnsi="Cambria" w:cs="Cambria"/>
          <w:color w:val="231F20"/>
          <w:sz w:val="20"/>
          <w:szCs w:val="20"/>
        </w:rPr>
        <w:t xml:space="preserve"> (</w:t>
      </w:r>
      <w:r w:rsidR="005B1639" w:rsidRPr="00C833E0">
        <w:rPr>
          <w:rFonts w:ascii="Cambria" w:eastAsia="Cambria" w:hAnsi="Cambria" w:cs="Cambria"/>
          <w:color w:val="231F20"/>
          <w:sz w:val="20"/>
          <w:szCs w:val="20"/>
        </w:rPr>
        <w:t xml:space="preserve">Rec. </w:t>
      </w:r>
      <w:r w:rsidRPr="00C833E0">
        <w:rPr>
          <w:rFonts w:ascii="Cambria" w:eastAsia="Cambria" w:hAnsi="Cambria" w:cs="Cambria"/>
          <w:color w:val="231F20"/>
          <w:sz w:val="20"/>
          <w:szCs w:val="20"/>
        </w:rPr>
        <w:t>11-1</w:t>
      </w:r>
      <w:r w:rsidR="005B1639" w:rsidRPr="00C833E0">
        <w:rPr>
          <w:rFonts w:ascii="Cambria" w:eastAsia="Cambria" w:hAnsi="Cambria" w:cs="Cambria"/>
          <w:color w:val="231F20"/>
          <w:sz w:val="20"/>
          <w:szCs w:val="20"/>
        </w:rPr>
        <w:t>3</w:t>
      </w:r>
      <w:r w:rsidRPr="00C833E0">
        <w:rPr>
          <w:rFonts w:ascii="Cambria" w:eastAsia="Cambria" w:hAnsi="Cambria" w:cs="Cambria"/>
          <w:color w:val="231F20"/>
          <w:sz w:val="20"/>
          <w:szCs w:val="20"/>
        </w:rPr>
        <w:t xml:space="preserve">) and </w:t>
      </w:r>
      <w:r w:rsidRPr="00C833E0">
        <w:rPr>
          <w:rFonts w:ascii="Cambria" w:eastAsia="Cambria" w:hAnsi="Cambria" w:cs="Cambria"/>
          <w:i/>
          <w:color w:val="231F20"/>
          <w:sz w:val="20"/>
          <w:szCs w:val="20"/>
        </w:rPr>
        <w:t>Recommendation by ICCAT on the Development of Harvest Control Rules and Management Strategy Evaluation</w:t>
      </w:r>
      <w:r w:rsidRPr="00C833E0">
        <w:rPr>
          <w:rFonts w:ascii="Cambria" w:eastAsia="Cambria" w:hAnsi="Cambria" w:cs="Cambria"/>
          <w:color w:val="231F20"/>
          <w:sz w:val="20"/>
          <w:szCs w:val="20"/>
        </w:rPr>
        <w:t xml:space="preserve"> (</w:t>
      </w:r>
      <w:r w:rsidR="0047659F" w:rsidRPr="00C833E0">
        <w:rPr>
          <w:rFonts w:ascii="Cambria" w:eastAsia="Cambria" w:hAnsi="Cambria" w:cs="Cambria"/>
          <w:color w:val="231F20"/>
          <w:sz w:val="20"/>
          <w:szCs w:val="20"/>
        </w:rPr>
        <w:t xml:space="preserve">Rec. </w:t>
      </w:r>
      <w:r w:rsidRPr="00C833E0">
        <w:rPr>
          <w:rFonts w:ascii="Cambria" w:eastAsia="Cambria" w:hAnsi="Cambria" w:cs="Cambria"/>
          <w:color w:val="231F20"/>
          <w:sz w:val="20"/>
          <w:szCs w:val="20"/>
        </w:rPr>
        <w:t xml:space="preserve">15-07); </w:t>
      </w:r>
    </w:p>
    <w:p w14:paraId="00000016" w14:textId="77777777" w:rsidR="00C21388" w:rsidRPr="00C833E0" w:rsidRDefault="00EB2CD8" w:rsidP="00F07A8F">
      <w:pPr>
        <w:spacing w:before="240" w:after="240"/>
        <w:ind w:firstLine="426"/>
        <w:jc w:val="both"/>
        <w:rPr>
          <w:rFonts w:ascii="Cambria" w:eastAsia="Cambria" w:hAnsi="Cambria" w:cs="Cambria"/>
          <w:color w:val="231F20"/>
          <w:sz w:val="20"/>
          <w:szCs w:val="20"/>
        </w:rPr>
      </w:pPr>
      <w:r w:rsidRPr="00C833E0">
        <w:rPr>
          <w:rFonts w:ascii="Cambria" w:eastAsia="Cambria" w:hAnsi="Cambria" w:cs="Cambria"/>
          <w:i/>
          <w:color w:val="231F20"/>
          <w:sz w:val="20"/>
          <w:szCs w:val="20"/>
        </w:rPr>
        <w:t xml:space="preserve">WELCOMING </w:t>
      </w:r>
      <w:r w:rsidRPr="00C833E0">
        <w:rPr>
          <w:rFonts w:ascii="Cambria" w:eastAsia="Cambria" w:hAnsi="Cambria" w:cs="Cambria"/>
          <w:color w:val="231F20"/>
          <w:sz w:val="20"/>
          <w:szCs w:val="20"/>
        </w:rPr>
        <w:t xml:space="preserve">the 2022 SCRS Bluefin Tuna Workplan, including several manager-scientist dialogue meetings with Panel 2, to ensure the MSE process can be completed on schedule and </w:t>
      </w:r>
      <w:r w:rsidRPr="00C833E0">
        <w:rPr>
          <w:rFonts w:ascii="Cambria" w:eastAsia="Cambria" w:hAnsi="Cambria" w:cs="Cambria"/>
          <w:color w:val="333333"/>
          <w:sz w:val="20"/>
          <w:szCs w:val="20"/>
        </w:rPr>
        <w:t>anticipating</w:t>
      </w:r>
      <w:r w:rsidRPr="00C833E0">
        <w:rPr>
          <w:rFonts w:ascii="Cambria" w:eastAsia="Cambria" w:hAnsi="Cambria" w:cs="Cambria"/>
          <w:color w:val="231F20"/>
          <w:sz w:val="20"/>
          <w:szCs w:val="20"/>
        </w:rPr>
        <w:t xml:space="preserve"> that the SCRS will complete the MSE, including providing Candidate Management Procedures to the Commission for consideration, in 2022, with a view to the adoption of a management procedure to set TACs for 2023 </w:t>
      </w:r>
      <w:proofErr w:type="gramStart"/>
      <w:r w:rsidRPr="00C833E0">
        <w:rPr>
          <w:rFonts w:ascii="Cambria" w:eastAsia="Cambria" w:hAnsi="Cambria" w:cs="Cambria"/>
          <w:color w:val="231F20"/>
          <w:sz w:val="20"/>
          <w:szCs w:val="20"/>
        </w:rPr>
        <w:t>onward;</w:t>
      </w:r>
      <w:proofErr w:type="gramEnd"/>
      <w:r w:rsidRPr="00C833E0">
        <w:rPr>
          <w:rFonts w:ascii="Cambria" w:eastAsia="Cambria" w:hAnsi="Cambria" w:cs="Cambria"/>
          <w:color w:val="231F20"/>
          <w:sz w:val="20"/>
          <w:szCs w:val="20"/>
        </w:rPr>
        <w:t xml:space="preserve"> </w:t>
      </w:r>
    </w:p>
    <w:p w14:paraId="00000019" w14:textId="3A5F78B9" w:rsidR="00C21388" w:rsidRPr="00C833E0" w:rsidRDefault="00EB2CD8" w:rsidP="00F07A8F">
      <w:pPr>
        <w:spacing w:before="240" w:after="240"/>
        <w:ind w:firstLine="426"/>
        <w:jc w:val="both"/>
        <w:rPr>
          <w:rFonts w:ascii="Times New Roman" w:eastAsia="Times New Roman" w:hAnsi="Times New Roman" w:cs="Times New Roman"/>
        </w:rPr>
      </w:pPr>
      <w:r w:rsidRPr="00C833E0">
        <w:rPr>
          <w:rFonts w:ascii="Cambria" w:eastAsia="Cambria" w:hAnsi="Cambria" w:cs="Cambria"/>
          <w:i/>
          <w:color w:val="333333"/>
          <w:sz w:val="20"/>
          <w:szCs w:val="20"/>
        </w:rPr>
        <w:t xml:space="preserve">COMMITTED </w:t>
      </w:r>
      <w:r w:rsidRPr="00C833E0">
        <w:rPr>
          <w:rFonts w:ascii="Cambria" w:eastAsia="Cambria" w:hAnsi="Cambria" w:cs="Cambria"/>
          <w:color w:val="333333"/>
          <w:sz w:val="20"/>
          <w:szCs w:val="20"/>
        </w:rPr>
        <w:t>in the interim, therefore, to the establishment of a precautionary TAC that prevents overfishing with a high probability</w:t>
      </w:r>
      <w:r w:rsidR="00570BBC" w:rsidRPr="00C833E0">
        <w:rPr>
          <w:rFonts w:ascii="Cambria" w:eastAsia="Cambria" w:hAnsi="Cambria" w:cs="Cambria"/>
          <w:color w:val="333333"/>
          <w:sz w:val="20"/>
          <w:szCs w:val="20"/>
        </w:rPr>
        <w:t>,</w:t>
      </w:r>
      <w:r w:rsidRPr="00C833E0">
        <w:rPr>
          <w:rFonts w:ascii="Cambria" w:eastAsia="Cambria" w:hAnsi="Cambria" w:cs="Cambria"/>
          <w:color w:val="333333"/>
          <w:sz w:val="20"/>
          <w:szCs w:val="20"/>
        </w:rPr>
        <w:t xml:space="preserve"> prioritizes continued stock growth, including into the long-term</w:t>
      </w:r>
      <w:r w:rsidR="00570BBC" w:rsidRPr="00C833E0">
        <w:rPr>
          <w:rFonts w:ascii="Cambria" w:eastAsia="Cambria" w:hAnsi="Cambria" w:cs="Cambria"/>
          <w:color w:val="333333"/>
          <w:sz w:val="20"/>
          <w:szCs w:val="20"/>
        </w:rPr>
        <w:t>,</w:t>
      </w:r>
      <w:r w:rsidRPr="00C833E0">
        <w:rPr>
          <w:rFonts w:ascii="Cambria" w:eastAsia="Cambria" w:hAnsi="Cambria" w:cs="Cambria"/>
          <w:color w:val="333333"/>
          <w:sz w:val="20"/>
          <w:szCs w:val="20"/>
        </w:rPr>
        <w:t xml:space="preserve"> and ensures relative stability by avoiding a large fluctuation in </w:t>
      </w:r>
      <w:proofErr w:type="gramStart"/>
      <w:r w:rsidRPr="00C833E0">
        <w:rPr>
          <w:rFonts w:ascii="Cambria" w:eastAsia="Cambria" w:hAnsi="Cambria" w:cs="Cambria"/>
          <w:color w:val="333333"/>
          <w:sz w:val="20"/>
          <w:szCs w:val="20"/>
        </w:rPr>
        <w:t>catches;</w:t>
      </w:r>
      <w:proofErr w:type="gramEnd"/>
      <w:r w:rsidRPr="00C833E0">
        <w:rPr>
          <w:rFonts w:ascii="Cambria" w:eastAsia="Cambria" w:hAnsi="Cambria" w:cs="Cambria"/>
          <w:color w:val="333333"/>
          <w:sz w:val="20"/>
          <w:szCs w:val="20"/>
        </w:rPr>
        <w:t xml:space="preserve"> </w:t>
      </w:r>
    </w:p>
    <w:p w14:paraId="553854CC" w14:textId="77777777" w:rsidR="00346912" w:rsidRPr="00C833E0" w:rsidRDefault="00346912">
      <w:pPr>
        <w:ind w:firstLine="720"/>
        <w:jc w:val="both"/>
        <w:rPr>
          <w:rFonts w:ascii="Cambria" w:eastAsia="Cambria" w:hAnsi="Cambria" w:cs="Cambria"/>
          <w:color w:val="231F20"/>
          <w:sz w:val="20"/>
          <w:szCs w:val="20"/>
        </w:rPr>
      </w:pPr>
    </w:p>
    <w:p w14:paraId="36FDBCC5" w14:textId="77777777" w:rsidR="007A38C3" w:rsidRPr="00C833E0" w:rsidRDefault="007A38C3">
      <w:pPr>
        <w:rPr>
          <w:rFonts w:ascii="Cambria" w:eastAsia="Cambria" w:hAnsi="Cambria" w:cs="Cambria"/>
          <w:color w:val="231F20"/>
          <w:sz w:val="20"/>
          <w:szCs w:val="20"/>
        </w:rPr>
      </w:pPr>
      <w:r w:rsidRPr="00C833E0">
        <w:rPr>
          <w:rFonts w:ascii="Cambria" w:eastAsia="Cambria" w:hAnsi="Cambria" w:cs="Cambria"/>
          <w:color w:val="231F20"/>
          <w:sz w:val="20"/>
          <w:szCs w:val="20"/>
        </w:rPr>
        <w:br w:type="page"/>
      </w:r>
    </w:p>
    <w:p w14:paraId="0000001B" w14:textId="5CB8C22A" w:rsidR="00C21388" w:rsidRPr="00C833E0" w:rsidRDefault="00EB2CD8">
      <w:pPr>
        <w:ind w:left="2092" w:right="1457" w:hanging="455"/>
        <w:rPr>
          <w:rFonts w:ascii="Cambria" w:eastAsia="Cambria" w:hAnsi="Cambria" w:cs="Cambria"/>
          <w:sz w:val="20"/>
          <w:szCs w:val="20"/>
        </w:rPr>
      </w:pPr>
      <w:r w:rsidRPr="00C833E0">
        <w:rPr>
          <w:rFonts w:ascii="Cambria" w:eastAsia="Cambria" w:hAnsi="Cambria" w:cs="Cambria"/>
          <w:color w:val="231F20"/>
          <w:sz w:val="20"/>
          <w:szCs w:val="20"/>
        </w:rPr>
        <w:lastRenderedPageBreak/>
        <w:t>THE INTERNATIONAL COMMISSION FOR THE CONSERVATION OF ATLANTIC TUNAS (ICCAT) RECOMMENDS THAT:</w:t>
      </w:r>
    </w:p>
    <w:p w14:paraId="0000001C" w14:textId="77777777" w:rsidR="00C21388" w:rsidRPr="00C833E0" w:rsidRDefault="00C21388">
      <w:pPr>
        <w:rPr>
          <w:rFonts w:ascii="Cambria" w:eastAsia="Cambria" w:hAnsi="Cambria" w:cs="Cambria"/>
          <w:sz w:val="20"/>
          <w:szCs w:val="20"/>
        </w:rPr>
      </w:pPr>
    </w:p>
    <w:p w14:paraId="0000001D" w14:textId="6C9E88A4" w:rsidR="00C21388" w:rsidRPr="00C833E0" w:rsidRDefault="00EB2CD8" w:rsidP="00BC3FEA">
      <w:pPr>
        <w:numPr>
          <w:ilvl w:val="0"/>
          <w:numId w:val="2"/>
        </w:numPr>
        <w:ind w:left="426" w:hanging="426"/>
        <w:jc w:val="both"/>
        <w:rPr>
          <w:rFonts w:ascii="Cambria" w:eastAsia="Cambria" w:hAnsi="Cambria" w:cs="Cambria"/>
          <w:sz w:val="20"/>
          <w:szCs w:val="20"/>
        </w:rPr>
      </w:pPr>
      <w:r w:rsidRPr="00C833E0">
        <w:rPr>
          <w:rFonts w:ascii="Cambria" w:eastAsia="Cambria" w:hAnsi="Cambria" w:cs="Cambria"/>
          <w:color w:val="211E1E"/>
          <w:sz w:val="20"/>
          <w:szCs w:val="20"/>
        </w:rPr>
        <w:t xml:space="preserve">The provisions in the </w:t>
      </w:r>
      <w:r w:rsidRPr="00C833E0">
        <w:rPr>
          <w:rFonts w:ascii="Cambria" w:eastAsia="Cambria" w:hAnsi="Cambria" w:cs="Cambria"/>
          <w:i/>
          <w:color w:val="211E1E"/>
          <w:sz w:val="20"/>
          <w:szCs w:val="20"/>
        </w:rPr>
        <w:t xml:space="preserve">Recommendation by ICCAT for an Interim Conservation and Management Plan for Western Atlantic Bluefin Tuna </w:t>
      </w:r>
      <w:r w:rsidRPr="00C833E0">
        <w:rPr>
          <w:rFonts w:ascii="Cambria" w:eastAsia="Cambria" w:hAnsi="Cambria" w:cs="Cambria"/>
          <w:color w:val="211E1E"/>
          <w:sz w:val="20"/>
          <w:szCs w:val="20"/>
        </w:rPr>
        <w:t>(Rec. 17-06) shall be extended through 2022 with the following amendments:</w:t>
      </w:r>
    </w:p>
    <w:p w14:paraId="0000001E" w14:textId="77777777" w:rsidR="00C21388" w:rsidRPr="00C833E0" w:rsidRDefault="00C21388">
      <w:pPr>
        <w:jc w:val="both"/>
        <w:rPr>
          <w:rFonts w:ascii="Cambria" w:eastAsia="Cambria" w:hAnsi="Cambria" w:cs="Cambria"/>
          <w:b/>
          <w:sz w:val="20"/>
          <w:szCs w:val="20"/>
        </w:rPr>
      </w:pPr>
    </w:p>
    <w:p w14:paraId="0000001F" w14:textId="2A152C6D" w:rsidR="00C21388" w:rsidRPr="00C833E0" w:rsidRDefault="00EB2CD8" w:rsidP="00932D1A">
      <w:pPr>
        <w:pStyle w:val="ListParagraph"/>
        <w:numPr>
          <w:ilvl w:val="0"/>
          <w:numId w:val="4"/>
        </w:numPr>
        <w:ind w:left="851" w:hanging="425"/>
        <w:jc w:val="both"/>
        <w:rPr>
          <w:rFonts w:ascii="Cambria" w:eastAsia="Cambria" w:hAnsi="Cambria" w:cs="Cambria"/>
          <w:sz w:val="20"/>
          <w:szCs w:val="20"/>
        </w:rPr>
      </w:pPr>
      <w:r w:rsidRPr="00C833E0">
        <w:rPr>
          <w:rFonts w:ascii="Cambria" w:eastAsia="Cambria" w:hAnsi="Cambria" w:cs="Cambria"/>
          <w:sz w:val="20"/>
          <w:szCs w:val="20"/>
        </w:rPr>
        <w:t>Paragraph 1 shall be replaced with:</w:t>
      </w:r>
    </w:p>
    <w:p w14:paraId="00000020" w14:textId="77777777" w:rsidR="00C21388" w:rsidRPr="00C833E0" w:rsidRDefault="00C21388">
      <w:pPr>
        <w:ind w:left="528"/>
        <w:jc w:val="both"/>
        <w:rPr>
          <w:rFonts w:ascii="Cambria" w:eastAsia="Cambria" w:hAnsi="Cambria" w:cs="Cambria"/>
          <w:sz w:val="20"/>
          <w:szCs w:val="20"/>
        </w:rPr>
      </w:pPr>
    </w:p>
    <w:p w14:paraId="00000021" w14:textId="034A33B0" w:rsidR="00C21388" w:rsidRPr="00C833E0" w:rsidRDefault="00EB2CD8" w:rsidP="00DA7C52">
      <w:pPr>
        <w:tabs>
          <w:tab w:val="left" w:pos="1276"/>
        </w:tabs>
        <w:ind w:left="1276" w:right="46" w:hanging="425"/>
        <w:jc w:val="both"/>
        <w:rPr>
          <w:rFonts w:ascii="Cambria" w:eastAsia="Cambria" w:hAnsi="Cambria" w:cs="Cambria"/>
          <w:color w:val="231F20"/>
          <w:sz w:val="20"/>
          <w:szCs w:val="20"/>
        </w:rPr>
      </w:pPr>
      <w:r w:rsidRPr="00C833E0">
        <w:rPr>
          <w:rFonts w:ascii="Cambria" w:eastAsia="Cambria" w:hAnsi="Cambria" w:cs="Cambria"/>
          <w:sz w:val="20"/>
          <w:szCs w:val="20"/>
        </w:rPr>
        <w:t>“1.</w:t>
      </w:r>
      <w:r w:rsidR="00A2400A" w:rsidRPr="00C833E0">
        <w:rPr>
          <w:rFonts w:ascii="Cambria" w:eastAsia="Cambria" w:hAnsi="Cambria" w:cs="Cambria"/>
          <w:sz w:val="20"/>
          <w:szCs w:val="20"/>
        </w:rPr>
        <w:tab/>
      </w:r>
      <w:r w:rsidRPr="00C833E0">
        <w:rPr>
          <w:rFonts w:ascii="Cambria" w:eastAsia="Cambria" w:hAnsi="Cambria" w:cs="Cambria"/>
          <w:color w:val="231F20"/>
          <w:sz w:val="20"/>
          <w:szCs w:val="20"/>
        </w:rPr>
        <w:t>Contracting Parties and Cooperating non-Contracting Parties, Entities and Fishing Entities (CPCs) whose vessels have been actively fishing for bluefin tuna in the western Atlantic shall implement the following interim conservation and management plan for the 2022 period.”</w:t>
      </w:r>
    </w:p>
    <w:p w14:paraId="00000022" w14:textId="77777777" w:rsidR="00C21388" w:rsidRPr="00C833E0" w:rsidRDefault="00C21388">
      <w:pPr>
        <w:jc w:val="both"/>
        <w:rPr>
          <w:rFonts w:ascii="Cambria" w:eastAsia="Cambria" w:hAnsi="Cambria" w:cs="Cambria"/>
          <w:color w:val="231F20"/>
          <w:sz w:val="20"/>
          <w:szCs w:val="20"/>
        </w:rPr>
      </w:pPr>
    </w:p>
    <w:p w14:paraId="00000023" w14:textId="3F785D0A" w:rsidR="00C21388" w:rsidRPr="00C833E0" w:rsidRDefault="00EB2CD8" w:rsidP="00932D1A">
      <w:pPr>
        <w:pStyle w:val="ListParagraph"/>
        <w:numPr>
          <w:ilvl w:val="0"/>
          <w:numId w:val="4"/>
        </w:numPr>
        <w:ind w:left="851" w:hanging="425"/>
        <w:jc w:val="both"/>
        <w:rPr>
          <w:rFonts w:ascii="Cambria" w:eastAsia="Cambria" w:hAnsi="Cambria" w:cs="Cambria"/>
          <w:color w:val="231F20"/>
          <w:sz w:val="20"/>
          <w:szCs w:val="20"/>
        </w:rPr>
      </w:pPr>
      <w:r w:rsidRPr="00C833E0">
        <w:rPr>
          <w:rFonts w:ascii="Cambria" w:eastAsia="Cambria" w:hAnsi="Cambria" w:cs="Cambria"/>
          <w:color w:val="231F20"/>
          <w:sz w:val="20"/>
          <w:szCs w:val="20"/>
        </w:rPr>
        <w:t>Paragraph 3 shall be replaced with:</w:t>
      </w:r>
    </w:p>
    <w:p w14:paraId="00000024" w14:textId="77777777" w:rsidR="00C21388" w:rsidRPr="00C833E0" w:rsidRDefault="00C21388">
      <w:pPr>
        <w:ind w:left="527"/>
        <w:jc w:val="both"/>
        <w:rPr>
          <w:rFonts w:ascii="Cambria" w:eastAsia="Cambria" w:hAnsi="Cambria" w:cs="Cambria"/>
          <w:color w:val="231F20"/>
          <w:sz w:val="20"/>
          <w:szCs w:val="20"/>
        </w:rPr>
      </w:pPr>
    </w:p>
    <w:p w14:paraId="00000025" w14:textId="62B84600" w:rsidR="00C21388" w:rsidRPr="00C833E0" w:rsidRDefault="00EB2CD8" w:rsidP="00FC1842">
      <w:pPr>
        <w:tabs>
          <w:tab w:val="left" w:pos="1276"/>
        </w:tabs>
        <w:ind w:left="1276" w:right="46" w:hanging="425"/>
        <w:jc w:val="both"/>
        <w:rPr>
          <w:rFonts w:ascii="Cambria" w:eastAsia="Cambria" w:hAnsi="Cambria" w:cs="Cambria"/>
          <w:sz w:val="20"/>
          <w:szCs w:val="20"/>
        </w:rPr>
      </w:pPr>
      <w:r w:rsidRPr="00C833E0">
        <w:rPr>
          <w:rFonts w:ascii="Cambria" w:eastAsia="Cambria" w:hAnsi="Cambria" w:cs="Cambria"/>
          <w:color w:val="231F20"/>
          <w:sz w:val="20"/>
          <w:szCs w:val="20"/>
        </w:rPr>
        <w:t>“3.</w:t>
      </w:r>
      <w:r w:rsidR="00AA6726" w:rsidRPr="00C833E0">
        <w:rPr>
          <w:rFonts w:ascii="Cambria" w:eastAsia="Cambria" w:hAnsi="Cambria" w:cs="Cambria"/>
          <w:color w:val="231F20"/>
          <w:sz w:val="20"/>
          <w:szCs w:val="20"/>
        </w:rPr>
        <w:tab/>
      </w:r>
      <w:r w:rsidRPr="00C833E0">
        <w:rPr>
          <w:rFonts w:ascii="Cambria" w:eastAsia="Cambria" w:hAnsi="Cambria" w:cs="Cambria"/>
          <w:color w:val="231F20"/>
          <w:sz w:val="20"/>
          <w:szCs w:val="20"/>
        </w:rPr>
        <w:t xml:space="preserve">The annual total allowable catch (TAC), inclusive of dead discards, of </w:t>
      </w:r>
      <w:r w:rsidR="008C1C17" w:rsidRPr="00C833E0">
        <w:rPr>
          <w:rFonts w:ascii="Cambria" w:eastAsia="Cambria" w:hAnsi="Cambria" w:cs="Cambria"/>
          <w:color w:val="231F20"/>
          <w:sz w:val="20"/>
          <w:szCs w:val="20"/>
        </w:rPr>
        <w:t>2,726</w:t>
      </w:r>
      <w:r w:rsidRPr="00C833E0">
        <w:rPr>
          <w:rFonts w:ascii="Cambria" w:eastAsia="Cambria" w:hAnsi="Cambria" w:cs="Cambria"/>
          <w:color w:val="231F20"/>
          <w:sz w:val="20"/>
          <w:szCs w:val="20"/>
        </w:rPr>
        <w:t xml:space="preserve"> t is established for 2022.” </w:t>
      </w:r>
    </w:p>
    <w:p w14:paraId="00000026" w14:textId="77777777" w:rsidR="00C21388" w:rsidRPr="00C833E0" w:rsidRDefault="00C21388">
      <w:pPr>
        <w:tabs>
          <w:tab w:val="left" w:pos="530"/>
        </w:tabs>
        <w:jc w:val="both"/>
        <w:rPr>
          <w:rFonts w:ascii="Cambria" w:eastAsia="Cambria" w:hAnsi="Cambria" w:cs="Cambria"/>
          <w:color w:val="231F20"/>
          <w:sz w:val="20"/>
          <w:szCs w:val="20"/>
        </w:rPr>
      </w:pPr>
    </w:p>
    <w:p w14:paraId="00000027" w14:textId="6BED5655" w:rsidR="00C21388" w:rsidRPr="00C833E0" w:rsidRDefault="00EB2CD8" w:rsidP="00932D1A">
      <w:pPr>
        <w:pStyle w:val="ListParagraph"/>
        <w:numPr>
          <w:ilvl w:val="0"/>
          <w:numId w:val="4"/>
        </w:numPr>
        <w:ind w:left="851" w:hanging="425"/>
        <w:jc w:val="both"/>
        <w:rPr>
          <w:rFonts w:ascii="Cambria" w:eastAsia="Cambria" w:hAnsi="Cambria" w:cs="Cambria"/>
          <w:color w:val="231F20"/>
          <w:sz w:val="20"/>
          <w:szCs w:val="20"/>
        </w:rPr>
      </w:pPr>
      <w:r w:rsidRPr="00C833E0">
        <w:rPr>
          <w:rFonts w:ascii="Cambria" w:eastAsia="Cambria" w:hAnsi="Cambria" w:cs="Cambria"/>
          <w:color w:val="231F20"/>
          <w:sz w:val="20"/>
          <w:szCs w:val="20"/>
        </w:rPr>
        <w:t>Paragraph 4 shall be replaced with:</w:t>
      </w:r>
    </w:p>
    <w:p w14:paraId="00000028" w14:textId="77777777" w:rsidR="00C21388" w:rsidRPr="00C833E0" w:rsidRDefault="00C21388">
      <w:pPr>
        <w:ind w:left="141"/>
        <w:jc w:val="both"/>
        <w:rPr>
          <w:rFonts w:ascii="Cambria" w:eastAsia="Cambria" w:hAnsi="Cambria" w:cs="Cambria"/>
          <w:color w:val="231F20"/>
          <w:sz w:val="20"/>
          <w:szCs w:val="20"/>
        </w:rPr>
      </w:pPr>
    </w:p>
    <w:p w14:paraId="00000029" w14:textId="6C8D1524" w:rsidR="00C21388" w:rsidRPr="00C833E0" w:rsidRDefault="00EB2CD8" w:rsidP="00FC1842">
      <w:pPr>
        <w:tabs>
          <w:tab w:val="left" w:pos="1276"/>
        </w:tabs>
        <w:ind w:left="1276" w:right="46" w:hanging="425"/>
        <w:jc w:val="both"/>
        <w:rPr>
          <w:rFonts w:ascii="Cambria" w:eastAsia="Cambria" w:hAnsi="Cambria" w:cs="Cambria"/>
          <w:sz w:val="20"/>
          <w:szCs w:val="20"/>
        </w:rPr>
      </w:pPr>
      <w:r w:rsidRPr="00C833E0">
        <w:rPr>
          <w:rFonts w:ascii="Cambria" w:eastAsia="Cambria" w:hAnsi="Cambria" w:cs="Cambria"/>
          <w:color w:val="231F20"/>
          <w:sz w:val="20"/>
          <w:szCs w:val="20"/>
        </w:rPr>
        <w:t>“4.</w:t>
      </w:r>
      <w:r w:rsidR="00AA6726" w:rsidRPr="00C833E0">
        <w:rPr>
          <w:rFonts w:ascii="Cambria" w:eastAsia="Cambria" w:hAnsi="Cambria" w:cs="Cambria"/>
          <w:color w:val="231F20"/>
          <w:sz w:val="20"/>
          <w:szCs w:val="20"/>
        </w:rPr>
        <w:tab/>
      </w:r>
      <w:r w:rsidRPr="00C833E0">
        <w:rPr>
          <w:rFonts w:ascii="Cambria" w:eastAsia="Cambria" w:hAnsi="Cambria" w:cs="Cambria"/>
          <w:color w:val="231F20"/>
          <w:sz w:val="20"/>
          <w:szCs w:val="20"/>
        </w:rPr>
        <w:t xml:space="preserve">Should the MSE process not be completed </w:t>
      </w:r>
      <w:proofErr w:type="gramStart"/>
      <w:r w:rsidRPr="00C833E0">
        <w:rPr>
          <w:rFonts w:ascii="Cambria" w:eastAsia="Cambria" w:hAnsi="Cambria" w:cs="Cambria"/>
          <w:color w:val="231F20"/>
          <w:sz w:val="20"/>
          <w:szCs w:val="20"/>
        </w:rPr>
        <w:t>in order to</w:t>
      </w:r>
      <w:proofErr w:type="gramEnd"/>
      <w:r w:rsidRPr="00C833E0">
        <w:rPr>
          <w:rFonts w:ascii="Cambria" w:eastAsia="Cambria" w:hAnsi="Cambria" w:cs="Cambria"/>
          <w:color w:val="231F20"/>
          <w:sz w:val="20"/>
          <w:szCs w:val="20"/>
        </w:rPr>
        <w:t xml:space="preserve"> allow adoption of a </w:t>
      </w:r>
      <w:r w:rsidR="008819A6" w:rsidRPr="00C833E0">
        <w:rPr>
          <w:rFonts w:ascii="Cambria" w:eastAsia="Cambria" w:hAnsi="Cambria" w:cs="Cambria"/>
          <w:color w:val="231F20"/>
          <w:sz w:val="20"/>
          <w:szCs w:val="20"/>
        </w:rPr>
        <w:t>management procedure (</w:t>
      </w:r>
      <w:r w:rsidRPr="00C833E0">
        <w:rPr>
          <w:rFonts w:ascii="Cambria" w:eastAsia="Cambria" w:hAnsi="Cambria" w:cs="Cambria"/>
          <w:color w:val="231F20"/>
          <w:sz w:val="20"/>
          <w:szCs w:val="20"/>
        </w:rPr>
        <w:t>MP</w:t>
      </w:r>
      <w:r w:rsidR="008819A6" w:rsidRPr="00C833E0">
        <w:rPr>
          <w:rFonts w:ascii="Cambria" w:eastAsia="Cambria" w:hAnsi="Cambria" w:cs="Cambria"/>
          <w:color w:val="231F20"/>
          <w:sz w:val="20"/>
          <w:szCs w:val="20"/>
        </w:rPr>
        <w:t>)</w:t>
      </w:r>
      <w:r w:rsidRPr="00C833E0">
        <w:rPr>
          <w:rFonts w:ascii="Cambria" w:eastAsia="Cambria" w:hAnsi="Cambria" w:cs="Cambria"/>
          <w:color w:val="231F20"/>
          <w:sz w:val="20"/>
          <w:szCs w:val="20"/>
        </w:rPr>
        <w:t xml:space="preserve"> in 2022, the Commission shall establish a TAC for 2023 taking into account </w:t>
      </w:r>
      <w:r w:rsidR="008819A6" w:rsidRPr="00C833E0">
        <w:rPr>
          <w:rFonts w:ascii="Cambria" w:eastAsia="Cambria" w:hAnsi="Cambria" w:cs="Cambria"/>
          <w:color w:val="231F20"/>
          <w:sz w:val="20"/>
          <w:szCs w:val="20"/>
        </w:rPr>
        <w:t xml:space="preserve">additional SCRS </w:t>
      </w:r>
      <w:r w:rsidRPr="00C833E0">
        <w:rPr>
          <w:rFonts w:ascii="Cambria" w:eastAsia="Cambria" w:hAnsi="Cambria" w:cs="Cambria"/>
          <w:color w:val="231F20"/>
          <w:sz w:val="20"/>
          <w:szCs w:val="20"/>
        </w:rPr>
        <w:t>advice</w:t>
      </w:r>
      <w:r w:rsidR="00502A17" w:rsidRPr="00C833E0">
        <w:rPr>
          <w:rFonts w:ascii="Cambria" w:eastAsia="Cambria" w:hAnsi="Cambria" w:cs="Cambria"/>
          <w:color w:val="231F20"/>
          <w:sz w:val="20"/>
          <w:szCs w:val="20"/>
        </w:rPr>
        <w:t xml:space="preserve"> in 2022</w:t>
      </w:r>
      <w:r w:rsidRPr="00C833E0">
        <w:rPr>
          <w:rFonts w:ascii="Cambria" w:eastAsia="Cambria" w:hAnsi="Cambria" w:cs="Cambria"/>
          <w:color w:val="231F20"/>
          <w:sz w:val="20"/>
          <w:szCs w:val="20"/>
        </w:rPr>
        <w:t xml:space="preserve">, which would </w:t>
      </w:r>
      <w:r w:rsidR="008819A6" w:rsidRPr="00C833E0">
        <w:rPr>
          <w:rFonts w:ascii="Cambria" w:eastAsia="Cambria" w:hAnsi="Cambria" w:cs="Cambria"/>
          <w:color w:val="231F20"/>
          <w:sz w:val="20"/>
          <w:szCs w:val="20"/>
        </w:rPr>
        <w:t>include</w:t>
      </w:r>
      <w:r w:rsidRPr="00C833E0">
        <w:rPr>
          <w:rFonts w:ascii="Cambria" w:eastAsia="Cambria" w:hAnsi="Cambria" w:cs="Cambria"/>
          <w:color w:val="231F20"/>
          <w:sz w:val="20"/>
          <w:szCs w:val="20"/>
        </w:rPr>
        <w:t xml:space="preserve"> consideration of updates of the fishery indicators. In support of the development of this advice, CPCs shall make special efforts, </w:t>
      </w:r>
      <w:r w:rsidRPr="00C833E0">
        <w:rPr>
          <w:rFonts w:ascii="Cambria" w:eastAsia="Cambria" w:hAnsi="Cambria" w:cs="Cambria"/>
          <w:i/>
          <w:color w:val="231F20"/>
          <w:sz w:val="20"/>
          <w:szCs w:val="20"/>
        </w:rPr>
        <w:t>inter alia</w:t>
      </w:r>
      <w:r w:rsidRPr="00C833E0">
        <w:rPr>
          <w:rFonts w:ascii="Cambria" w:eastAsia="Cambria" w:hAnsi="Cambria" w:cs="Cambria"/>
          <w:color w:val="231F20"/>
          <w:sz w:val="20"/>
          <w:szCs w:val="20"/>
        </w:rPr>
        <w:t>, to update abundance indices and other fishery indicators in 2022 and provide them to the SCRS.”</w:t>
      </w:r>
    </w:p>
    <w:p w14:paraId="0000002A" w14:textId="77777777" w:rsidR="00C21388" w:rsidRPr="00C833E0" w:rsidRDefault="00C21388">
      <w:pPr>
        <w:tabs>
          <w:tab w:val="left" w:pos="530"/>
        </w:tabs>
        <w:ind w:right="46"/>
        <w:jc w:val="both"/>
        <w:rPr>
          <w:rFonts w:ascii="Cambria" w:eastAsia="Cambria" w:hAnsi="Cambria" w:cs="Cambria"/>
          <w:sz w:val="20"/>
          <w:szCs w:val="20"/>
        </w:rPr>
      </w:pPr>
    </w:p>
    <w:p w14:paraId="0000002B" w14:textId="6952FAF2" w:rsidR="00C21388" w:rsidRPr="00C833E0" w:rsidRDefault="00EB2CD8" w:rsidP="00932D1A">
      <w:pPr>
        <w:pStyle w:val="ListParagraph"/>
        <w:numPr>
          <w:ilvl w:val="0"/>
          <w:numId w:val="4"/>
        </w:numPr>
        <w:ind w:left="851" w:hanging="425"/>
        <w:jc w:val="both"/>
        <w:rPr>
          <w:rFonts w:ascii="Cambria" w:eastAsia="Cambria" w:hAnsi="Cambria" w:cs="Cambria"/>
          <w:sz w:val="20"/>
          <w:szCs w:val="20"/>
        </w:rPr>
      </w:pPr>
      <w:r w:rsidRPr="00C833E0">
        <w:rPr>
          <w:rFonts w:ascii="Cambria" w:eastAsia="Cambria" w:hAnsi="Cambria" w:cs="Cambria"/>
          <w:sz w:val="20"/>
          <w:szCs w:val="20"/>
        </w:rPr>
        <w:t>Paragraph 6 shall be replaced with:</w:t>
      </w:r>
    </w:p>
    <w:p w14:paraId="0000002C" w14:textId="77777777" w:rsidR="00C21388" w:rsidRPr="00C833E0" w:rsidRDefault="00C21388">
      <w:pPr>
        <w:tabs>
          <w:tab w:val="left" w:pos="530"/>
        </w:tabs>
        <w:ind w:left="528"/>
        <w:jc w:val="both"/>
        <w:rPr>
          <w:rFonts w:ascii="Cambria" w:eastAsia="Cambria" w:hAnsi="Cambria" w:cs="Cambria"/>
          <w:sz w:val="20"/>
          <w:szCs w:val="20"/>
        </w:rPr>
      </w:pPr>
    </w:p>
    <w:p w14:paraId="0000002D" w14:textId="1A3E458E" w:rsidR="00C21388" w:rsidRPr="00C833E0" w:rsidRDefault="00EB2CD8" w:rsidP="00FC1842">
      <w:pPr>
        <w:tabs>
          <w:tab w:val="left" w:pos="851"/>
          <w:tab w:val="left" w:pos="993"/>
        </w:tabs>
        <w:ind w:left="1276" w:hanging="425"/>
        <w:jc w:val="both"/>
        <w:rPr>
          <w:rFonts w:ascii="Cambria" w:eastAsia="Cambria" w:hAnsi="Cambria" w:cs="Cambria"/>
          <w:sz w:val="20"/>
          <w:szCs w:val="20"/>
        </w:rPr>
      </w:pPr>
      <w:r w:rsidRPr="00C833E0">
        <w:rPr>
          <w:rFonts w:ascii="Cambria" w:eastAsia="Cambria" w:hAnsi="Cambria" w:cs="Cambria"/>
          <w:sz w:val="20"/>
          <w:szCs w:val="20"/>
        </w:rPr>
        <w:t>“6.</w:t>
      </w:r>
      <w:r w:rsidR="00877B48" w:rsidRPr="00C833E0">
        <w:rPr>
          <w:rFonts w:ascii="Cambria" w:eastAsia="Cambria" w:hAnsi="Cambria" w:cs="Cambria"/>
          <w:sz w:val="20"/>
          <w:szCs w:val="20"/>
        </w:rPr>
        <w:tab/>
      </w:r>
      <w:r w:rsidRPr="00C833E0">
        <w:rPr>
          <w:rFonts w:ascii="Cambria" w:eastAsia="Cambria" w:hAnsi="Cambria" w:cs="Cambria"/>
          <w:sz w:val="20"/>
          <w:szCs w:val="20"/>
        </w:rPr>
        <w:t>T</w:t>
      </w:r>
      <w:r w:rsidRPr="00C833E0">
        <w:rPr>
          <w:rFonts w:ascii="Cambria" w:eastAsia="Cambria" w:hAnsi="Cambria" w:cs="Cambria"/>
          <w:color w:val="231F20"/>
          <w:sz w:val="20"/>
          <w:szCs w:val="20"/>
        </w:rPr>
        <w:t>he allocation of the annual TAC, inclusive of dead discards, will be indicated as follows:</w:t>
      </w:r>
    </w:p>
    <w:p w14:paraId="0000002E" w14:textId="77777777" w:rsidR="00C21388" w:rsidRPr="00C833E0" w:rsidRDefault="00C21388" w:rsidP="00FC1842">
      <w:pPr>
        <w:pBdr>
          <w:top w:val="nil"/>
          <w:left w:val="nil"/>
          <w:bottom w:val="nil"/>
          <w:right w:val="nil"/>
          <w:between w:val="nil"/>
        </w:pBdr>
        <w:ind w:left="720"/>
        <w:jc w:val="both"/>
        <w:rPr>
          <w:rFonts w:ascii="Cambria" w:eastAsia="Cambria" w:hAnsi="Cambria" w:cs="Cambria"/>
          <w:color w:val="000000"/>
          <w:sz w:val="20"/>
          <w:szCs w:val="20"/>
        </w:rPr>
      </w:pPr>
    </w:p>
    <w:p w14:paraId="0000002F" w14:textId="77777777" w:rsidR="00C21388" w:rsidRPr="00C833E0" w:rsidRDefault="00EB2CD8" w:rsidP="00FC1842">
      <w:pPr>
        <w:numPr>
          <w:ilvl w:val="1"/>
          <w:numId w:val="1"/>
        </w:numPr>
        <w:tabs>
          <w:tab w:val="left" w:pos="1701"/>
        </w:tabs>
        <w:ind w:left="1276" w:firstLine="0"/>
        <w:jc w:val="both"/>
        <w:rPr>
          <w:rFonts w:ascii="Cambria" w:eastAsia="Cambria" w:hAnsi="Cambria" w:cs="Cambria"/>
          <w:sz w:val="20"/>
          <w:szCs w:val="20"/>
        </w:rPr>
      </w:pPr>
      <w:r w:rsidRPr="00C833E0">
        <w:rPr>
          <w:rFonts w:ascii="Cambria" w:eastAsia="Cambria" w:hAnsi="Cambria" w:cs="Cambria"/>
          <w:color w:val="231F20"/>
          <w:sz w:val="20"/>
          <w:szCs w:val="20"/>
        </w:rPr>
        <w:t>The annual TAC shall include the following allocations:</w:t>
      </w:r>
    </w:p>
    <w:p w14:paraId="00000030" w14:textId="77777777" w:rsidR="00C21388" w:rsidRPr="00C833E0" w:rsidRDefault="00C21388">
      <w:pPr>
        <w:spacing w:before="11"/>
        <w:rPr>
          <w:rFonts w:ascii="Cambria" w:eastAsia="Cambria" w:hAnsi="Cambria" w:cs="Cambria"/>
          <w:sz w:val="20"/>
          <w:szCs w:val="20"/>
        </w:rPr>
      </w:pPr>
    </w:p>
    <w:tbl>
      <w:tblPr>
        <w:tblStyle w:val="a3"/>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6"/>
        <w:gridCol w:w="1134"/>
      </w:tblGrid>
      <w:tr w:rsidR="00C21388" w:rsidRPr="00C833E0" w14:paraId="4666721B" w14:textId="77777777">
        <w:trPr>
          <w:trHeight w:val="380"/>
        </w:trPr>
        <w:tc>
          <w:tcPr>
            <w:tcW w:w="7796" w:type="dxa"/>
            <w:tcBorders>
              <w:top w:val="single" w:sz="4" w:space="0" w:color="000000"/>
              <w:bottom w:val="single" w:sz="4" w:space="0" w:color="000000"/>
              <w:right w:val="single" w:sz="4" w:space="0" w:color="000000"/>
            </w:tcBorders>
          </w:tcPr>
          <w:p w14:paraId="00000031" w14:textId="77777777" w:rsidR="00C21388" w:rsidRPr="00C833E0" w:rsidRDefault="00EB2CD8">
            <w:pPr>
              <w:spacing w:before="72"/>
              <w:ind w:left="396"/>
              <w:jc w:val="center"/>
              <w:rPr>
                <w:rFonts w:ascii="Cambria" w:eastAsia="Cambria" w:hAnsi="Cambria" w:cs="Cambria"/>
                <w:sz w:val="20"/>
                <w:szCs w:val="20"/>
              </w:rPr>
            </w:pPr>
            <w:r w:rsidRPr="00C833E0">
              <w:rPr>
                <w:rFonts w:ascii="Cambria" w:eastAsia="Cambria" w:hAnsi="Cambria" w:cs="Cambria"/>
                <w:i/>
                <w:color w:val="231F20"/>
                <w:sz w:val="20"/>
                <w:szCs w:val="20"/>
              </w:rPr>
              <w:t>CPC</w:t>
            </w:r>
          </w:p>
        </w:tc>
        <w:tc>
          <w:tcPr>
            <w:tcW w:w="1134" w:type="dxa"/>
            <w:tcBorders>
              <w:top w:val="single" w:sz="4" w:space="0" w:color="000000"/>
              <w:left w:val="single" w:sz="4" w:space="0" w:color="000000"/>
              <w:bottom w:val="single" w:sz="4" w:space="0" w:color="000000"/>
            </w:tcBorders>
          </w:tcPr>
          <w:p w14:paraId="00000032" w14:textId="77777777" w:rsidR="00C21388" w:rsidRPr="00C833E0" w:rsidRDefault="00EB2CD8">
            <w:pPr>
              <w:spacing w:before="72"/>
              <w:ind w:left="145"/>
              <w:rPr>
                <w:rFonts w:ascii="Cambria" w:eastAsia="Cambria" w:hAnsi="Cambria" w:cs="Cambria"/>
                <w:sz w:val="20"/>
                <w:szCs w:val="20"/>
              </w:rPr>
            </w:pPr>
            <w:r w:rsidRPr="00C833E0">
              <w:rPr>
                <w:rFonts w:ascii="Cambria" w:eastAsia="Cambria" w:hAnsi="Cambria" w:cs="Cambria"/>
                <w:i/>
                <w:color w:val="231F20"/>
                <w:sz w:val="20"/>
                <w:szCs w:val="20"/>
              </w:rPr>
              <w:t>Allocation</w:t>
            </w:r>
          </w:p>
        </w:tc>
      </w:tr>
      <w:tr w:rsidR="00C21388" w:rsidRPr="00C833E0" w14:paraId="63344DB3" w14:textId="77777777">
        <w:trPr>
          <w:trHeight w:val="380"/>
        </w:trPr>
        <w:tc>
          <w:tcPr>
            <w:tcW w:w="7796" w:type="dxa"/>
            <w:tcBorders>
              <w:top w:val="single" w:sz="4" w:space="0" w:color="000000"/>
              <w:right w:val="single" w:sz="4" w:space="0" w:color="000000"/>
            </w:tcBorders>
          </w:tcPr>
          <w:p w14:paraId="00000033" w14:textId="277652E2" w:rsidR="00C21388" w:rsidRPr="00C833E0" w:rsidRDefault="00EB2CD8">
            <w:pPr>
              <w:spacing w:before="151"/>
              <w:ind w:left="94"/>
              <w:rPr>
                <w:rFonts w:ascii="Cambria" w:eastAsia="Cambria" w:hAnsi="Cambria" w:cs="Cambria"/>
                <w:sz w:val="20"/>
                <w:szCs w:val="20"/>
              </w:rPr>
            </w:pPr>
            <w:r w:rsidRPr="00C833E0">
              <w:rPr>
                <w:rFonts w:ascii="Cambria" w:eastAsia="Cambria" w:hAnsi="Cambria" w:cs="Cambria"/>
                <w:color w:val="231F20"/>
                <w:sz w:val="20"/>
                <w:szCs w:val="20"/>
              </w:rPr>
              <w:t>USA (bycatch related to longline fisheries in vicinity of management area boundary)</w:t>
            </w:r>
          </w:p>
        </w:tc>
        <w:tc>
          <w:tcPr>
            <w:tcW w:w="1134" w:type="dxa"/>
            <w:tcBorders>
              <w:top w:val="single" w:sz="4" w:space="0" w:color="000000"/>
              <w:left w:val="single" w:sz="4" w:space="0" w:color="000000"/>
            </w:tcBorders>
          </w:tcPr>
          <w:p w14:paraId="00000034" w14:textId="77777777" w:rsidR="00C21388" w:rsidRPr="00C833E0" w:rsidRDefault="00EB2CD8">
            <w:pPr>
              <w:spacing w:before="151"/>
              <w:jc w:val="center"/>
              <w:rPr>
                <w:rFonts w:ascii="Cambria" w:eastAsia="Cambria" w:hAnsi="Cambria" w:cs="Cambria"/>
                <w:sz w:val="20"/>
                <w:szCs w:val="20"/>
              </w:rPr>
            </w:pPr>
            <w:r w:rsidRPr="00C833E0">
              <w:rPr>
                <w:rFonts w:ascii="Cambria" w:eastAsia="Cambria" w:hAnsi="Cambria" w:cs="Cambria"/>
                <w:color w:val="231F20"/>
                <w:sz w:val="20"/>
                <w:szCs w:val="20"/>
              </w:rPr>
              <w:t>25 t</w:t>
            </w:r>
          </w:p>
        </w:tc>
      </w:tr>
      <w:tr w:rsidR="00C21388" w:rsidRPr="00C833E0" w14:paraId="6895A856" w14:textId="77777777">
        <w:trPr>
          <w:trHeight w:val="380"/>
        </w:trPr>
        <w:tc>
          <w:tcPr>
            <w:tcW w:w="7796" w:type="dxa"/>
            <w:tcBorders>
              <w:bottom w:val="single" w:sz="4" w:space="0" w:color="000000"/>
              <w:right w:val="single" w:sz="4" w:space="0" w:color="000000"/>
            </w:tcBorders>
          </w:tcPr>
          <w:p w14:paraId="00000035" w14:textId="01566EC3" w:rsidR="00C21388" w:rsidRPr="00C833E0" w:rsidRDefault="00EB2CD8">
            <w:pPr>
              <w:spacing w:before="151"/>
              <w:ind w:left="94"/>
              <w:rPr>
                <w:rFonts w:ascii="Cambria" w:eastAsia="Cambria" w:hAnsi="Cambria" w:cs="Cambria"/>
                <w:sz w:val="20"/>
                <w:szCs w:val="20"/>
              </w:rPr>
            </w:pPr>
            <w:r w:rsidRPr="00C833E0">
              <w:rPr>
                <w:rFonts w:ascii="Cambria" w:eastAsia="Cambria" w:hAnsi="Cambria" w:cs="Cambria"/>
                <w:color w:val="231F20"/>
                <w:sz w:val="20"/>
                <w:szCs w:val="20"/>
              </w:rPr>
              <w:t>Canada (bycatch related to longline fisheries in vicinity of management area boundary)</w:t>
            </w:r>
          </w:p>
        </w:tc>
        <w:tc>
          <w:tcPr>
            <w:tcW w:w="1134" w:type="dxa"/>
            <w:tcBorders>
              <w:left w:val="single" w:sz="4" w:space="0" w:color="000000"/>
            </w:tcBorders>
          </w:tcPr>
          <w:p w14:paraId="00000036" w14:textId="77777777" w:rsidR="00C21388" w:rsidRPr="00C833E0" w:rsidRDefault="00EB2CD8">
            <w:pPr>
              <w:spacing w:before="151"/>
              <w:jc w:val="center"/>
              <w:rPr>
                <w:rFonts w:ascii="Cambria" w:eastAsia="Cambria" w:hAnsi="Cambria" w:cs="Cambria"/>
                <w:sz w:val="20"/>
                <w:szCs w:val="20"/>
              </w:rPr>
            </w:pPr>
            <w:r w:rsidRPr="00C833E0">
              <w:rPr>
                <w:rFonts w:ascii="Cambria" w:eastAsia="Cambria" w:hAnsi="Cambria" w:cs="Cambria"/>
                <w:color w:val="231F20"/>
                <w:sz w:val="20"/>
                <w:szCs w:val="20"/>
              </w:rPr>
              <w:t>15 t</w:t>
            </w:r>
          </w:p>
        </w:tc>
      </w:tr>
    </w:tbl>
    <w:p w14:paraId="00000037" w14:textId="77777777" w:rsidR="00C21388" w:rsidRPr="00C833E0" w:rsidRDefault="00C21388">
      <w:pPr>
        <w:tabs>
          <w:tab w:val="left" w:pos="798"/>
        </w:tabs>
        <w:ind w:right="135"/>
        <w:rPr>
          <w:rFonts w:ascii="Cambria" w:eastAsia="Cambria" w:hAnsi="Cambria" w:cs="Cambria"/>
          <w:color w:val="231F20"/>
          <w:sz w:val="20"/>
          <w:szCs w:val="20"/>
        </w:rPr>
      </w:pPr>
    </w:p>
    <w:p w14:paraId="00000039" w14:textId="16331953" w:rsidR="00C21388" w:rsidRPr="00C833E0" w:rsidRDefault="00EB2CD8" w:rsidP="00FC1842">
      <w:pPr>
        <w:numPr>
          <w:ilvl w:val="1"/>
          <w:numId w:val="1"/>
        </w:numPr>
        <w:tabs>
          <w:tab w:val="left" w:pos="1701"/>
        </w:tabs>
        <w:ind w:left="1701" w:hanging="425"/>
        <w:jc w:val="both"/>
        <w:rPr>
          <w:rFonts w:ascii="Cambria" w:eastAsia="Cambria" w:hAnsi="Cambria" w:cs="Cambria"/>
          <w:color w:val="231F20"/>
          <w:sz w:val="20"/>
          <w:szCs w:val="20"/>
        </w:rPr>
      </w:pPr>
      <w:r w:rsidRPr="00C833E0">
        <w:rPr>
          <w:rFonts w:ascii="Cambria" w:eastAsia="Cambria" w:hAnsi="Cambria" w:cs="Cambria"/>
          <w:color w:val="231F20"/>
          <w:sz w:val="20"/>
          <w:szCs w:val="20"/>
        </w:rPr>
        <w:t>After subtracting the amounts under paragraph 6(a), the remainder of the annual TAC will be allocated as follows:</w:t>
      </w:r>
    </w:p>
    <w:p w14:paraId="0000003A" w14:textId="77777777" w:rsidR="00C21388" w:rsidRPr="00C833E0" w:rsidRDefault="00C21388">
      <w:pPr>
        <w:spacing w:before="11"/>
        <w:rPr>
          <w:rFonts w:ascii="Cambria" w:eastAsia="Cambria" w:hAnsi="Cambria" w:cs="Cambria"/>
          <w:sz w:val="20"/>
          <w:szCs w:val="20"/>
        </w:rPr>
      </w:pPr>
    </w:p>
    <w:tbl>
      <w:tblPr>
        <w:tblStyle w:val="a4"/>
        <w:tblW w:w="9066"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8"/>
        <w:gridCol w:w="1560"/>
        <w:gridCol w:w="1701"/>
        <w:gridCol w:w="2268"/>
        <w:gridCol w:w="1559"/>
      </w:tblGrid>
      <w:tr w:rsidR="00C21388" w:rsidRPr="00C833E0" w14:paraId="5067E30D" w14:textId="77777777" w:rsidTr="008C69BF">
        <w:trPr>
          <w:trHeight w:val="260"/>
        </w:trPr>
        <w:tc>
          <w:tcPr>
            <w:tcW w:w="1978" w:type="dxa"/>
            <w:tcBorders>
              <w:top w:val="single" w:sz="4" w:space="0" w:color="231F20"/>
              <w:left w:val="single" w:sz="4" w:space="0" w:color="231F20"/>
              <w:bottom w:val="single" w:sz="4" w:space="0" w:color="231F20"/>
              <w:right w:val="single" w:sz="4" w:space="0" w:color="231F20"/>
            </w:tcBorders>
            <w:vAlign w:val="center"/>
          </w:tcPr>
          <w:p w14:paraId="0000003B" w14:textId="77777777" w:rsidR="00C21388" w:rsidRPr="00C833E0" w:rsidRDefault="00C21388">
            <w:pPr>
              <w:rPr>
                <w:rFonts w:ascii="Cambria" w:eastAsia="Cambria" w:hAnsi="Cambria" w:cs="Cambria"/>
                <w:sz w:val="20"/>
                <w:szCs w:val="20"/>
              </w:rPr>
            </w:pPr>
          </w:p>
        </w:tc>
        <w:tc>
          <w:tcPr>
            <w:tcW w:w="7088" w:type="dxa"/>
            <w:gridSpan w:val="4"/>
            <w:tcBorders>
              <w:top w:val="single" w:sz="4" w:space="0" w:color="231F20"/>
              <w:left w:val="single" w:sz="4" w:space="0" w:color="231F20"/>
              <w:bottom w:val="single" w:sz="4" w:space="0" w:color="231F20"/>
              <w:right w:val="single" w:sz="4" w:space="0" w:color="231F20"/>
            </w:tcBorders>
            <w:vAlign w:val="center"/>
          </w:tcPr>
          <w:p w14:paraId="0000003C" w14:textId="77777777" w:rsidR="00C21388" w:rsidRPr="00C833E0" w:rsidRDefault="00EB2CD8">
            <w:pPr>
              <w:spacing w:line="213" w:lineRule="auto"/>
              <w:ind w:left="1636"/>
              <w:rPr>
                <w:rFonts w:ascii="Cambria" w:eastAsia="Cambria" w:hAnsi="Cambria" w:cs="Cambria"/>
                <w:sz w:val="20"/>
                <w:szCs w:val="20"/>
              </w:rPr>
            </w:pPr>
            <w:r w:rsidRPr="00C833E0">
              <w:rPr>
                <w:rFonts w:ascii="Cambria" w:eastAsia="Cambria" w:hAnsi="Cambria" w:cs="Cambria"/>
                <w:i/>
                <w:color w:val="231F20"/>
                <w:sz w:val="20"/>
                <w:szCs w:val="20"/>
              </w:rPr>
              <w:t>If the remainder of the annual TAC is:</w:t>
            </w:r>
          </w:p>
        </w:tc>
      </w:tr>
      <w:tr w:rsidR="00C21388" w:rsidRPr="00C833E0" w14:paraId="3C7E5492" w14:textId="77777777" w:rsidTr="008C69BF">
        <w:trPr>
          <w:trHeight w:val="440"/>
        </w:trPr>
        <w:tc>
          <w:tcPr>
            <w:tcW w:w="1978" w:type="dxa"/>
            <w:tcBorders>
              <w:top w:val="single" w:sz="4" w:space="0" w:color="231F20"/>
              <w:left w:val="single" w:sz="4" w:space="0" w:color="231F20"/>
              <w:bottom w:val="single" w:sz="4" w:space="0" w:color="231F20"/>
              <w:right w:val="single" w:sz="4" w:space="0" w:color="231F20"/>
            </w:tcBorders>
            <w:vAlign w:val="center"/>
          </w:tcPr>
          <w:p w14:paraId="00000040" w14:textId="77777777" w:rsidR="00C21388" w:rsidRPr="00C833E0" w:rsidRDefault="00EB2CD8">
            <w:pPr>
              <w:spacing w:line="215" w:lineRule="auto"/>
              <w:ind w:left="96"/>
              <w:rPr>
                <w:rFonts w:ascii="Cambria" w:eastAsia="Cambria" w:hAnsi="Cambria" w:cs="Cambria"/>
                <w:sz w:val="20"/>
                <w:szCs w:val="20"/>
              </w:rPr>
            </w:pPr>
            <w:r w:rsidRPr="00C833E0">
              <w:rPr>
                <w:rFonts w:ascii="Cambria" w:eastAsia="Cambria" w:hAnsi="Cambria" w:cs="Cambria"/>
                <w:color w:val="231F20"/>
                <w:sz w:val="20"/>
                <w:szCs w:val="20"/>
              </w:rPr>
              <w:t>CPC</w:t>
            </w:r>
          </w:p>
        </w:tc>
        <w:tc>
          <w:tcPr>
            <w:tcW w:w="1560" w:type="dxa"/>
            <w:tcBorders>
              <w:top w:val="single" w:sz="4" w:space="0" w:color="231F20"/>
              <w:left w:val="single" w:sz="4" w:space="0" w:color="231F20"/>
              <w:bottom w:val="single" w:sz="4" w:space="0" w:color="231F20"/>
              <w:right w:val="single" w:sz="4" w:space="0" w:color="231F20"/>
            </w:tcBorders>
            <w:vAlign w:val="center"/>
          </w:tcPr>
          <w:p w14:paraId="00000041" w14:textId="77777777" w:rsidR="00C21388" w:rsidRPr="00C833E0" w:rsidRDefault="00EB2CD8" w:rsidP="008C69BF">
            <w:pPr>
              <w:spacing w:before="1" w:line="216" w:lineRule="auto"/>
              <w:ind w:left="419" w:hanging="142"/>
              <w:rPr>
                <w:rFonts w:ascii="Cambria" w:eastAsia="Cambria" w:hAnsi="Cambria" w:cs="Cambria"/>
                <w:sz w:val="20"/>
                <w:szCs w:val="20"/>
              </w:rPr>
            </w:pPr>
            <w:r w:rsidRPr="00C833E0">
              <w:rPr>
                <w:rFonts w:ascii="Cambria" w:eastAsia="Cambria" w:hAnsi="Cambria" w:cs="Cambria"/>
                <w:color w:val="231F20"/>
                <w:sz w:val="20"/>
                <w:szCs w:val="20"/>
              </w:rPr>
              <w:t>&lt;2,413 t (A)</w:t>
            </w:r>
          </w:p>
        </w:tc>
        <w:tc>
          <w:tcPr>
            <w:tcW w:w="1701" w:type="dxa"/>
            <w:tcBorders>
              <w:top w:val="single" w:sz="4" w:space="0" w:color="231F20"/>
              <w:left w:val="single" w:sz="4" w:space="0" w:color="231F20"/>
              <w:bottom w:val="single" w:sz="4" w:space="0" w:color="231F20"/>
              <w:right w:val="single" w:sz="4" w:space="0" w:color="231F20"/>
            </w:tcBorders>
            <w:vAlign w:val="center"/>
          </w:tcPr>
          <w:p w14:paraId="00000042" w14:textId="77777777" w:rsidR="00C21388" w:rsidRPr="00C833E0" w:rsidRDefault="00EB2CD8" w:rsidP="008C69BF">
            <w:pPr>
              <w:spacing w:before="1" w:line="216" w:lineRule="auto"/>
              <w:ind w:left="589" w:right="138" w:hanging="141"/>
              <w:rPr>
                <w:rFonts w:ascii="Cambria" w:eastAsia="Cambria" w:hAnsi="Cambria" w:cs="Cambria"/>
                <w:sz w:val="20"/>
                <w:szCs w:val="20"/>
              </w:rPr>
            </w:pPr>
            <w:r w:rsidRPr="00C833E0">
              <w:rPr>
                <w:rFonts w:ascii="Cambria" w:eastAsia="Cambria" w:hAnsi="Cambria" w:cs="Cambria"/>
                <w:color w:val="231F20"/>
                <w:sz w:val="20"/>
                <w:szCs w:val="20"/>
              </w:rPr>
              <w:t>2,413 t (B)</w:t>
            </w:r>
          </w:p>
        </w:tc>
        <w:tc>
          <w:tcPr>
            <w:tcW w:w="2268" w:type="dxa"/>
            <w:tcBorders>
              <w:top w:val="single" w:sz="4" w:space="0" w:color="231F20"/>
              <w:left w:val="single" w:sz="4" w:space="0" w:color="231F20"/>
              <w:bottom w:val="single" w:sz="4" w:space="0" w:color="231F20"/>
              <w:right w:val="single" w:sz="4" w:space="0" w:color="231F20"/>
            </w:tcBorders>
            <w:vAlign w:val="center"/>
          </w:tcPr>
          <w:p w14:paraId="00000043" w14:textId="77777777" w:rsidR="00C21388" w:rsidRPr="00C833E0" w:rsidRDefault="00EB2CD8">
            <w:pPr>
              <w:spacing w:before="1" w:line="216" w:lineRule="auto"/>
              <w:ind w:left="764" w:right="330" w:hanging="433"/>
              <w:rPr>
                <w:rFonts w:ascii="Cambria" w:eastAsia="Cambria" w:hAnsi="Cambria" w:cs="Cambria"/>
                <w:sz w:val="20"/>
                <w:szCs w:val="20"/>
              </w:rPr>
            </w:pPr>
            <w:r w:rsidRPr="00C833E0">
              <w:rPr>
                <w:rFonts w:ascii="Cambria" w:eastAsia="Cambria" w:hAnsi="Cambria" w:cs="Cambria"/>
                <w:color w:val="231F20"/>
                <w:sz w:val="20"/>
                <w:szCs w:val="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00000044" w14:textId="77777777" w:rsidR="00C21388" w:rsidRPr="00C833E0" w:rsidRDefault="00EB2CD8" w:rsidP="001467E7">
            <w:pPr>
              <w:tabs>
                <w:tab w:val="left" w:pos="1131"/>
              </w:tabs>
              <w:spacing w:before="1" w:line="216" w:lineRule="auto"/>
              <w:ind w:left="280" w:right="339" w:hanging="190"/>
              <w:jc w:val="center"/>
              <w:rPr>
                <w:rFonts w:ascii="Cambria" w:eastAsia="Cambria" w:hAnsi="Cambria" w:cs="Cambria"/>
                <w:sz w:val="20"/>
                <w:szCs w:val="20"/>
              </w:rPr>
            </w:pPr>
            <w:r w:rsidRPr="00C833E0">
              <w:rPr>
                <w:rFonts w:ascii="Cambria" w:eastAsia="Cambria" w:hAnsi="Cambria" w:cs="Cambria"/>
                <w:color w:val="231F20"/>
                <w:sz w:val="20"/>
                <w:szCs w:val="20"/>
              </w:rPr>
              <w:t>&gt;2,660 t (D)</w:t>
            </w:r>
          </w:p>
        </w:tc>
      </w:tr>
      <w:tr w:rsidR="00C21388" w:rsidRPr="00C833E0" w14:paraId="557F3FA0" w14:textId="77777777" w:rsidTr="008C69BF">
        <w:trPr>
          <w:trHeight w:val="220"/>
        </w:trPr>
        <w:tc>
          <w:tcPr>
            <w:tcW w:w="1978" w:type="dxa"/>
            <w:tcBorders>
              <w:top w:val="single" w:sz="4" w:space="0" w:color="231F20"/>
              <w:left w:val="single" w:sz="4" w:space="0" w:color="231F20"/>
              <w:bottom w:val="single" w:sz="4" w:space="0" w:color="231F20"/>
              <w:right w:val="single" w:sz="4" w:space="0" w:color="231F20"/>
            </w:tcBorders>
            <w:vAlign w:val="center"/>
          </w:tcPr>
          <w:p w14:paraId="00000045" w14:textId="77777777" w:rsidR="00C21388" w:rsidRPr="00C833E0" w:rsidRDefault="00EB2CD8">
            <w:pPr>
              <w:spacing w:line="214" w:lineRule="auto"/>
              <w:ind w:left="96"/>
              <w:rPr>
                <w:rFonts w:ascii="Cambria" w:eastAsia="Cambria" w:hAnsi="Cambria" w:cs="Cambria"/>
                <w:sz w:val="20"/>
                <w:szCs w:val="20"/>
              </w:rPr>
            </w:pPr>
            <w:r w:rsidRPr="00C833E0">
              <w:rPr>
                <w:rFonts w:ascii="Cambria" w:eastAsia="Cambria" w:hAnsi="Cambria" w:cs="Cambria"/>
                <w:color w:val="231F20"/>
                <w:sz w:val="20"/>
                <w:szCs w:val="20"/>
              </w:rPr>
              <w:t>United States</w:t>
            </w:r>
          </w:p>
        </w:tc>
        <w:tc>
          <w:tcPr>
            <w:tcW w:w="1560" w:type="dxa"/>
            <w:tcBorders>
              <w:top w:val="single" w:sz="4" w:space="0" w:color="231F20"/>
              <w:left w:val="single" w:sz="4" w:space="0" w:color="231F20"/>
              <w:bottom w:val="single" w:sz="4" w:space="0" w:color="231F20"/>
              <w:right w:val="single" w:sz="4" w:space="0" w:color="231F20"/>
            </w:tcBorders>
            <w:vAlign w:val="center"/>
          </w:tcPr>
          <w:p w14:paraId="00000046" w14:textId="77777777" w:rsidR="00C21388" w:rsidRPr="00C833E0" w:rsidRDefault="00EB2CD8">
            <w:pPr>
              <w:spacing w:line="214" w:lineRule="auto"/>
              <w:ind w:left="502"/>
              <w:rPr>
                <w:rFonts w:ascii="Cambria" w:eastAsia="Cambria" w:hAnsi="Cambria" w:cs="Cambria"/>
                <w:sz w:val="20"/>
                <w:szCs w:val="20"/>
              </w:rPr>
            </w:pPr>
            <w:r w:rsidRPr="00C833E0">
              <w:rPr>
                <w:rFonts w:ascii="Cambria" w:eastAsia="Cambria" w:hAnsi="Cambria" w:cs="Cambria"/>
                <w:color w:val="231F20"/>
                <w:sz w:val="20"/>
                <w:szCs w:val="20"/>
              </w:rPr>
              <w:t>54.02%</w:t>
            </w:r>
          </w:p>
        </w:tc>
        <w:tc>
          <w:tcPr>
            <w:tcW w:w="1701" w:type="dxa"/>
            <w:tcBorders>
              <w:top w:val="single" w:sz="4" w:space="0" w:color="231F20"/>
              <w:left w:val="single" w:sz="4" w:space="0" w:color="231F20"/>
              <w:bottom w:val="single" w:sz="4" w:space="0" w:color="231F20"/>
              <w:right w:val="single" w:sz="4" w:space="0" w:color="231F20"/>
            </w:tcBorders>
            <w:vAlign w:val="center"/>
          </w:tcPr>
          <w:p w14:paraId="00000047" w14:textId="77777777" w:rsidR="00C21388" w:rsidRPr="00C833E0" w:rsidRDefault="00EB2CD8">
            <w:pPr>
              <w:spacing w:line="214" w:lineRule="auto"/>
              <w:ind w:left="452"/>
              <w:rPr>
                <w:rFonts w:ascii="Cambria" w:eastAsia="Cambria" w:hAnsi="Cambria" w:cs="Cambria"/>
                <w:sz w:val="20"/>
                <w:szCs w:val="20"/>
              </w:rPr>
            </w:pPr>
            <w:r w:rsidRPr="00C833E0">
              <w:rPr>
                <w:rFonts w:ascii="Cambria" w:eastAsia="Cambria" w:hAnsi="Cambria" w:cs="Cambria"/>
                <w:color w:val="231F20"/>
                <w:sz w:val="20"/>
                <w:szCs w:val="20"/>
              </w:rPr>
              <w:t>1,303 t</w:t>
            </w:r>
          </w:p>
        </w:tc>
        <w:tc>
          <w:tcPr>
            <w:tcW w:w="2268" w:type="dxa"/>
            <w:tcBorders>
              <w:top w:val="single" w:sz="4" w:space="0" w:color="231F20"/>
              <w:left w:val="single" w:sz="4" w:space="0" w:color="231F20"/>
              <w:bottom w:val="single" w:sz="4" w:space="0" w:color="231F20"/>
              <w:right w:val="single" w:sz="4" w:space="0" w:color="231F20"/>
            </w:tcBorders>
            <w:vAlign w:val="center"/>
          </w:tcPr>
          <w:p w14:paraId="00000048" w14:textId="77777777" w:rsidR="00C21388" w:rsidRPr="00C833E0" w:rsidRDefault="00EB2CD8">
            <w:pPr>
              <w:spacing w:line="214" w:lineRule="auto"/>
              <w:jc w:val="center"/>
              <w:rPr>
                <w:rFonts w:ascii="Cambria" w:eastAsia="Cambria" w:hAnsi="Cambria" w:cs="Cambria"/>
                <w:sz w:val="20"/>
                <w:szCs w:val="20"/>
              </w:rPr>
            </w:pPr>
            <w:r w:rsidRPr="00C833E0">
              <w:rPr>
                <w:rFonts w:ascii="Cambria" w:eastAsia="Cambria" w:hAnsi="Cambria" w:cs="Cambria"/>
                <w:color w:val="231F20"/>
                <w:sz w:val="20"/>
                <w:szCs w:val="20"/>
              </w:rPr>
              <w:t>1,303 t</w:t>
            </w:r>
          </w:p>
        </w:tc>
        <w:tc>
          <w:tcPr>
            <w:tcW w:w="1559" w:type="dxa"/>
            <w:tcBorders>
              <w:top w:val="single" w:sz="4" w:space="0" w:color="231F20"/>
              <w:left w:val="single" w:sz="4" w:space="0" w:color="231F20"/>
              <w:bottom w:val="single" w:sz="4" w:space="0" w:color="231F20"/>
              <w:right w:val="single" w:sz="4" w:space="0" w:color="231F20"/>
            </w:tcBorders>
            <w:vAlign w:val="center"/>
          </w:tcPr>
          <w:p w14:paraId="00000049" w14:textId="77777777" w:rsidR="00C21388" w:rsidRPr="00C833E0" w:rsidRDefault="00EB2CD8">
            <w:pPr>
              <w:spacing w:line="214" w:lineRule="auto"/>
              <w:ind w:left="370"/>
              <w:rPr>
                <w:rFonts w:ascii="Cambria" w:eastAsia="Cambria" w:hAnsi="Cambria" w:cs="Cambria"/>
                <w:sz w:val="20"/>
                <w:szCs w:val="20"/>
              </w:rPr>
            </w:pPr>
            <w:r w:rsidRPr="00C833E0">
              <w:rPr>
                <w:rFonts w:ascii="Cambria" w:eastAsia="Cambria" w:hAnsi="Cambria" w:cs="Cambria"/>
                <w:color w:val="231F20"/>
                <w:sz w:val="20"/>
                <w:szCs w:val="20"/>
              </w:rPr>
              <w:t>49.00%</w:t>
            </w:r>
          </w:p>
        </w:tc>
      </w:tr>
      <w:tr w:rsidR="00C21388" w:rsidRPr="00C833E0" w14:paraId="0DB8CE1F" w14:textId="77777777" w:rsidTr="008C69BF">
        <w:trPr>
          <w:trHeight w:val="220"/>
        </w:trPr>
        <w:tc>
          <w:tcPr>
            <w:tcW w:w="1978" w:type="dxa"/>
            <w:tcBorders>
              <w:top w:val="single" w:sz="4" w:space="0" w:color="231F20"/>
              <w:left w:val="single" w:sz="4" w:space="0" w:color="231F20"/>
              <w:bottom w:val="single" w:sz="4" w:space="0" w:color="231F20"/>
              <w:right w:val="single" w:sz="4" w:space="0" w:color="231F20"/>
            </w:tcBorders>
            <w:vAlign w:val="center"/>
          </w:tcPr>
          <w:p w14:paraId="0000004A" w14:textId="77777777" w:rsidR="00C21388" w:rsidRPr="00C833E0" w:rsidRDefault="00EB2CD8">
            <w:pPr>
              <w:spacing w:line="214" w:lineRule="auto"/>
              <w:ind w:left="96"/>
              <w:rPr>
                <w:rFonts w:ascii="Cambria" w:eastAsia="Cambria" w:hAnsi="Cambria" w:cs="Cambria"/>
                <w:sz w:val="20"/>
                <w:szCs w:val="20"/>
              </w:rPr>
            </w:pPr>
            <w:r w:rsidRPr="00C833E0">
              <w:rPr>
                <w:rFonts w:ascii="Cambria" w:eastAsia="Cambria" w:hAnsi="Cambria" w:cs="Cambria"/>
                <w:color w:val="231F20"/>
                <w:sz w:val="20"/>
                <w:szCs w:val="20"/>
              </w:rPr>
              <w:t>Canada</w:t>
            </w:r>
          </w:p>
        </w:tc>
        <w:tc>
          <w:tcPr>
            <w:tcW w:w="1560" w:type="dxa"/>
            <w:tcBorders>
              <w:top w:val="single" w:sz="4" w:space="0" w:color="231F20"/>
              <w:left w:val="single" w:sz="4" w:space="0" w:color="231F20"/>
              <w:bottom w:val="single" w:sz="4" w:space="0" w:color="231F20"/>
              <w:right w:val="single" w:sz="4" w:space="0" w:color="231F20"/>
            </w:tcBorders>
            <w:vAlign w:val="center"/>
          </w:tcPr>
          <w:p w14:paraId="0000004B" w14:textId="77777777" w:rsidR="00C21388" w:rsidRPr="00C833E0" w:rsidRDefault="00EB2CD8">
            <w:pPr>
              <w:spacing w:line="214" w:lineRule="auto"/>
              <w:ind w:left="502"/>
              <w:rPr>
                <w:rFonts w:ascii="Cambria" w:eastAsia="Cambria" w:hAnsi="Cambria" w:cs="Cambria"/>
                <w:sz w:val="20"/>
                <w:szCs w:val="20"/>
              </w:rPr>
            </w:pPr>
            <w:r w:rsidRPr="00C833E0">
              <w:rPr>
                <w:rFonts w:ascii="Cambria" w:eastAsia="Cambria" w:hAnsi="Cambria" w:cs="Cambria"/>
                <w:color w:val="231F20"/>
                <w:sz w:val="20"/>
                <w:szCs w:val="20"/>
              </w:rPr>
              <w:t>22.32%</w:t>
            </w:r>
          </w:p>
        </w:tc>
        <w:tc>
          <w:tcPr>
            <w:tcW w:w="1701" w:type="dxa"/>
            <w:tcBorders>
              <w:top w:val="single" w:sz="4" w:space="0" w:color="231F20"/>
              <w:left w:val="single" w:sz="4" w:space="0" w:color="231F20"/>
              <w:bottom w:val="single" w:sz="4" w:space="0" w:color="231F20"/>
              <w:right w:val="single" w:sz="4" w:space="0" w:color="231F20"/>
            </w:tcBorders>
            <w:vAlign w:val="center"/>
          </w:tcPr>
          <w:p w14:paraId="0000004C" w14:textId="77777777" w:rsidR="00C21388" w:rsidRPr="00C833E0" w:rsidRDefault="00EB2CD8">
            <w:pPr>
              <w:spacing w:line="214" w:lineRule="auto"/>
              <w:ind w:left="1"/>
              <w:jc w:val="center"/>
              <w:rPr>
                <w:rFonts w:ascii="Cambria" w:eastAsia="Cambria" w:hAnsi="Cambria" w:cs="Cambria"/>
                <w:sz w:val="20"/>
                <w:szCs w:val="20"/>
              </w:rPr>
            </w:pPr>
            <w:r w:rsidRPr="00C833E0">
              <w:rPr>
                <w:rFonts w:ascii="Cambria" w:eastAsia="Cambria" w:hAnsi="Cambria" w:cs="Cambria"/>
                <w:color w:val="231F20"/>
                <w:sz w:val="20"/>
                <w:szCs w:val="20"/>
              </w:rPr>
              <w:t>539 t</w:t>
            </w:r>
          </w:p>
        </w:tc>
        <w:tc>
          <w:tcPr>
            <w:tcW w:w="2268" w:type="dxa"/>
            <w:tcBorders>
              <w:top w:val="single" w:sz="4" w:space="0" w:color="231F20"/>
              <w:left w:val="single" w:sz="4" w:space="0" w:color="231F20"/>
              <w:bottom w:val="single" w:sz="4" w:space="0" w:color="231F20"/>
              <w:right w:val="single" w:sz="4" w:space="0" w:color="231F20"/>
            </w:tcBorders>
            <w:vAlign w:val="center"/>
          </w:tcPr>
          <w:p w14:paraId="0000004D" w14:textId="77777777" w:rsidR="00C21388" w:rsidRPr="00C833E0" w:rsidRDefault="00EB2CD8">
            <w:pPr>
              <w:spacing w:line="214" w:lineRule="auto"/>
              <w:ind w:left="1"/>
              <w:jc w:val="center"/>
              <w:rPr>
                <w:rFonts w:ascii="Cambria" w:eastAsia="Cambria" w:hAnsi="Cambria" w:cs="Cambria"/>
                <w:sz w:val="20"/>
                <w:szCs w:val="20"/>
              </w:rPr>
            </w:pPr>
            <w:r w:rsidRPr="00C833E0">
              <w:rPr>
                <w:rFonts w:ascii="Cambria" w:eastAsia="Cambria" w:hAnsi="Cambria" w:cs="Cambria"/>
                <w:color w:val="231F20"/>
                <w:sz w:val="20"/>
                <w:szCs w:val="20"/>
              </w:rPr>
              <w:t>539 t</w:t>
            </w:r>
          </w:p>
        </w:tc>
        <w:tc>
          <w:tcPr>
            <w:tcW w:w="1559" w:type="dxa"/>
            <w:tcBorders>
              <w:top w:val="single" w:sz="4" w:space="0" w:color="231F20"/>
              <w:left w:val="single" w:sz="4" w:space="0" w:color="231F20"/>
              <w:bottom w:val="single" w:sz="4" w:space="0" w:color="231F20"/>
              <w:right w:val="single" w:sz="4" w:space="0" w:color="231F20"/>
            </w:tcBorders>
            <w:vAlign w:val="center"/>
          </w:tcPr>
          <w:p w14:paraId="0000004E" w14:textId="77777777" w:rsidR="00C21388" w:rsidRPr="00C833E0" w:rsidRDefault="00EB2CD8">
            <w:pPr>
              <w:spacing w:line="214" w:lineRule="auto"/>
              <w:ind w:left="370"/>
              <w:rPr>
                <w:rFonts w:ascii="Cambria" w:eastAsia="Cambria" w:hAnsi="Cambria" w:cs="Cambria"/>
                <w:sz w:val="20"/>
                <w:szCs w:val="20"/>
              </w:rPr>
            </w:pPr>
            <w:r w:rsidRPr="00C833E0">
              <w:rPr>
                <w:rFonts w:ascii="Cambria" w:eastAsia="Cambria" w:hAnsi="Cambria" w:cs="Cambria"/>
                <w:color w:val="231F20"/>
                <w:sz w:val="20"/>
                <w:szCs w:val="20"/>
              </w:rPr>
              <w:t>20.24%</w:t>
            </w:r>
          </w:p>
        </w:tc>
      </w:tr>
      <w:tr w:rsidR="00C21388" w:rsidRPr="00C833E0" w14:paraId="05C82B72" w14:textId="77777777" w:rsidTr="008C69BF">
        <w:trPr>
          <w:trHeight w:val="800"/>
        </w:trPr>
        <w:tc>
          <w:tcPr>
            <w:tcW w:w="1978" w:type="dxa"/>
            <w:tcBorders>
              <w:top w:val="single" w:sz="4" w:space="0" w:color="231F20"/>
              <w:left w:val="single" w:sz="4" w:space="0" w:color="231F20"/>
              <w:bottom w:val="single" w:sz="4" w:space="0" w:color="231F20"/>
              <w:right w:val="single" w:sz="4" w:space="0" w:color="231F20"/>
            </w:tcBorders>
            <w:vAlign w:val="center"/>
          </w:tcPr>
          <w:p w14:paraId="0000004F" w14:textId="77777777" w:rsidR="00C21388" w:rsidRPr="00C833E0" w:rsidRDefault="00C21388">
            <w:pPr>
              <w:spacing w:before="4"/>
              <w:rPr>
                <w:rFonts w:ascii="Cambria" w:eastAsia="Cambria" w:hAnsi="Cambria" w:cs="Cambria"/>
                <w:sz w:val="20"/>
                <w:szCs w:val="20"/>
              </w:rPr>
            </w:pPr>
          </w:p>
          <w:p w14:paraId="00000050" w14:textId="77777777" w:rsidR="00C21388" w:rsidRPr="00C833E0" w:rsidRDefault="00EB2CD8">
            <w:pPr>
              <w:ind w:left="96"/>
              <w:rPr>
                <w:rFonts w:ascii="Cambria" w:eastAsia="Cambria" w:hAnsi="Cambria" w:cs="Cambria"/>
                <w:sz w:val="20"/>
                <w:szCs w:val="20"/>
              </w:rPr>
            </w:pPr>
            <w:r w:rsidRPr="00C833E0">
              <w:rPr>
                <w:rFonts w:ascii="Cambria" w:eastAsia="Cambria" w:hAnsi="Cambria" w:cs="Cambria"/>
                <w:color w:val="231F20"/>
                <w:sz w:val="20"/>
                <w:szCs w:val="20"/>
              </w:rPr>
              <w:t>Japan</w:t>
            </w:r>
          </w:p>
        </w:tc>
        <w:tc>
          <w:tcPr>
            <w:tcW w:w="1560" w:type="dxa"/>
            <w:tcBorders>
              <w:top w:val="single" w:sz="4" w:space="0" w:color="231F20"/>
              <w:left w:val="single" w:sz="4" w:space="0" w:color="231F20"/>
              <w:bottom w:val="single" w:sz="4" w:space="0" w:color="231F20"/>
              <w:right w:val="single" w:sz="4" w:space="0" w:color="231F20"/>
            </w:tcBorders>
            <w:vAlign w:val="center"/>
          </w:tcPr>
          <w:p w14:paraId="00000051" w14:textId="77777777" w:rsidR="00C21388" w:rsidRPr="00C833E0" w:rsidRDefault="00C21388">
            <w:pPr>
              <w:spacing w:before="4"/>
              <w:rPr>
                <w:rFonts w:ascii="Cambria" w:eastAsia="Cambria" w:hAnsi="Cambria" w:cs="Cambria"/>
                <w:sz w:val="20"/>
                <w:szCs w:val="20"/>
              </w:rPr>
            </w:pPr>
          </w:p>
          <w:p w14:paraId="00000052" w14:textId="77777777" w:rsidR="00C21388" w:rsidRPr="00C833E0" w:rsidRDefault="00EB2CD8">
            <w:pPr>
              <w:ind w:left="502"/>
              <w:rPr>
                <w:rFonts w:ascii="Cambria" w:eastAsia="Cambria" w:hAnsi="Cambria" w:cs="Cambria"/>
                <w:sz w:val="20"/>
                <w:szCs w:val="20"/>
              </w:rPr>
            </w:pPr>
            <w:r w:rsidRPr="00C833E0">
              <w:rPr>
                <w:rFonts w:ascii="Cambria" w:eastAsia="Cambria" w:hAnsi="Cambria" w:cs="Cambria"/>
                <w:color w:val="231F20"/>
                <w:sz w:val="20"/>
                <w:szCs w:val="20"/>
              </w:rPr>
              <w:t>17.64%</w:t>
            </w:r>
          </w:p>
        </w:tc>
        <w:tc>
          <w:tcPr>
            <w:tcW w:w="1701" w:type="dxa"/>
            <w:tcBorders>
              <w:top w:val="single" w:sz="4" w:space="0" w:color="231F20"/>
              <w:left w:val="single" w:sz="4" w:space="0" w:color="231F20"/>
              <w:bottom w:val="single" w:sz="4" w:space="0" w:color="231F20"/>
              <w:right w:val="single" w:sz="4" w:space="0" w:color="231F20"/>
            </w:tcBorders>
            <w:vAlign w:val="center"/>
          </w:tcPr>
          <w:p w14:paraId="00000053" w14:textId="77777777" w:rsidR="00C21388" w:rsidRPr="00C833E0" w:rsidRDefault="00C21388">
            <w:pPr>
              <w:spacing w:before="4"/>
              <w:rPr>
                <w:rFonts w:ascii="Cambria" w:eastAsia="Cambria" w:hAnsi="Cambria" w:cs="Cambria"/>
                <w:sz w:val="20"/>
                <w:szCs w:val="20"/>
              </w:rPr>
            </w:pPr>
          </w:p>
          <w:p w14:paraId="00000054" w14:textId="77777777" w:rsidR="00C21388" w:rsidRPr="00C833E0" w:rsidRDefault="00EB2CD8">
            <w:pPr>
              <w:ind w:left="1"/>
              <w:jc w:val="center"/>
              <w:rPr>
                <w:rFonts w:ascii="Cambria" w:eastAsia="Cambria" w:hAnsi="Cambria" w:cs="Cambria"/>
                <w:sz w:val="20"/>
                <w:szCs w:val="20"/>
              </w:rPr>
            </w:pPr>
            <w:r w:rsidRPr="00C833E0">
              <w:rPr>
                <w:rFonts w:ascii="Cambria" w:eastAsia="Cambria" w:hAnsi="Cambria" w:cs="Cambria"/>
                <w:color w:val="231F20"/>
                <w:sz w:val="20"/>
                <w:szCs w:val="20"/>
              </w:rPr>
              <w:t>426 t</w:t>
            </w:r>
          </w:p>
        </w:tc>
        <w:tc>
          <w:tcPr>
            <w:tcW w:w="2268" w:type="dxa"/>
            <w:tcBorders>
              <w:top w:val="single" w:sz="4" w:space="0" w:color="231F20"/>
              <w:left w:val="single" w:sz="4" w:space="0" w:color="231F20"/>
              <w:bottom w:val="single" w:sz="4" w:space="0" w:color="231F20"/>
              <w:right w:val="single" w:sz="4" w:space="0" w:color="231F20"/>
            </w:tcBorders>
            <w:vAlign w:val="center"/>
          </w:tcPr>
          <w:p w14:paraId="00000055" w14:textId="77777777" w:rsidR="00C21388" w:rsidRPr="00C833E0" w:rsidRDefault="00EB2CD8">
            <w:pPr>
              <w:spacing w:line="237" w:lineRule="auto"/>
              <w:ind w:left="136" w:right="135"/>
              <w:jc w:val="center"/>
              <w:rPr>
                <w:rFonts w:ascii="Cambria" w:eastAsia="Cambria" w:hAnsi="Cambria" w:cs="Cambria"/>
                <w:color w:val="231F20"/>
                <w:sz w:val="20"/>
                <w:szCs w:val="20"/>
              </w:rPr>
            </w:pPr>
            <w:r w:rsidRPr="00C833E0">
              <w:rPr>
                <w:rFonts w:ascii="Cambria" w:eastAsia="Cambria" w:hAnsi="Cambria" w:cs="Cambria"/>
                <w:color w:val="231F20"/>
                <w:sz w:val="20"/>
                <w:szCs w:val="20"/>
              </w:rPr>
              <w:t xml:space="preserve">426 t + </w:t>
            </w:r>
          </w:p>
          <w:p w14:paraId="00000056" w14:textId="77777777" w:rsidR="00C21388" w:rsidRPr="00C833E0" w:rsidRDefault="00EB2CD8">
            <w:pPr>
              <w:spacing w:line="237" w:lineRule="auto"/>
              <w:ind w:left="136" w:right="135"/>
              <w:jc w:val="center"/>
              <w:rPr>
                <w:rFonts w:ascii="Cambria" w:eastAsia="Cambria" w:hAnsi="Cambria" w:cs="Cambria"/>
                <w:color w:val="231F20"/>
                <w:sz w:val="20"/>
                <w:szCs w:val="20"/>
              </w:rPr>
            </w:pPr>
            <w:r w:rsidRPr="00C833E0">
              <w:rPr>
                <w:rFonts w:ascii="Cambria" w:eastAsia="Cambria" w:hAnsi="Cambria" w:cs="Cambria"/>
                <w:color w:val="231F20"/>
                <w:sz w:val="20"/>
                <w:szCs w:val="20"/>
              </w:rPr>
              <w:t xml:space="preserve">all increase between </w:t>
            </w:r>
          </w:p>
          <w:p w14:paraId="00000057" w14:textId="77777777" w:rsidR="00C21388" w:rsidRPr="00C833E0" w:rsidRDefault="00EB2CD8">
            <w:pPr>
              <w:spacing w:line="237" w:lineRule="auto"/>
              <w:ind w:left="136" w:right="135"/>
              <w:jc w:val="center"/>
              <w:rPr>
                <w:rFonts w:ascii="Cambria" w:eastAsia="Cambria" w:hAnsi="Cambria" w:cs="Cambria"/>
                <w:sz w:val="20"/>
                <w:szCs w:val="20"/>
              </w:rPr>
            </w:pPr>
            <w:r w:rsidRPr="00C833E0">
              <w:rPr>
                <w:rFonts w:ascii="Cambria" w:eastAsia="Cambria" w:hAnsi="Cambria" w:cs="Cambria"/>
                <w:color w:val="231F20"/>
                <w:sz w:val="20"/>
                <w:szCs w:val="20"/>
              </w:rPr>
              <w:t>2,413 t and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00000059" w14:textId="77777777" w:rsidR="00C21388" w:rsidRPr="00C833E0" w:rsidRDefault="00EB2CD8">
            <w:pPr>
              <w:ind w:left="370"/>
              <w:rPr>
                <w:rFonts w:ascii="Cambria" w:eastAsia="Cambria" w:hAnsi="Cambria" w:cs="Cambria"/>
                <w:sz w:val="20"/>
                <w:szCs w:val="20"/>
              </w:rPr>
            </w:pPr>
            <w:r w:rsidRPr="00C833E0">
              <w:rPr>
                <w:rFonts w:ascii="Cambria" w:eastAsia="Cambria" w:hAnsi="Cambria" w:cs="Cambria"/>
                <w:color w:val="231F20"/>
                <w:sz w:val="20"/>
                <w:szCs w:val="20"/>
              </w:rPr>
              <w:t>24.74%</w:t>
            </w:r>
          </w:p>
        </w:tc>
      </w:tr>
      <w:tr w:rsidR="00C21388" w:rsidRPr="00C833E0" w14:paraId="6B376005" w14:textId="77777777" w:rsidTr="008C69BF">
        <w:trPr>
          <w:trHeight w:val="700"/>
        </w:trPr>
        <w:tc>
          <w:tcPr>
            <w:tcW w:w="1978" w:type="dxa"/>
            <w:tcBorders>
              <w:top w:val="single" w:sz="4" w:space="0" w:color="231F20"/>
              <w:left w:val="single" w:sz="4" w:space="0" w:color="231F20"/>
              <w:bottom w:val="single" w:sz="4" w:space="0" w:color="231F20"/>
              <w:right w:val="single" w:sz="4" w:space="0" w:color="231F20"/>
            </w:tcBorders>
            <w:vAlign w:val="center"/>
          </w:tcPr>
          <w:p w14:paraId="0000005A" w14:textId="77777777" w:rsidR="00C21388" w:rsidRPr="00C833E0" w:rsidRDefault="00EB2CD8">
            <w:pPr>
              <w:spacing w:line="238" w:lineRule="auto"/>
              <w:ind w:left="96" w:right="397"/>
              <w:rPr>
                <w:rFonts w:ascii="Cambria" w:eastAsia="Cambria" w:hAnsi="Cambria" w:cs="Cambria"/>
                <w:sz w:val="20"/>
                <w:szCs w:val="20"/>
              </w:rPr>
            </w:pPr>
            <w:r w:rsidRPr="00C833E0">
              <w:rPr>
                <w:rFonts w:ascii="Cambria" w:eastAsia="Cambria" w:hAnsi="Cambria" w:cs="Cambria"/>
                <w:color w:val="231F20"/>
                <w:sz w:val="20"/>
                <w:szCs w:val="20"/>
              </w:rPr>
              <w:t>United Kingdom (in respect of Bermuda)</w:t>
            </w:r>
          </w:p>
        </w:tc>
        <w:tc>
          <w:tcPr>
            <w:tcW w:w="1560" w:type="dxa"/>
            <w:tcBorders>
              <w:top w:val="single" w:sz="4" w:space="0" w:color="231F20"/>
              <w:left w:val="single" w:sz="4" w:space="0" w:color="231F20"/>
              <w:bottom w:val="single" w:sz="4" w:space="0" w:color="231F20"/>
              <w:right w:val="single" w:sz="4" w:space="0" w:color="231F20"/>
            </w:tcBorders>
            <w:vAlign w:val="center"/>
          </w:tcPr>
          <w:p w14:paraId="0000005B" w14:textId="77777777" w:rsidR="00C21388" w:rsidRPr="00C833E0" w:rsidRDefault="00EB2CD8">
            <w:pPr>
              <w:spacing w:before="102"/>
              <w:jc w:val="center"/>
              <w:rPr>
                <w:rFonts w:ascii="Cambria" w:eastAsia="Cambria" w:hAnsi="Cambria" w:cs="Cambria"/>
                <w:sz w:val="20"/>
                <w:szCs w:val="20"/>
              </w:rPr>
            </w:pPr>
            <w:r w:rsidRPr="00C833E0">
              <w:rPr>
                <w:rFonts w:ascii="Cambria" w:eastAsia="Cambria" w:hAnsi="Cambria" w:cs="Cambria"/>
                <w:color w:val="231F20"/>
                <w:sz w:val="20"/>
                <w:szCs w:val="20"/>
              </w:rPr>
              <w:t>0.23%</w:t>
            </w:r>
          </w:p>
        </w:tc>
        <w:tc>
          <w:tcPr>
            <w:tcW w:w="1701" w:type="dxa"/>
            <w:tcBorders>
              <w:top w:val="single" w:sz="4" w:space="0" w:color="231F20"/>
              <w:left w:val="single" w:sz="4" w:space="0" w:color="231F20"/>
              <w:bottom w:val="single" w:sz="4" w:space="0" w:color="231F20"/>
              <w:right w:val="single" w:sz="4" w:space="0" w:color="231F20"/>
            </w:tcBorders>
            <w:vAlign w:val="center"/>
          </w:tcPr>
          <w:p w14:paraId="0000005C" w14:textId="77777777" w:rsidR="00C21388" w:rsidRPr="00C833E0" w:rsidRDefault="00EB2CD8">
            <w:pPr>
              <w:spacing w:before="102"/>
              <w:ind w:left="547"/>
              <w:rPr>
                <w:rFonts w:ascii="Cambria" w:eastAsia="Cambria" w:hAnsi="Cambria" w:cs="Cambria"/>
                <w:sz w:val="20"/>
                <w:szCs w:val="20"/>
              </w:rPr>
            </w:pPr>
            <w:r w:rsidRPr="00C833E0">
              <w:rPr>
                <w:rFonts w:ascii="Cambria" w:eastAsia="Cambria" w:hAnsi="Cambria" w:cs="Cambria"/>
                <w:color w:val="231F20"/>
                <w:sz w:val="20"/>
                <w:szCs w:val="20"/>
              </w:rPr>
              <w:t>5.5 t</w:t>
            </w:r>
          </w:p>
        </w:tc>
        <w:tc>
          <w:tcPr>
            <w:tcW w:w="2268" w:type="dxa"/>
            <w:tcBorders>
              <w:top w:val="single" w:sz="4" w:space="0" w:color="231F20"/>
              <w:left w:val="single" w:sz="4" w:space="0" w:color="231F20"/>
              <w:bottom w:val="single" w:sz="4" w:space="0" w:color="231F20"/>
              <w:right w:val="single" w:sz="4" w:space="0" w:color="231F20"/>
            </w:tcBorders>
            <w:vAlign w:val="center"/>
          </w:tcPr>
          <w:p w14:paraId="0000005D" w14:textId="77777777" w:rsidR="00C21388" w:rsidRPr="00C833E0" w:rsidRDefault="00EB2CD8">
            <w:pPr>
              <w:spacing w:before="102"/>
              <w:ind w:left="728"/>
              <w:rPr>
                <w:rFonts w:ascii="Cambria" w:eastAsia="Cambria" w:hAnsi="Cambria" w:cs="Cambria"/>
                <w:sz w:val="20"/>
                <w:szCs w:val="20"/>
              </w:rPr>
            </w:pPr>
            <w:r w:rsidRPr="00C833E0">
              <w:rPr>
                <w:rFonts w:ascii="Cambria" w:eastAsia="Cambria" w:hAnsi="Cambria" w:cs="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0000005E" w14:textId="77777777" w:rsidR="00C21388" w:rsidRPr="00C833E0" w:rsidRDefault="00EB2CD8">
            <w:pPr>
              <w:spacing w:before="102"/>
              <w:ind w:left="417"/>
              <w:rPr>
                <w:rFonts w:ascii="Cambria" w:eastAsia="Cambria" w:hAnsi="Cambria" w:cs="Cambria"/>
                <w:sz w:val="20"/>
                <w:szCs w:val="20"/>
              </w:rPr>
            </w:pPr>
            <w:r w:rsidRPr="00C833E0">
              <w:rPr>
                <w:rFonts w:ascii="Cambria" w:eastAsia="Cambria" w:hAnsi="Cambria" w:cs="Cambria"/>
                <w:color w:val="231F20"/>
                <w:sz w:val="20"/>
                <w:szCs w:val="20"/>
              </w:rPr>
              <w:t>0.23%</w:t>
            </w:r>
          </w:p>
        </w:tc>
      </w:tr>
      <w:tr w:rsidR="00C21388" w:rsidRPr="00C833E0" w14:paraId="466B9514" w14:textId="77777777" w:rsidTr="008C69BF">
        <w:trPr>
          <w:trHeight w:val="700"/>
        </w:trPr>
        <w:tc>
          <w:tcPr>
            <w:tcW w:w="1978" w:type="dxa"/>
            <w:tcBorders>
              <w:top w:val="single" w:sz="4" w:space="0" w:color="231F20"/>
              <w:left w:val="single" w:sz="4" w:space="0" w:color="231F20"/>
              <w:bottom w:val="single" w:sz="4" w:space="0" w:color="231F20"/>
              <w:right w:val="single" w:sz="4" w:space="0" w:color="231F20"/>
            </w:tcBorders>
            <w:vAlign w:val="center"/>
          </w:tcPr>
          <w:p w14:paraId="0000005F" w14:textId="77777777" w:rsidR="00C21388" w:rsidRPr="00C833E0" w:rsidRDefault="00EB2CD8">
            <w:pPr>
              <w:spacing w:line="216" w:lineRule="auto"/>
              <w:ind w:left="96" w:right="128"/>
              <w:rPr>
                <w:rFonts w:ascii="Cambria" w:eastAsia="Cambria" w:hAnsi="Cambria" w:cs="Cambria"/>
                <w:sz w:val="20"/>
                <w:szCs w:val="20"/>
              </w:rPr>
            </w:pPr>
            <w:r w:rsidRPr="00C833E0">
              <w:rPr>
                <w:rFonts w:ascii="Cambria" w:eastAsia="Cambria" w:hAnsi="Cambria" w:cs="Cambria"/>
                <w:color w:val="231F20"/>
                <w:sz w:val="20"/>
                <w:szCs w:val="20"/>
              </w:rPr>
              <w:t>France (in respect of St. Pierre &amp; Miquelon)</w:t>
            </w:r>
          </w:p>
        </w:tc>
        <w:tc>
          <w:tcPr>
            <w:tcW w:w="1560" w:type="dxa"/>
            <w:tcBorders>
              <w:top w:val="single" w:sz="4" w:space="0" w:color="231F20"/>
              <w:left w:val="single" w:sz="4" w:space="0" w:color="231F20"/>
              <w:bottom w:val="single" w:sz="4" w:space="0" w:color="231F20"/>
              <w:right w:val="single" w:sz="4" w:space="0" w:color="231F20"/>
            </w:tcBorders>
            <w:vAlign w:val="center"/>
          </w:tcPr>
          <w:p w14:paraId="00000060" w14:textId="77777777" w:rsidR="00C21388" w:rsidRPr="00C833E0" w:rsidRDefault="00EB2CD8">
            <w:pPr>
              <w:spacing w:before="103"/>
              <w:jc w:val="center"/>
              <w:rPr>
                <w:rFonts w:ascii="Cambria" w:eastAsia="Cambria" w:hAnsi="Cambria" w:cs="Cambria"/>
                <w:sz w:val="20"/>
                <w:szCs w:val="20"/>
              </w:rPr>
            </w:pPr>
            <w:r w:rsidRPr="00C833E0">
              <w:rPr>
                <w:rFonts w:ascii="Cambria" w:eastAsia="Cambria" w:hAnsi="Cambria" w:cs="Cambria"/>
                <w:color w:val="231F20"/>
                <w:sz w:val="20"/>
                <w:szCs w:val="20"/>
              </w:rPr>
              <w:t>0.23%</w:t>
            </w:r>
          </w:p>
        </w:tc>
        <w:tc>
          <w:tcPr>
            <w:tcW w:w="1701" w:type="dxa"/>
            <w:tcBorders>
              <w:top w:val="single" w:sz="4" w:space="0" w:color="231F20"/>
              <w:left w:val="single" w:sz="4" w:space="0" w:color="231F20"/>
              <w:bottom w:val="single" w:sz="4" w:space="0" w:color="231F20"/>
              <w:right w:val="single" w:sz="4" w:space="0" w:color="231F20"/>
            </w:tcBorders>
            <w:vAlign w:val="center"/>
          </w:tcPr>
          <w:p w14:paraId="00000061" w14:textId="77777777" w:rsidR="00C21388" w:rsidRPr="00C833E0" w:rsidRDefault="00EB2CD8">
            <w:pPr>
              <w:spacing w:before="103"/>
              <w:ind w:left="547"/>
              <w:rPr>
                <w:rFonts w:ascii="Cambria" w:eastAsia="Cambria" w:hAnsi="Cambria" w:cs="Cambria"/>
                <w:sz w:val="20"/>
                <w:szCs w:val="20"/>
              </w:rPr>
            </w:pPr>
            <w:r w:rsidRPr="00C833E0">
              <w:rPr>
                <w:rFonts w:ascii="Cambria" w:eastAsia="Cambria" w:hAnsi="Cambria" w:cs="Cambria"/>
                <w:color w:val="231F20"/>
                <w:sz w:val="20"/>
                <w:szCs w:val="20"/>
              </w:rPr>
              <w:t>5.5 t</w:t>
            </w:r>
          </w:p>
        </w:tc>
        <w:tc>
          <w:tcPr>
            <w:tcW w:w="2268" w:type="dxa"/>
            <w:tcBorders>
              <w:top w:val="single" w:sz="4" w:space="0" w:color="231F20"/>
              <w:left w:val="single" w:sz="4" w:space="0" w:color="231F20"/>
              <w:bottom w:val="single" w:sz="4" w:space="0" w:color="231F20"/>
              <w:right w:val="single" w:sz="4" w:space="0" w:color="231F20"/>
            </w:tcBorders>
            <w:vAlign w:val="center"/>
          </w:tcPr>
          <w:p w14:paraId="00000062" w14:textId="77777777" w:rsidR="00C21388" w:rsidRPr="00C833E0" w:rsidRDefault="00EB2CD8">
            <w:pPr>
              <w:spacing w:before="103"/>
              <w:ind w:left="728"/>
              <w:rPr>
                <w:rFonts w:ascii="Cambria" w:eastAsia="Cambria" w:hAnsi="Cambria" w:cs="Cambria"/>
                <w:sz w:val="20"/>
                <w:szCs w:val="20"/>
              </w:rPr>
            </w:pPr>
            <w:r w:rsidRPr="00C833E0">
              <w:rPr>
                <w:rFonts w:ascii="Cambria" w:eastAsia="Cambria" w:hAnsi="Cambria" w:cs="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00000063" w14:textId="77777777" w:rsidR="00C21388" w:rsidRPr="00C833E0" w:rsidRDefault="00EB2CD8">
            <w:pPr>
              <w:spacing w:before="103"/>
              <w:ind w:left="417"/>
              <w:rPr>
                <w:rFonts w:ascii="Cambria" w:eastAsia="Cambria" w:hAnsi="Cambria" w:cs="Cambria"/>
                <w:sz w:val="20"/>
                <w:szCs w:val="20"/>
              </w:rPr>
            </w:pPr>
            <w:r w:rsidRPr="00C833E0">
              <w:rPr>
                <w:rFonts w:ascii="Cambria" w:eastAsia="Cambria" w:hAnsi="Cambria" w:cs="Cambria"/>
                <w:color w:val="231F20"/>
                <w:sz w:val="20"/>
                <w:szCs w:val="20"/>
              </w:rPr>
              <w:t>0.23%</w:t>
            </w:r>
          </w:p>
        </w:tc>
      </w:tr>
      <w:tr w:rsidR="00C21388" w:rsidRPr="00C833E0" w14:paraId="28430472" w14:textId="77777777" w:rsidTr="008C69BF">
        <w:trPr>
          <w:trHeight w:val="220"/>
        </w:trPr>
        <w:tc>
          <w:tcPr>
            <w:tcW w:w="1978" w:type="dxa"/>
            <w:tcBorders>
              <w:top w:val="single" w:sz="4" w:space="0" w:color="231F20"/>
              <w:left w:val="single" w:sz="4" w:space="0" w:color="231F20"/>
              <w:bottom w:val="single" w:sz="4" w:space="0" w:color="231F20"/>
              <w:right w:val="single" w:sz="4" w:space="0" w:color="231F20"/>
            </w:tcBorders>
            <w:vAlign w:val="center"/>
          </w:tcPr>
          <w:p w14:paraId="00000064" w14:textId="77777777" w:rsidR="00C21388" w:rsidRPr="00C833E0" w:rsidRDefault="00EB2CD8">
            <w:pPr>
              <w:spacing w:line="213" w:lineRule="auto"/>
              <w:ind w:left="96"/>
              <w:rPr>
                <w:rFonts w:ascii="Cambria" w:eastAsia="Cambria" w:hAnsi="Cambria" w:cs="Cambria"/>
                <w:sz w:val="20"/>
                <w:szCs w:val="20"/>
              </w:rPr>
            </w:pPr>
            <w:r w:rsidRPr="00C833E0">
              <w:rPr>
                <w:rFonts w:ascii="Cambria" w:eastAsia="Cambria" w:hAnsi="Cambria" w:cs="Cambria"/>
                <w:color w:val="231F20"/>
                <w:sz w:val="20"/>
                <w:szCs w:val="20"/>
              </w:rPr>
              <w:t>Mexico</w:t>
            </w:r>
          </w:p>
        </w:tc>
        <w:tc>
          <w:tcPr>
            <w:tcW w:w="1560" w:type="dxa"/>
            <w:tcBorders>
              <w:top w:val="single" w:sz="4" w:space="0" w:color="231F20"/>
              <w:left w:val="single" w:sz="4" w:space="0" w:color="231F20"/>
              <w:bottom w:val="single" w:sz="4" w:space="0" w:color="231F20"/>
              <w:right w:val="single" w:sz="4" w:space="0" w:color="231F20"/>
            </w:tcBorders>
            <w:vAlign w:val="center"/>
          </w:tcPr>
          <w:p w14:paraId="00000065" w14:textId="77777777" w:rsidR="00C21388" w:rsidRPr="00C833E0" w:rsidRDefault="00EB2CD8">
            <w:pPr>
              <w:spacing w:before="103"/>
              <w:ind w:left="547"/>
              <w:rPr>
                <w:rFonts w:ascii="Cambria" w:eastAsia="Cambria" w:hAnsi="Cambria" w:cs="Cambria"/>
                <w:color w:val="231F20"/>
                <w:sz w:val="20"/>
                <w:szCs w:val="20"/>
              </w:rPr>
            </w:pPr>
            <w:r w:rsidRPr="00C833E0">
              <w:rPr>
                <w:rFonts w:ascii="Cambria" w:eastAsia="Cambria" w:hAnsi="Cambria" w:cs="Cambria"/>
                <w:color w:val="231F20"/>
                <w:sz w:val="20"/>
                <w:szCs w:val="20"/>
              </w:rPr>
              <w:t>5.56%</w:t>
            </w:r>
          </w:p>
        </w:tc>
        <w:tc>
          <w:tcPr>
            <w:tcW w:w="1701" w:type="dxa"/>
            <w:tcBorders>
              <w:top w:val="single" w:sz="4" w:space="0" w:color="231F20"/>
              <w:left w:val="single" w:sz="4" w:space="0" w:color="231F20"/>
              <w:bottom w:val="single" w:sz="4" w:space="0" w:color="231F20"/>
              <w:right w:val="single" w:sz="4" w:space="0" w:color="231F20"/>
            </w:tcBorders>
            <w:vAlign w:val="center"/>
          </w:tcPr>
          <w:p w14:paraId="00000066" w14:textId="77777777" w:rsidR="00C21388" w:rsidRPr="00C833E0" w:rsidRDefault="00EB2CD8">
            <w:pPr>
              <w:spacing w:before="103"/>
              <w:ind w:left="547"/>
              <w:rPr>
                <w:rFonts w:ascii="Cambria" w:eastAsia="Cambria" w:hAnsi="Cambria" w:cs="Cambria"/>
                <w:color w:val="231F20"/>
                <w:sz w:val="20"/>
                <w:szCs w:val="20"/>
              </w:rPr>
            </w:pPr>
            <w:r w:rsidRPr="00C833E0">
              <w:rPr>
                <w:rFonts w:ascii="Cambria" w:eastAsia="Cambria" w:hAnsi="Cambria" w:cs="Cambria"/>
                <w:color w:val="231F20"/>
                <w:sz w:val="20"/>
                <w:szCs w:val="20"/>
              </w:rPr>
              <w:t>134 t</w:t>
            </w:r>
          </w:p>
        </w:tc>
        <w:tc>
          <w:tcPr>
            <w:tcW w:w="2268" w:type="dxa"/>
            <w:tcBorders>
              <w:top w:val="single" w:sz="4" w:space="0" w:color="231F20"/>
              <w:left w:val="single" w:sz="4" w:space="0" w:color="231F20"/>
              <w:bottom w:val="single" w:sz="4" w:space="0" w:color="231F20"/>
              <w:right w:val="single" w:sz="4" w:space="0" w:color="231F20"/>
            </w:tcBorders>
            <w:vAlign w:val="center"/>
          </w:tcPr>
          <w:p w14:paraId="00000067" w14:textId="77777777" w:rsidR="00C21388" w:rsidRPr="00C833E0" w:rsidRDefault="00EB2CD8">
            <w:pPr>
              <w:spacing w:before="103"/>
              <w:ind w:left="728"/>
              <w:rPr>
                <w:rFonts w:ascii="Cambria" w:eastAsia="Cambria" w:hAnsi="Cambria" w:cs="Cambria"/>
                <w:sz w:val="20"/>
                <w:szCs w:val="20"/>
              </w:rPr>
            </w:pPr>
            <w:r w:rsidRPr="00C833E0">
              <w:rPr>
                <w:rFonts w:ascii="Cambria" w:eastAsia="Cambria" w:hAnsi="Cambria" w:cs="Cambria"/>
                <w:color w:val="231F20"/>
                <w:sz w:val="20"/>
                <w:szCs w:val="20"/>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00000068" w14:textId="77777777" w:rsidR="00C21388" w:rsidRPr="00C833E0" w:rsidRDefault="00EB2CD8" w:rsidP="00F57382">
            <w:pPr>
              <w:spacing w:before="103"/>
              <w:ind w:left="547" w:hanging="547"/>
              <w:jc w:val="center"/>
              <w:rPr>
                <w:rFonts w:ascii="Cambria" w:eastAsia="Cambria" w:hAnsi="Cambria" w:cs="Cambria"/>
                <w:sz w:val="20"/>
                <w:szCs w:val="20"/>
              </w:rPr>
            </w:pPr>
            <w:r w:rsidRPr="00C833E0">
              <w:rPr>
                <w:rFonts w:ascii="Cambria" w:eastAsia="Cambria" w:hAnsi="Cambria" w:cs="Cambria"/>
                <w:color w:val="231F20"/>
                <w:sz w:val="20"/>
                <w:szCs w:val="20"/>
              </w:rPr>
              <w:t>5.56%</w:t>
            </w:r>
          </w:p>
        </w:tc>
      </w:tr>
    </w:tbl>
    <w:p w14:paraId="7E728CA9" w14:textId="3F3FA08B" w:rsidR="008C69BF" w:rsidRPr="00C833E0" w:rsidRDefault="008C69BF" w:rsidP="008C69BF">
      <w:pPr>
        <w:tabs>
          <w:tab w:val="left" w:pos="562"/>
        </w:tabs>
        <w:ind w:left="993"/>
        <w:jc w:val="both"/>
        <w:rPr>
          <w:rFonts w:ascii="Cambria" w:eastAsia="Cambria" w:hAnsi="Cambria" w:cs="Cambria"/>
          <w:sz w:val="20"/>
          <w:szCs w:val="20"/>
        </w:rPr>
      </w:pPr>
    </w:p>
    <w:p w14:paraId="0000006B" w14:textId="397AEAE1" w:rsidR="00C21388" w:rsidRPr="00C833E0" w:rsidRDefault="00EB2CD8" w:rsidP="00FC1842">
      <w:pPr>
        <w:numPr>
          <w:ilvl w:val="1"/>
          <w:numId w:val="1"/>
        </w:numPr>
        <w:tabs>
          <w:tab w:val="left" w:pos="1701"/>
        </w:tabs>
        <w:ind w:left="1701" w:hanging="425"/>
        <w:jc w:val="both"/>
        <w:rPr>
          <w:rFonts w:ascii="Cambria" w:eastAsia="Cambria" w:hAnsi="Cambria" w:cs="Cambria"/>
          <w:sz w:val="20"/>
          <w:szCs w:val="20"/>
        </w:rPr>
      </w:pPr>
      <w:r w:rsidRPr="00C833E0">
        <w:rPr>
          <w:rFonts w:ascii="Cambria" w:eastAsia="Cambria" w:hAnsi="Cambria" w:cs="Cambria"/>
          <w:color w:val="231F20"/>
          <w:sz w:val="20"/>
          <w:szCs w:val="20"/>
        </w:rPr>
        <w:lastRenderedPageBreak/>
        <w:t>Consistent with paragraphs 1, 3, and 6(b), the TAC for 202</w:t>
      </w:r>
      <w:sdt>
        <w:sdtPr>
          <w:tag w:val="goog_rdk_41"/>
          <w:id w:val="1545400404"/>
        </w:sdtPr>
        <w:sdtEndPr/>
        <w:sdtContent>
          <w:r w:rsidRPr="00C833E0">
            <w:rPr>
              <w:rFonts w:ascii="Cambria" w:eastAsia="Cambria" w:hAnsi="Cambria" w:cs="Cambria"/>
              <w:color w:val="231F20"/>
              <w:sz w:val="20"/>
              <w:szCs w:val="20"/>
            </w:rPr>
            <w:t>2</w:t>
          </w:r>
        </w:sdtContent>
      </w:sdt>
      <w:r w:rsidR="00F81F3F" w:rsidRPr="00C833E0">
        <w:t xml:space="preserve"> </w:t>
      </w:r>
      <w:r w:rsidRPr="00C833E0">
        <w:rPr>
          <w:rFonts w:ascii="Cambria" w:eastAsia="Cambria" w:hAnsi="Cambria" w:cs="Cambria"/>
          <w:color w:val="231F20"/>
          <w:sz w:val="20"/>
          <w:szCs w:val="20"/>
        </w:rPr>
        <w:t>results in the following CPC-specific quota allocations (not including bycatch allowances listed in 6(a)):</w:t>
      </w:r>
    </w:p>
    <w:p w14:paraId="69718F68" w14:textId="4497762D" w:rsidR="00B01F87" w:rsidRPr="00C833E0" w:rsidRDefault="00B01F87" w:rsidP="00B01F87">
      <w:pPr>
        <w:tabs>
          <w:tab w:val="left" w:pos="562"/>
        </w:tabs>
        <w:jc w:val="center"/>
        <w:rPr>
          <w:rFonts w:ascii="Cambria" w:eastAsia="Cambria" w:hAnsi="Cambria" w:cs="Cambria"/>
          <w:color w:val="231F20"/>
          <w:sz w:val="20"/>
          <w:szCs w:val="20"/>
        </w:rPr>
      </w:pPr>
    </w:p>
    <w:tbl>
      <w:tblPr>
        <w:tblStyle w:val="TableGrid"/>
        <w:tblW w:w="0" w:type="auto"/>
        <w:jc w:val="center"/>
        <w:tblLook w:val="04A0" w:firstRow="1" w:lastRow="0" w:firstColumn="1" w:lastColumn="0" w:noHBand="0" w:noVBand="1"/>
      </w:tblPr>
      <w:tblGrid>
        <w:gridCol w:w="4132"/>
        <w:gridCol w:w="2242"/>
      </w:tblGrid>
      <w:tr w:rsidR="00B01F87" w:rsidRPr="00C833E0" w14:paraId="4C35C52B" w14:textId="77777777" w:rsidTr="00D12A0F">
        <w:trPr>
          <w:trHeight w:val="243"/>
          <w:jc w:val="center"/>
        </w:trPr>
        <w:tc>
          <w:tcPr>
            <w:tcW w:w="6374" w:type="dxa"/>
            <w:gridSpan w:val="2"/>
            <w:vAlign w:val="center"/>
          </w:tcPr>
          <w:p w14:paraId="3BE49BB2" w14:textId="0BAE023A" w:rsidR="00B01F87" w:rsidRPr="00C833E0" w:rsidRDefault="00B01F87" w:rsidP="00B01F87">
            <w:pPr>
              <w:tabs>
                <w:tab w:val="left" w:pos="562"/>
              </w:tabs>
              <w:jc w:val="center"/>
              <w:rPr>
                <w:rFonts w:ascii="Cambria" w:eastAsia="Cambria" w:hAnsi="Cambria" w:cs="Cambria"/>
                <w:color w:val="231F20"/>
                <w:sz w:val="20"/>
                <w:szCs w:val="20"/>
              </w:rPr>
            </w:pPr>
            <w:r w:rsidRPr="00C833E0">
              <w:rPr>
                <w:rFonts w:ascii="Cambria" w:eastAsia="Cambria" w:hAnsi="Cambria" w:cs="Cambria"/>
                <w:i/>
                <w:color w:val="231F20"/>
                <w:sz w:val="20"/>
                <w:szCs w:val="20"/>
              </w:rPr>
              <w:t>TAC for 2022: 2,726 t</w:t>
            </w:r>
          </w:p>
        </w:tc>
      </w:tr>
      <w:tr w:rsidR="00B01F87" w:rsidRPr="00C833E0" w14:paraId="185DE2EB" w14:textId="77777777" w:rsidTr="00D12A0F">
        <w:trPr>
          <w:trHeight w:val="252"/>
          <w:jc w:val="center"/>
        </w:trPr>
        <w:tc>
          <w:tcPr>
            <w:tcW w:w="4132" w:type="dxa"/>
            <w:vAlign w:val="center"/>
          </w:tcPr>
          <w:p w14:paraId="45D9E3BA" w14:textId="11E4E29E" w:rsidR="00B01F87" w:rsidRPr="00C833E0" w:rsidRDefault="00B01F87">
            <w:pPr>
              <w:tabs>
                <w:tab w:val="left" w:pos="562"/>
              </w:tabs>
              <w:jc w:val="both"/>
              <w:rPr>
                <w:rFonts w:ascii="Cambria" w:eastAsia="Cambria" w:hAnsi="Cambria" w:cs="Cambria"/>
                <w:color w:val="231F20"/>
                <w:sz w:val="20"/>
                <w:szCs w:val="20"/>
              </w:rPr>
            </w:pPr>
            <w:r w:rsidRPr="00C833E0">
              <w:rPr>
                <w:rFonts w:ascii="Cambria" w:eastAsia="Cambria" w:hAnsi="Cambria" w:cs="Cambria"/>
                <w:color w:val="231F20"/>
                <w:sz w:val="20"/>
                <w:szCs w:val="20"/>
              </w:rPr>
              <w:t>United States</w:t>
            </w:r>
          </w:p>
        </w:tc>
        <w:tc>
          <w:tcPr>
            <w:tcW w:w="2242" w:type="dxa"/>
            <w:vAlign w:val="center"/>
          </w:tcPr>
          <w:p w14:paraId="53023FFE" w14:textId="41C71C4A" w:rsidR="00B01F87" w:rsidRPr="00C833E0" w:rsidRDefault="00B01F87" w:rsidP="00B01F87">
            <w:pPr>
              <w:tabs>
                <w:tab w:val="left" w:pos="562"/>
              </w:tabs>
              <w:jc w:val="center"/>
              <w:rPr>
                <w:rFonts w:ascii="Cambria" w:eastAsia="Cambria" w:hAnsi="Cambria" w:cs="Cambria"/>
                <w:color w:val="231F20"/>
                <w:sz w:val="20"/>
                <w:szCs w:val="20"/>
              </w:rPr>
            </w:pPr>
            <w:r w:rsidRPr="00C833E0">
              <w:rPr>
                <w:rFonts w:ascii="Cambria" w:hAnsi="Cambria"/>
                <w:sz w:val="20"/>
                <w:szCs w:val="20"/>
              </w:rPr>
              <w:t>1,316.14</w:t>
            </w:r>
            <w:r w:rsidRPr="00C833E0">
              <w:rPr>
                <w:rFonts w:ascii="Cambria" w:eastAsia="Cambria" w:hAnsi="Cambria" w:cs="Cambria"/>
                <w:color w:val="231F20"/>
                <w:sz w:val="20"/>
                <w:szCs w:val="20"/>
              </w:rPr>
              <w:t xml:space="preserve"> t</w:t>
            </w:r>
          </w:p>
        </w:tc>
      </w:tr>
      <w:tr w:rsidR="00B01F87" w:rsidRPr="00C833E0" w14:paraId="42E7102C" w14:textId="77777777" w:rsidTr="00D12A0F">
        <w:trPr>
          <w:trHeight w:val="243"/>
          <w:jc w:val="center"/>
        </w:trPr>
        <w:tc>
          <w:tcPr>
            <w:tcW w:w="4132" w:type="dxa"/>
            <w:vAlign w:val="center"/>
          </w:tcPr>
          <w:p w14:paraId="64D71D92" w14:textId="7C59E7E4" w:rsidR="00B01F87" w:rsidRPr="00C833E0" w:rsidRDefault="00B01F87">
            <w:pPr>
              <w:tabs>
                <w:tab w:val="left" w:pos="562"/>
              </w:tabs>
              <w:jc w:val="both"/>
              <w:rPr>
                <w:rFonts w:ascii="Cambria" w:eastAsia="Cambria" w:hAnsi="Cambria" w:cs="Cambria"/>
                <w:color w:val="231F20"/>
                <w:sz w:val="20"/>
                <w:szCs w:val="20"/>
              </w:rPr>
            </w:pPr>
            <w:r w:rsidRPr="00C833E0">
              <w:rPr>
                <w:rFonts w:ascii="Cambria" w:eastAsia="Cambria" w:hAnsi="Cambria" w:cs="Cambria"/>
                <w:color w:val="231F20"/>
                <w:sz w:val="20"/>
                <w:szCs w:val="20"/>
                <w:lang w:val="fr-FR"/>
              </w:rPr>
              <w:t>Canada</w:t>
            </w:r>
            <w:r w:rsidRPr="00C833E0">
              <w:rPr>
                <w:rFonts w:ascii="Cambria" w:eastAsia="Cambria" w:hAnsi="Cambria" w:cs="Cambria"/>
                <w:color w:val="231F20"/>
                <w:sz w:val="20"/>
                <w:szCs w:val="20"/>
                <w:lang w:val="fr-FR"/>
              </w:rPr>
              <w:tab/>
            </w:r>
          </w:p>
        </w:tc>
        <w:tc>
          <w:tcPr>
            <w:tcW w:w="2242" w:type="dxa"/>
            <w:vAlign w:val="center"/>
          </w:tcPr>
          <w:p w14:paraId="2B965FD4" w14:textId="06AD1737" w:rsidR="00B01F87" w:rsidRPr="00C833E0" w:rsidRDefault="00B01F87" w:rsidP="00B01F87">
            <w:pPr>
              <w:tabs>
                <w:tab w:val="left" w:pos="562"/>
              </w:tabs>
              <w:jc w:val="center"/>
              <w:rPr>
                <w:rFonts w:ascii="Cambria" w:eastAsia="Cambria" w:hAnsi="Cambria" w:cs="Cambria"/>
                <w:color w:val="231F20"/>
                <w:sz w:val="20"/>
                <w:szCs w:val="20"/>
              </w:rPr>
            </w:pPr>
            <w:r w:rsidRPr="00C833E0">
              <w:rPr>
                <w:rFonts w:ascii="Cambria" w:hAnsi="Cambria"/>
                <w:sz w:val="20"/>
                <w:szCs w:val="20"/>
              </w:rPr>
              <w:t>543.65</w:t>
            </w:r>
            <w:r w:rsidRPr="00C833E0">
              <w:rPr>
                <w:rFonts w:ascii="Cambria" w:eastAsia="Cambria" w:hAnsi="Cambria" w:cs="Cambria"/>
                <w:color w:val="231F20"/>
                <w:sz w:val="20"/>
                <w:szCs w:val="20"/>
                <w:lang w:val="fr-FR"/>
              </w:rPr>
              <w:t xml:space="preserve"> t</w:t>
            </w:r>
          </w:p>
        </w:tc>
      </w:tr>
      <w:tr w:rsidR="00B01F87" w:rsidRPr="00C833E0" w14:paraId="584B0D06" w14:textId="77777777" w:rsidTr="00D12A0F">
        <w:trPr>
          <w:trHeight w:val="252"/>
          <w:jc w:val="center"/>
        </w:trPr>
        <w:tc>
          <w:tcPr>
            <w:tcW w:w="4132" w:type="dxa"/>
            <w:vAlign w:val="center"/>
          </w:tcPr>
          <w:p w14:paraId="35643EC1" w14:textId="76C641AB" w:rsidR="00B01F87" w:rsidRPr="00C833E0" w:rsidRDefault="00B01F87">
            <w:pPr>
              <w:tabs>
                <w:tab w:val="left" w:pos="562"/>
              </w:tabs>
              <w:jc w:val="both"/>
              <w:rPr>
                <w:rFonts w:ascii="Cambria" w:eastAsia="Cambria" w:hAnsi="Cambria" w:cs="Cambria"/>
                <w:color w:val="231F20"/>
                <w:sz w:val="20"/>
                <w:szCs w:val="20"/>
              </w:rPr>
            </w:pPr>
            <w:r w:rsidRPr="00C833E0">
              <w:rPr>
                <w:rFonts w:ascii="Cambria" w:eastAsia="Cambria" w:hAnsi="Cambria" w:cs="Cambria"/>
                <w:color w:val="231F20"/>
                <w:sz w:val="20"/>
                <w:szCs w:val="20"/>
                <w:lang w:val="fr-FR"/>
              </w:rPr>
              <w:t>Japan</w:t>
            </w:r>
          </w:p>
        </w:tc>
        <w:tc>
          <w:tcPr>
            <w:tcW w:w="2242" w:type="dxa"/>
            <w:vAlign w:val="center"/>
          </w:tcPr>
          <w:p w14:paraId="61C832A0" w14:textId="3D7C0086" w:rsidR="00B01F87" w:rsidRPr="00C833E0" w:rsidRDefault="00B01F87" w:rsidP="00B01F87">
            <w:pPr>
              <w:tabs>
                <w:tab w:val="left" w:pos="562"/>
              </w:tabs>
              <w:jc w:val="center"/>
              <w:rPr>
                <w:rFonts w:ascii="Cambria" w:eastAsia="Cambria" w:hAnsi="Cambria" w:cs="Cambria"/>
                <w:color w:val="231F20"/>
                <w:sz w:val="20"/>
                <w:szCs w:val="20"/>
              </w:rPr>
            </w:pPr>
            <w:r w:rsidRPr="00C833E0">
              <w:rPr>
                <w:rFonts w:ascii="Cambria" w:hAnsi="Cambria"/>
                <w:sz w:val="20"/>
                <w:szCs w:val="20"/>
              </w:rPr>
              <w:t>664.52</w:t>
            </w:r>
            <w:r w:rsidRPr="00C833E0">
              <w:rPr>
                <w:rFonts w:ascii="Cambria" w:eastAsia="Cambria" w:hAnsi="Cambria" w:cs="Cambria"/>
                <w:color w:val="231F20"/>
                <w:sz w:val="20"/>
                <w:szCs w:val="20"/>
                <w:lang w:val="fr-FR"/>
              </w:rPr>
              <w:t xml:space="preserve"> t</w:t>
            </w:r>
          </w:p>
        </w:tc>
      </w:tr>
      <w:tr w:rsidR="00B01F87" w:rsidRPr="00C833E0" w14:paraId="238D222F" w14:textId="77777777" w:rsidTr="00D12A0F">
        <w:trPr>
          <w:trHeight w:val="243"/>
          <w:jc w:val="center"/>
        </w:trPr>
        <w:tc>
          <w:tcPr>
            <w:tcW w:w="4132" w:type="dxa"/>
            <w:vAlign w:val="center"/>
          </w:tcPr>
          <w:p w14:paraId="523F8468" w14:textId="1483782B" w:rsidR="00B01F87" w:rsidRPr="00C833E0" w:rsidRDefault="00B01F87">
            <w:pPr>
              <w:tabs>
                <w:tab w:val="left" w:pos="562"/>
              </w:tabs>
              <w:jc w:val="both"/>
              <w:rPr>
                <w:rFonts w:ascii="Cambria" w:eastAsia="Cambria" w:hAnsi="Cambria" w:cs="Cambria"/>
                <w:color w:val="231F20"/>
                <w:sz w:val="20"/>
                <w:szCs w:val="20"/>
              </w:rPr>
            </w:pPr>
            <w:r w:rsidRPr="00C833E0">
              <w:rPr>
                <w:rFonts w:ascii="Cambria" w:eastAsia="Cambria" w:hAnsi="Cambria" w:cs="Cambria"/>
                <w:color w:val="231F20"/>
                <w:sz w:val="20"/>
                <w:szCs w:val="20"/>
              </w:rPr>
              <w:t>United Kingdom (in respect of Bermuda)</w:t>
            </w:r>
          </w:p>
        </w:tc>
        <w:tc>
          <w:tcPr>
            <w:tcW w:w="2242" w:type="dxa"/>
            <w:vAlign w:val="center"/>
          </w:tcPr>
          <w:p w14:paraId="69C772D4" w14:textId="296011AA" w:rsidR="00B01F87" w:rsidRPr="00C833E0" w:rsidRDefault="00B01F87" w:rsidP="00B01F87">
            <w:pPr>
              <w:tabs>
                <w:tab w:val="left" w:pos="562"/>
              </w:tabs>
              <w:jc w:val="center"/>
              <w:rPr>
                <w:rFonts w:ascii="Cambria" w:eastAsia="Cambria" w:hAnsi="Cambria" w:cs="Cambria"/>
                <w:color w:val="231F20"/>
                <w:sz w:val="20"/>
                <w:szCs w:val="20"/>
              </w:rPr>
            </w:pPr>
            <w:r w:rsidRPr="00C833E0">
              <w:rPr>
                <w:rFonts w:ascii="Cambria" w:hAnsi="Cambria"/>
                <w:sz w:val="20"/>
                <w:szCs w:val="20"/>
              </w:rPr>
              <w:t>6.18</w:t>
            </w:r>
            <w:r w:rsidRPr="00C833E0">
              <w:rPr>
                <w:rFonts w:ascii="Cambria" w:eastAsia="Cambria" w:hAnsi="Cambria" w:cs="Cambria"/>
                <w:color w:val="231F20"/>
                <w:sz w:val="20"/>
                <w:szCs w:val="20"/>
              </w:rPr>
              <w:t xml:space="preserve"> t</w:t>
            </w:r>
          </w:p>
        </w:tc>
      </w:tr>
      <w:tr w:rsidR="00B01F87" w:rsidRPr="00C833E0" w14:paraId="221C647D" w14:textId="77777777" w:rsidTr="00D12A0F">
        <w:trPr>
          <w:trHeight w:val="288"/>
          <w:jc w:val="center"/>
        </w:trPr>
        <w:tc>
          <w:tcPr>
            <w:tcW w:w="4132" w:type="dxa"/>
            <w:vAlign w:val="center"/>
          </w:tcPr>
          <w:p w14:paraId="78651F84" w14:textId="6976B4B7" w:rsidR="00B01F87" w:rsidRPr="00C833E0" w:rsidRDefault="00B01F87">
            <w:pPr>
              <w:tabs>
                <w:tab w:val="left" w:pos="562"/>
              </w:tabs>
              <w:jc w:val="both"/>
              <w:rPr>
                <w:rFonts w:ascii="Cambria" w:eastAsia="Cambria" w:hAnsi="Cambria" w:cs="Cambria"/>
                <w:color w:val="231F20"/>
                <w:sz w:val="20"/>
                <w:szCs w:val="20"/>
              </w:rPr>
            </w:pPr>
            <w:r w:rsidRPr="00C833E0">
              <w:rPr>
                <w:rFonts w:ascii="Cambria" w:eastAsia="Cambria" w:hAnsi="Cambria" w:cs="Cambria"/>
                <w:color w:val="231F20"/>
                <w:sz w:val="20"/>
                <w:szCs w:val="20"/>
              </w:rPr>
              <w:t>France (in respect of St. Pierre &amp; Miquelon)</w:t>
            </w:r>
          </w:p>
        </w:tc>
        <w:tc>
          <w:tcPr>
            <w:tcW w:w="2242" w:type="dxa"/>
            <w:vAlign w:val="center"/>
          </w:tcPr>
          <w:p w14:paraId="5A76FEDE" w14:textId="4039C0CE" w:rsidR="00B01F87" w:rsidRPr="00C833E0" w:rsidRDefault="00B01F87" w:rsidP="00B01F87">
            <w:pPr>
              <w:pBdr>
                <w:top w:val="none" w:sz="0" w:space="0" w:color="000000"/>
                <w:left w:val="none" w:sz="0" w:space="0" w:color="000000"/>
                <w:bottom w:val="none" w:sz="0" w:space="0" w:color="000000"/>
                <w:right w:val="none" w:sz="0" w:space="0" w:color="000000"/>
                <w:between w:val="none" w:sz="0" w:space="0" w:color="000000"/>
              </w:pBdr>
              <w:spacing w:before="48"/>
              <w:jc w:val="center"/>
              <w:rPr>
                <w:rFonts w:ascii="Cambria" w:eastAsia="Cambria" w:hAnsi="Cambria" w:cs="Cambria"/>
                <w:color w:val="231F20"/>
                <w:sz w:val="20"/>
                <w:szCs w:val="20"/>
              </w:rPr>
            </w:pPr>
            <w:r w:rsidRPr="00C833E0">
              <w:rPr>
                <w:rFonts w:ascii="Cambria" w:hAnsi="Cambria"/>
                <w:sz w:val="20"/>
                <w:szCs w:val="20"/>
              </w:rPr>
              <w:t>6.18</w:t>
            </w:r>
            <w:r w:rsidRPr="00C833E0">
              <w:rPr>
                <w:rFonts w:ascii="Cambria" w:eastAsia="Cambria" w:hAnsi="Cambria" w:cs="Cambria"/>
                <w:color w:val="231F20"/>
                <w:sz w:val="20"/>
                <w:szCs w:val="20"/>
              </w:rPr>
              <w:t xml:space="preserve"> t</w:t>
            </w:r>
          </w:p>
        </w:tc>
      </w:tr>
      <w:tr w:rsidR="00B01F87" w:rsidRPr="00C833E0" w14:paraId="5E43DA0A" w14:textId="77777777" w:rsidTr="00D12A0F">
        <w:trPr>
          <w:trHeight w:val="339"/>
          <w:jc w:val="center"/>
        </w:trPr>
        <w:tc>
          <w:tcPr>
            <w:tcW w:w="4132" w:type="dxa"/>
            <w:vAlign w:val="center"/>
          </w:tcPr>
          <w:p w14:paraId="3647E115" w14:textId="44F1FEDB" w:rsidR="00B01F87" w:rsidRPr="00C833E0" w:rsidRDefault="00B01F87">
            <w:pPr>
              <w:tabs>
                <w:tab w:val="left" w:pos="562"/>
              </w:tabs>
              <w:jc w:val="both"/>
              <w:rPr>
                <w:rFonts w:ascii="Cambria" w:eastAsia="Cambria" w:hAnsi="Cambria" w:cs="Cambria"/>
                <w:color w:val="231F20"/>
                <w:sz w:val="20"/>
                <w:szCs w:val="20"/>
              </w:rPr>
            </w:pPr>
            <w:r w:rsidRPr="00C833E0">
              <w:rPr>
                <w:rFonts w:ascii="Cambria" w:eastAsia="Cambria" w:hAnsi="Cambria" w:cs="Cambria"/>
                <w:color w:val="231F20"/>
                <w:sz w:val="20"/>
                <w:szCs w:val="20"/>
              </w:rPr>
              <w:t>Mexico</w:t>
            </w:r>
          </w:p>
        </w:tc>
        <w:tc>
          <w:tcPr>
            <w:tcW w:w="2242" w:type="dxa"/>
            <w:vAlign w:val="center"/>
          </w:tcPr>
          <w:p w14:paraId="7E92BC04" w14:textId="1BDAE5DC" w:rsidR="00B01F87" w:rsidRPr="00C833E0" w:rsidRDefault="00B01F87" w:rsidP="00B01F87">
            <w:pPr>
              <w:pBdr>
                <w:top w:val="none" w:sz="0" w:space="0" w:color="000000"/>
                <w:left w:val="none" w:sz="0" w:space="0" w:color="000000"/>
                <w:bottom w:val="none" w:sz="0" w:space="0" w:color="000000"/>
                <w:right w:val="none" w:sz="0" w:space="0" w:color="000000"/>
                <w:between w:val="none" w:sz="0" w:space="0" w:color="000000"/>
              </w:pBdr>
              <w:spacing w:before="49"/>
              <w:ind w:right="9"/>
              <w:jc w:val="center"/>
              <w:rPr>
                <w:rFonts w:ascii="Cambria" w:eastAsia="Cambria" w:hAnsi="Cambria" w:cs="Cambria"/>
                <w:color w:val="231F20"/>
                <w:sz w:val="20"/>
                <w:szCs w:val="20"/>
              </w:rPr>
            </w:pPr>
            <w:r w:rsidRPr="00C833E0">
              <w:rPr>
                <w:rFonts w:ascii="Cambria" w:hAnsi="Cambria"/>
                <w:sz w:val="20"/>
                <w:szCs w:val="20"/>
              </w:rPr>
              <w:t>149.34</w:t>
            </w:r>
            <w:r w:rsidRPr="00C833E0">
              <w:rPr>
                <w:rFonts w:ascii="Cambria" w:eastAsia="Cambria" w:hAnsi="Cambria" w:cs="Cambria"/>
                <w:color w:val="231F20"/>
                <w:sz w:val="20"/>
                <w:szCs w:val="20"/>
              </w:rPr>
              <w:t xml:space="preserve"> t</w:t>
            </w:r>
          </w:p>
        </w:tc>
      </w:tr>
    </w:tbl>
    <w:p w14:paraId="019D7DAF" w14:textId="77777777" w:rsidR="00B01F87" w:rsidRPr="00C833E0" w:rsidRDefault="00B01F87">
      <w:pPr>
        <w:tabs>
          <w:tab w:val="left" w:pos="562"/>
        </w:tabs>
        <w:jc w:val="both"/>
        <w:rPr>
          <w:rFonts w:ascii="Cambria" w:eastAsia="Cambria" w:hAnsi="Cambria" w:cs="Cambria"/>
          <w:color w:val="231F20"/>
          <w:sz w:val="20"/>
          <w:szCs w:val="20"/>
        </w:rPr>
      </w:pPr>
    </w:p>
    <w:p w14:paraId="00000075" w14:textId="77777777" w:rsidR="00C21388" w:rsidRPr="00C833E0" w:rsidRDefault="00EB2CD8" w:rsidP="00FC1842">
      <w:pPr>
        <w:ind w:left="1701"/>
        <w:jc w:val="both"/>
        <w:rPr>
          <w:rFonts w:ascii="Cambria" w:eastAsia="Cambria" w:hAnsi="Cambria" w:cs="Cambria"/>
          <w:color w:val="231F20"/>
          <w:sz w:val="20"/>
          <w:szCs w:val="20"/>
        </w:rPr>
      </w:pPr>
      <w:r w:rsidRPr="00C833E0">
        <w:rPr>
          <w:rFonts w:ascii="Cambria" w:eastAsia="Cambria" w:hAnsi="Cambria" w:cs="Cambria"/>
          <w:color w:val="231F20"/>
          <w:sz w:val="20"/>
          <w:szCs w:val="20"/>
        </w:rPr>
        <w:t>In no case shall the allocation to France (in respect of St. Pierre &amp; Miquelon) and to the United Kingdom (in respect of Bermuda) be less than 4 t each in any single year unless the fishery is closed.</w:t>
      </w:r>
    </w:p>
    <w:p w14:paraId="00000076" w14:textId="77777777" w:rsidR="00C21388" w:rsidRPr="00C833E0" w:rsidRDefault="00C21388" w:rsidP="00FC1842">
      <w:pPr>
        <w:ind w:left="993"/>
        <w:jc w:val="both"/>
        <w:rPr>
          <w:rFonts w:ascii="Cambria" w:eastAsia="Cambria" w:hAnsi="Cambria" w:cs="Cambria"/>
          <w:sz w:val="20"/>
          <w:szCs w:val="20"/>
        </w:rPr>
      </w:pPr>
    </w:p>
    <w:p w14:paraId="00000077" w14:textId="3EEAF133" w:rsidR="00C21388" w:rsidRPr="00C833E0" w:rsidRDefault="00EB2CD8" w:rsidP="00FC1842">
      <w:pPr>
        <w:numPr>
          <w:ilvl w:val="1"/>
          <w:numId w:val="1"/>
        </w:numPr>
        <w:tabs>
          <w:tab w:val="left" w:pos="1701"/>
        </w:tabs>
        <w:ind w:left="1701" w:hanging="425"/>
        <w:jc w:val="both"/>
        <w:rPr>
          <w:rFonts w:ascii="Cambria" w:eastAsia="Cambria" w:hAnsi="Cambria" w:cs="Cambria"/>
          <w:color w:val="231F20"/>
          <w:sz w:val="20"/>
          <w:szCs w:val="20"/>
        </w:rPr>
      </w:pPr>
      <w:r w:rsidRPr="00C833E0">
        <w:rPr>
          <w:rFonts w:ascii="Cambria" w:eastAsia="Cambria" w:hAnsi="Cambria" w:cs="Cambria"/>
          <w:color w:val="231F20"/>
          <w:sz w:val="20"/>
          <w:szCs w:val="20"/>
        </w:rPr>
        <w:t xml:space="preserve">Depending on availability, Mexico can transfer up to </w:t>
      </w:r>
      <w:r w:rsidR="00AD07B5" w:rsidRPr="00C833E0">
        <w:rPr>
          <w:rFonts w:ascii="Cambria" w:eastAsia="Cambria" w:hAnsi="Cambria" w:cs="Cambria"/>
          <w:color w:val="231F20"/>
          <w:sz w:val="20"/>
          <w:szCs w:val="20"/>
        </w:rPr>
        <w:t>149.34</w:t>
      </w:r>
      <w:r w:rsidRPr="00C833E0">
        <w:rPr>
          <w:rFonts w:ascii="Cambria" w:eastAsia="Cambria" w:hAnsi="Cambria" w:cs="Cambria"/>
          <w:color w:val="231F20"/>
          <w:sz w:val="20"/>
          <w:szCs w:val="20"/>
        </w:rPr>
        <w:t xml:space="preserve"> t of its adjusted 2022 quota</w:t>
      </w:r>
      <w:r w:rsidR="0077229B" w:rsidRPr="00C833E0">
        <w:rPr>
          <w:rFonts w:ascii="Cambria" w:eastAsia="Cambria" w:hAnsi="Cambria" w:cs="Cambria"/>
          <w:color w:val="231F20"/>
          <w:sz w:val="20"/>
          <w:szCs w:val="20"/>
        </w:rPr>
        <w:t xml:space="preserve"> </w:t>
      </w:r>
      <w:r w:rsidRPr="00C833E0">
        <w:rPr>
          <w:rFonts w:ascii="Cambria" w:eastAsia="Cambria" w:hAnsi="Cambria" w:cs="Cambria"/>
          <w:color w:val="231F20"/>
          <w:sz w:val="20"/>
          <w:szCs w:val="20"/>
        </w:rPr>
        <w:t>to Canada to support cooperative research as specified in paragraph 20.</w:t>
      </w:r>
    </w:p>
    <w:p w14:paraId="00000078" w14:textId="77777777" w:rsidR="00C21388" w:rsidRPr="00C833E0" w:rsidRDefault="00C21388" w:rsidP="00FC1842">
      <w:pPr>
        <w:tabs>
          <w:tab w:val="left" w:pos="562"/>
        </w:tabs>
        <w:ind w:left="797"/>
        <w:jc w:val="both"/>
        <w:rPr>
          <w:rFonts w:ascii="Cambria" w:eastAsia="Cambria" w:hAnsi="Cambria" w:cs="Cambria"/>
          <w:color w:val="231F20"/>
          <w:sz w:val="20"/>
          <w:szCs w:val="20"/>
        </w:rPr>
      </w:pPr>
    </w:p>
    <w:p w14:paraId="00000079" w14:textId="1F139795" w:rsidR="00C21388" w:rsidRPr="00C833E0" w:rsidRDefault="00EB2CD8" w:rsidP="00FC1842">
      <w:pPr>
        <w:numPr>
          <w:ilvl w:val="1"/>
          <w:numId w:val="1"/>
        </w:numPr>
        <w:tabs>
          <w:tab w:val="left" w:pos="1701"/>
        </w:tabs>
        <w:ind w:left="1701" w:hanging="425"/>
        <w:jc w:val="both"/>
        <w:rPr>
          <w:rFonts w:ascii="Cambria" w:eastAsia="Cambria" w:hAnsi="Cambria" w:cs="Cambria"/>
          <w:sz w:val="20"/>
          <w:szCs w:val="20"/>
        </w:rPr>
      </w:pPr>
      <w:r w:rsidRPr="00C833E0">
        <w:rPr>
          <w:rFonts w:ascii="Cambria" w:eastAsia="Cambria" w:hAnsi="Cambria" w:cs="Cambria"/>
          <w:color w:val="231F20"/>
          <w:sz w:val="20"/>
          <w:szCs w:val="20"/>
        </w:rPr>
        <w:t>Depending on availability, the United Kingdom (in respect of Bermuda) can transfer up to the amount of its adjusted 2022 quota to the United States to support cooperative research as specified in paragraph 20.</w:t>
      </w:r>
    </w:p>
    <w:p w14:paraId="0000007A" w14:textId="77777777" w:rsidR="00C21388" w:rsidRPr="00C833E0" w:rsidRDefault="00C21388" w:rsidP="00FC1842">
      <w:pPr>
        <w:tabs>
          <w:tab w:val="left" w:pos="562"/>
        </w:tabs>
        <w:ind w:left="797"/>
        <w:jc w:val="both"/>
        <w:rPr>
          <w:rFonts w:ascii="Cambria" w:eastAsia="Cambria" w:hAnsi="Cambria" w:cs="Cambria"/>
          <w:color w:val="231F20"/>
          <w:sz w:val="20"/>
          <w:szCs w:val="20"/>
        </w:rPr>
      </w:pPr>
    </w:p>
    <w:p w14:paraId="0000007B" w14:textId="4CD8E733" w:rsidR="00C21388" w:rsidRPr="00C833E0" w:rsidRDefault="00EB2CD8" w:rsidP="00FC1842">
      <w:pPr>
        <w:numPr>
          <w:ilvl w:val="1"/>
          <w:numId w:val="1"/>
        </w:numPr>
        <w:tabs>
          <w:tab w:val="left" w:pos="1701"/>
        </w:tabs>
        <w:ind w:left="1701" w:hanging="425"/>
        <w:jc w:val="both"/>
        <w:rPr>
          <w:rFonts w:ascii="Cambria" w:eastAsia="Cambria" w:hAnsi="Cambria" w:cs="Cambria"/>
          <w:sz w:val="20"/>
          <w:szCs w:val="20"/>
        </w:rPr>
      </w:pPr>
      <w:r w:rsidRPr="00C833E0">
        <w:rPr>
          <w:rFonts w:ascii="Cambria" w:eastAsia="Cambria" w:hAnsi="Cambria" w:cs="Cambria"/>
          <w:color w:val="231F20"/>
          <w:sz w:val="20"/>
          <w:szCs w:val="20"/>
        </w:rPr>
        <w:t>Depending on availability, France (in respect of St. Pierre &amp; Miquelon) can transfer up to the amount of its adjusted 2022 quota to Canada to support cooperative research as specified in paragraph 20.</w:t>
      </w:r>
    </w:p>
    <w:p w14:paraId="0000007C" w14:textId="77777777" w:rsidR="00C21388" w:rsidRPr="00C833E0" w:rsidRDefault="00C21388" w:rsidP="00FC1842">
      <w:pPr>
        <w:pBdr>
          <w:top w:val="nil"/>
          <w:left w:val="nil"/>
          <w:bottom w:val="nil"/>
          <w:right w:val="nil"/>
          <w:between w:val="nil"/>
        </w:pBdr>
        <w:ind w:left="720"/>
        <w:jc w:val="both"/>
        <w:rPr>
          <w:rFonts w:ascii="Cambria" w:eastAsia="Cambria" w:hAnsi="Cambria" w:cs="Cambria"/>
          <w:color w:val="000000"/>
          <w:sz w:val="20"/>
          <w:szCs w:val="20"/>
        </w:rPr>
      </w:pPr>
    </w:p>
    <w:p w14:paraId="0000007D" w14:textId="67ADFF1B" w:rsidR="00C21388" w:rsidRPr="00C833E0" w:rsidRDefault="00EB2CD8" w:rsidP="00FC1842">
      <w:pPr>
        <w:numPr>
          <w:ilvl w:val="1"/>
          <w:numId w:val="1"/>
        </w:numPr>
        <w:tabs>
          <w:tab w:val="left" w:pos="1701"/>
        </w:tabs>
        <w:ind w:left="1701" w:hanging="425"/>
        <w:jc w:val="both"/>
        <w:rPr>
          <w:rFonts w:ascii="Cambria" w:eastAsia="Cambria" w:hAnsi="Cambria" w:cs="Cambria"/>
          <w:sz w:val="20"/>
          <w:szCs w:val="20"/>
        </w:rPr>
      </w:pPr>
      <w:r w:rsidRPr="00C833E0">
        <w:rPr>
          <w:rFonts w:ascii="Cambria" w:eastAsia="Cambria" w:hAnsi="Cambria" w:cs="Cambria"/>
          <w:color w:val="231F20"/>
          <w:sz w:val="20"/>
          <w:szCs w:val="20"/>
        </w:rPr>
        <w:t>CPCs planning to engage in the cooperative research activities specified in paragraphs</w:t>
      </w:r>
      <w:r w:rsidR="00BF6386" w:rsidRPr="00C833E0">
        <w:rPr>
          <w:rFonts w:ascii="Cambria" w:eastAsia="Cambria" w:hAnsi="Cambria" w:cs="Cambria"/>
          <w:color w:val="231F20"/>
          <w:sz w:val="20"/>
          <w:szCs w:val="20"/>
        </w:rPr>
        <w:t> </w:t>
      </w:r>
      <w:r w:rsidRPr="00C833E0">
        <w:rPr>
          <w:rFonts w:ascii="Cambria" w:eastAsia="Cambria" w:hAnsi="Cambria" w:cs="Cambria"/>
          <w:color w:val="231F20"/>
          <w:sz w:val="20"/>
          <w:szCs w:val="20"/>
        </w:rPr>
        <w:t xml:space="preserve">6(d), 6(e), and 6(f) above shall notify the Commission and the SCRS of the details of their research programs to be undertaken before they </w:t>
      </w:r>
      <w:proofErr w:type="gramStart"/>
      <w:r w:rsidRPr="00C833E0">
        <w:rPr>
          <w:rFonts w:ascii="Cambria" w:eastAsia="Cambria" w:hAnsi="Cambria" w:cs="Cambria"/>
          <w:color w:val="231F20"/>
          <w:sz w:val="20"/>
          <w:szCs w:val="20"/>
        </w:rPr>
        <w:t>commence, and</w:t>
      </w:r>
      <w:proofErr w:type="gramEnd"/>
      <w:r w:rsidRPr="00C833E0">
        <w:rPr>
          <w:rFonts w:ascii="Cambria" w:eastAsia="Cambria" w:hAnsi="Cambria" w:cs="Cambria"/>
          <w:color w:val="231F20"/>
          <w:sz w:val="20"/>
          <w:szCs w:val="20"/>
        </w:rPr>
        <w:t xml:space="preserve"> present the results of the research to the SCRS.</w:t>
      </w:r>
      <w:r w:rsidR="00EF09D8" w:rsidRPr="00C833E0">
        <w:rPr>
          <w:rFonts w:ascii="Cambria" w:eastAsia="Cambria" w:hAnsi="Cambria" w:cs="Cambria"/>
          <w:color w:val="231F20"/>
          <w:sz w:val="20"/>
          <w:szCs w:val="20"/>
        </w:rPr>
        <w:t>”</w:t>
      </w:r>
    </w:p>
    <w:p w14:paraId="0000007E" w14:textId="77777777" w:rsidR="00C21388" w:rsidRPr="00C833E0" w:rsidRDefault="00C21388">
      <w:pPr>
        <w:tabs>
          <w:tab w:val="left" w:pos="562"/>
        </w:tabs>
        <w:ind w:left="993"/>
        <w:jc w:val="both"/>
        <w:rPr>
          <w:rFonts w:ascii="Cambria" w:eastAsia="Cambria" w:hAnsi="Cambria" w:cs="Cambria"/>
          <w:color w:val="231F20"/>
          <w:sz w:val="20"/>
          <w:szCs w:val="20"/>
        </w:rPr>
      </w:pPr>
    </w:p>
    <w:p w14:paraId="0000007F" w14:textId="2BCEBF01" w:rsidR="00C21388" w:rsidRPr="00C833E0" w:rsidRDefault="00EB2CD8" w:rsidP="00877B48">
      <w:pPr>
        <w:pStyle w:val="ListParagraph"/>
        <w:numPr>
          <w:ilvl w:val="0"/>
          <w:numId w:val="4"/>
        </w:numPr>
        <w:ind w:left="851" w:hanging="425"/>
        <w:jc w:val="both"/>
        <w:rPr>
          <w:rFonts w:ascii="Cambria" w:eastAsia="Cambria" w:hAnsi="Cambria" w:cs="Cambria"/>
          <w:sz w:val="20"/>
          <w:szCs w:val="20"/>
        </w:rPr>
      </w:pPr>
      <w:r w:rsidRPr="00C833E0">
        <w:rPr>
          <w:rFonts w:ascii="Cambria" w:eastAsia="Cambria" w:hAnsi="Cambria" w:cs="Cambria"/>
          <w:sz w:val="20"/>
          <w:szCs w:val="20"/>
        </w:rPr>
        <w:t>Paragraph 16 shall be replaced with:</w:t>
      </w:r>
    </w:p>
    <w:p w14:paraId="00000080" w14:textId="77777777" w:rsidR="00C21388" w:rsidRPr="00C833E0" w:rsidRDefault="00C21388">
      <w:pPr>
        <w:ind w:left="528"/>
        <w:rPr>
          <w:rFonts w:ascii="Cambria" w:eastAsia="Cambria" w:hAnsi="Cambria" w:cs="Cambria"/>
          <w:sz w:val="20"/>
          <w:szCs w:val="20"/>
        </w:rPr>
      </w:pPr>
    </w:p>
    <w:p w14:paraId="00000081" w14:textId="42C6E041" w:rsidR="00C21388" w:rsidRPr="00C833E0" w:rsidRDefault="00EB2CD8" w:rsidP="00FC1842">
      <w:pPr>
        <w:tabs>
          <w:tab w:val="left" w:pos="1276"/>
        </w:tabs>
        <w:ind w:left="1276" w:right="46" w:hanging="425"/>
        <w:jc w:val="both"/>
        <w:rPr>
          <w:rFonts w:ascii="Cambria" w:eastAsia="Cambria" w:hAnsi="Cambria" w:cs="Cambria"/>
          <w:color w:val="231F20"/>
          <w:sz w:val="20"/>
          <w:szCs w:val="20"/>
        </w:rPr>
      </w:pPr>
      <w:r w:rsidRPr="00C833E0">
        <w:rPr>
          <w:rFonts w:ascii="Cambria" w:eastAsia="Cambria" w:hAnsi="Cambria" w:cs="Cambria"/>
          <w:sz w:val="20"/>
          <w:szCs w:val="20"/>
        </w:rPr>
        <w:t>“16.</w:t>
      </w:r>
      <w:r w:rsidR="00997608" w:rsidRPr="00C833E0">
        <w:rPr>
          <w:rFonts w:ascii="Cambria" w:eastAsia="Cambria" w:hAnsi="Cambria" w:cs="Cambria"/>
          <w:sz w:val="20"/>
          <w:szCs w:val="20"/>
        </w:rPr>
        <w:tab/>
      </w:r>
      <w:r w:rsidRPr="00C833E0">
        <w:rPr>
          <w:rFonts w:ascii="Cambria" w:eastAsia="Cambria" w:hAnsi="Cambria" w:cs="Cambria"/>
          <w:sz w:val="20"/>
          <w:szCs w:val="20"/>
        </w:rPr>
        <w:t>T</w:t>
      </w:r>
      <w:r w:rsidRPr="00C833E0">
        <w:rPr>
          <w:rFonts w:ascii="Cambria" w:eastAsia="Cambria" w:hAnsi="Cambria" w:cs="Cambria"/>
          <w:color w:val="231F20"/>
          <w:sz w:val="20"/>
          <w:szCs w:val="20"/>
        </w:rPr>
        <w:t>he SCRS shall continue to refine the MSE and test candidate MPs in 2022. In support of this effort, the SCRS and Panel 2 shall hold three MSE dialogue meetings in 2022. At the 2022 ICCAT Annual Meeting, the Commission shall review the final candidate MPs and, select one for adoption and application to establish the TAC for 2023 and future years, including pre-agreed management actions to be taken under various stock conditions.”</w:t>
      </w:r>
    </w:p>
    <w:p w14:paraId="39D49F1F" w14:textId="77777777" w:rsidR="003B5B0C" w:rsidRPr="00C833E0" w:rsidRDefault="003B5B0C" w:rsidP="002417B3">
      <w:pPr>
        <w:ind w:right="46"/>
        <w:jc w:val="both"/>
        <w:rPr>
          <w:rFonts w:ascii="Cambria" w:eastAsia="Cambria" w:hAnsi="Cambria" w:cs="Cambria"/>
          <w:color w:val="231F20"/>
          <w:sz w:val="12"/>
          <w:szCs w:val="12"/>
        </w:rPr>
      </w:pPr>
    </w:p>
    <w:p w14:paraId="00000087" w14:textId="2BD26253" w:rsidR="00C21388" w:rsidRPr="00C833E0" w:rsidRDefault="00EB2CD8" w:rsidP="00877B48">
      <w:pPr>
        <w:pStyle w:val="ListParagraph"/>
        <w:numPr>
          <w:ilvl w:val="0"/>
          <w:numId w:val="4"/>
        </w:numPr>
        <w:ind w:left="851" w:hanging="425"/>
        <w:jc w:val="both"/>
        <w:rPr>
          <w:rFonts w:ascii="Cambria" w:eastAsia="Cambria" w:hAnsi="Cambria" w:cs="Cambria"/>
          <w:color w:val="231F20"/>
          <w:sz w:val="20"/>
          <w:szCs w:val="20"/>
        </w:rPr>
      </w:pPr>
      <w:r w:rsidRPr="00C833E0">
        <w:rPr>
          <w:rFonts w:ascii="Cambria" w:eastAsia="Cambria" w:hAnsi="Cambria" w:cs="Cambria"/>
          <w:color w:val="231F20"/>
          <w:sz w:val="20"/>
          <w:szCs w:val="20"/>
        </w:rPr>
        <w:t>Paragraph 18 shall be replaced with:</w:t>
      </w:r>
    </w:p>
    <w:p w14:paraId="00000088" w14:textId="77777777" w:rsidR="00C21388" w:rsidRPr="00C833E0" w:rsidRDefault="00C21388">
      <w:pPr>
        <w:ind w:left="527"/>
        <w:jc w:val="center"/>
        <w:rPr>
          <w:rFonts w:ascii="Cambria" w:eastAsia="Cambria" w:hAnsi="Cambria" w:cs="Cambria"/>
          <w:sz w:val="12"/>
          <w:szCs w:val="12"/>
        </w:rPr>
      </w:pPr>
    </w:p>
    <w:p w14:paraId="00000089" w14:textId="77AC4191" w:rsidR="00C21388" w:rsidRPr="00C833E0" w:rsidRDefault="00EB2CD8" w:rsidP="00FC1842">
      <w:pPr>
        <w:tabs>
          <w:tab w:val="left" w:pos="1276"/>
        </w:tabs>
        <w:ind w:left="1276" w:right="48" w:hanging="425"/>
        <w:jc w:val="both"/>
        <w:rPr>
          <w:rFonts w:ascii="Cambria" w:eastAsia="Cambria" w:hAnsi="Cambria" w:cs="Cambria"/>
          <w:strike/>
          <w:color w:val="231F20"/>
          <w:sz w:val="20"/>
          <w:szCs w:val="20"/>
        </w:rPr>
      </w:pPr>
      <w:r w:rsidRPr="00C833E0">
        <w:rPr>
          <w:rFonts w:ascii="Cambria" w:eastAsia="Cambria" w:hAnsi="Cambria" w:cs="Cambria"/>
          <w:sz w:val="20"/>
          <w:szCs w:val="20"/>
        </w:rPr>
        <w:t>“18.</w:t>
      </w:r>
      <w:r w:rsidR="00997608" w:rsidRPr="00C833E0">
        <w:rPr>
          <w:rFonts w:ascii="Cambria" w:eastAsia="Cambria" w:hAnsi="Cambria" w:cs="Cambria"/>
          <w:sz w:val="20"/>
          <w:szCs w:val="20"/>
        </w:rPr>
        <w:tab/>
      </w:r>
      <w:r w:rsidRPr="00C833E0">
        <w:rPr>
          <w:rFonts w:ascii="Cambria" w:eastAsia="Cambria" w:hAnsi="Cambria" w:cs="Cambria"/>
          <w:sz w:val="20"/>
          <w:szCs w:val="20"/>
        </w:rPr>
        <w:t>By 2022</w:t>
      </w:r>
      <w:r w:rsidRPr="00C833E0">
        <w:rPr>
          <w:rFonts w:ascii="Cambria" w:eastAsia="Cambria" w:hAnsi="Cambria" w:cs="Cambria"/>
          <w:color w:val="231F20"/>
          <w:sz w:val="20"/>
          <w:szCs w:val="20"/>
        </w:rPr>
        <w:t>, the SCRS shall provide the Commission with advice on any potential impacts due to uncertainties (including regarding the spawner-recruit relationship) of implementing an F</w:t>
      </w:r>
      <w:r w:rsidRPr="00C833E0">
        <w:rPr>
          <w:rFonts w:ascii="Cambria" w:eastAsia="Cambria" w:hAnsi="Cambria" w:cs="Cambria"/>
          <w:color w:val="231F20"/>
          <w:sz w:val="20"/>
          <w:szCs w:val="20"/>
          <w:vertAlign w:val="subscript"/>
        </w:rPr>
        <w:t>0.1</w:t>
      </w:r>
      <w:r w:rsidRPr="00C833E0">
        <w:rPr>
          <w:rFonts w:ascii="Cambria" w:eastAsia="Cambria" w:hAnsi="Cambria" w:cs="Cambria"/>
          <w:color w:val="231F20"/>
          <w:sz w:val="20"/>
          <w:szCs w:val="20"/>
        </w:rPr>
        <w:t xml:space="preserve"> strategy, and, for any identified risks, advise how they could be addressed in future management decisions.”</w:t>
      </w:r>
      <w:r w:rsidRPr="00C833E0">
        <w:rPr>
          <w:rFonts w:ascii="Cambria" w:eastAsia="Cambria" w:hAnsi="Cambria" w:cs="Cambria"/>
          <w:strike/>
          <w:color w:val="231F20"/>
          <w:sz w:val="20"/>
          <w:szCs w:val="20"/>
        </w:rPr>
        <w:t xml:space="preserve"> </w:t>
      </w:r>
    </w:p>
    <w:p w14:paraId="0000008A" w14:textId="77777777" w:rsidR="00C21388" w:rsidRPr="00C833E0" w:rsidRDefault="00C21388">
      <w:pPr>
        <w:jc w:val="both"/>
        <w:rPr>
          <w:rFonts w:ascii="Cambria" w:eastAsia="Cambria" w:hAnsi="Cambria" w:cs="Cambria"/>
          <w:strike/>
          <w:color w:val="231F20"/>
          <w:sz w:val="12"/>
          <w:szCs w:val="12"/>
        </w:rPr>
      </w:pPr>
    </w:p>
    <w:p w14:paraId="0000008B" w14:textId="117237B7" w:rsidR="00C21388" w:rsidRPr="00C833E0" w:rsidRDefault="00EB2CD8" w:rsidP="00877B48">
      <w:pPr>
        <w:pStyle w:val="ListParagraph"/>
        <w:numPr>
          <w:ilvl w:val="0"/>
          <w:numId w:val="4"/>
        </w:numPr>
        <w:ind w:left="851" w:hanging="425"/>
        <w:jc w:val="both"/>
        <w:rPr>
          <w:rFonts w:ascii="Cambria" w:eastAsia="Cambria" w:hAnsi="Cambria" w:cs="Cambria"/>
          <w:sz w:val="20"/>
          <w:szCs w:val="20"/>
        </w:rPr>
      </w:pPr>
      <w:r w:rsidRPr="00C833E0">
        <w:rPr>
          <w:rFonts w:ascii="Cambria" w:eastAsia="Cambria" w:hAnsi="Cambria" w:cs="Cambria"/>
          <w:sz w:val="20"/>
          <w:szCs w:val="20"/>
        </w:rPr>
        <w:t>Paragraph 20 shall be replaced with:</w:t>
      </w:r>
    </w:p>
    <w:p w14:paraId="0000008C" w14:textId="77777777" w:rsidR="00C21388" w:rsidRPr="00C833E0" w:rsidRDefault="00C21388">
      <w:pPr>
        <w:ind w:left="527"/>
        <w:jc w:val="both"/>
        <w:rPr>
          <w:rFonts w:ascii="Cambria" w:eastAsia="Cambria" w:hAnsi="Cambria" w:cs="Cambria"/>
          <w:sz w:val="12"/>
          <w:szCs w:val="12"/>
        </w:rPr>
      </w:pPr>
    </w:p>
    <w:p w14:paraId="0000008D" w14:textId="5F468F78" w:rsidR="00C21388" w:rsidRPr="00C833E0" w:rsidRDefault="00EB2CD8" w:rsidP="00FC1842">
      <w:pPr>
        <w:tabs>
          <w:tab w:val="left" w:pos="1276"/>
        </w:tabs>
        <w:ind w:left="1276" w:right="46" w:hanging="425"/>
        <w:jc w:val="both"/>
        <w:rPr>
          <w:rFonts w:ascii="Cambria" w:eastAsia="Cambria" w:hAnsi="Cambria" w:cs="Cambria"/>
          <w:color w:val="231F20"/>
          <w:sz w:val="20"/>
          <w:szCs w:val="20"/>
        </w:rPr>
      </w:pPr>
      <w:r w:rsidRPr="00C833E0">
        <w:rPr>
          <w:rFonts w:ascii="Cambria" w:eastAsia="Cambria" w:hAnsi="Cambria" w:cs="Cambria"/>
          <w:sz w:val="20"/>
          <w:szCs w:val="20"/>
        </w:rPr>
        <w:t>“20.</w:t>
      </w:r>
      <w:r w:rsidR="00997608" w:rsidRPr="00C833E0">
        <w:rPr>
          <w:rFonts w:ascii="Cambria" w:eastAsia="Cambria" w:hAnsi="Cambria" w:cs="Cambria"/>
          <w:sz w:val="20"/>
          <w:szCs w:val="20"/>
        </w:rPr>
        <w:tab/>
      </w:r>
      <w:r w:rsidRPr="00C833E0">
        <w:rPr>
          <w:rFonts w:ascii="Cambria" w:eastAsia="Cambria" w:hAnsi="Cambria" w:cs="Cambria"/>
          <w:color w:val="231F20"/>
          <w:sz w:val="20"/>
          <w:szCs w:val="20"/>
        </w:rPr>
        <w:t>CPCs that harvest Atlantic bluefin tuna should make every effort to contribute to priority research and other scientific activities, including that</w:t>
      </w:r>
      <w:r w:rsidRPr="00C833E0">
        <w:rPr>
          <w:rFonts w:ascii="Cambria" w:eastAsia="Cambria" w:hAnsi="Cambria" w:cs="Cambria"/>
          <w:b/>
          <w:color w:val="231F20"/>
          <w:sz w:val="20"/>
          <w:szCs w:val="20"/>
        </w:rPr>
        <w:t xml:space="preserve"> </w:t>
      </w:r>
      <w:r w:rsidRPr="00C833E0">
        <w:rPr>
          <w:rFonts w:ascii="Cambria" w:eastAsia="Cambria" w:hAnsi="Cambria" w:cs="Cambria"/>
          <w:color w:val="231F20"/>
          <w:sz w:val="20"/>
          <w:szCs w:val="20"/>
        </w:rPr>
        <w:t>being undertaken through or in collaboration with</w:t>
      </w:r>
      <w:r w:rsidR="00BF25DA" w:rsidRPr="00C833E0">
        <w:rPr>
          <w:rFonts w:ascii="Cambria" w:eastAsia="Cambria" w:hAnsi="Cambria" w:cs="Cambria"/>
          <w:color w:val="231F20"/>
          <w:sz w:val="20"/>
          <w:szCs w:val="20"/>
        </w:rPr>
        <w:t xml:space="preserve"> the</w:t>
      </w:r>
      <w:r w:rsidRPr="00C833E0">
        <w:rPr>
          <w:rFonts w:ascii="Cambria" w:eastAsia="Cambria" w:hAnsi="Cambria" w:cs="Cambria"/>
          <w:color w:val="231F20"/>
          <w:sz w:val="20"/>
          <w:szCs w:val="20"/>
        </w:rPr>
        <w:t xml:space="preserve"> ICCAT GBYP. CPCs should make or continue special efforts to enhance the collection and analysis of biological samples from Atlantic bluefin tuna fisheries, such as through sample contributions to the coordinated sampling plan recommended by the SCRS. An area of particular focus should be to support and provide samples for genetic close-kin mark recapture and stock of origin analyses. The SCRS will report annually to the Commission on these efforts. In addition, it is important to continue to explore sampling and/or other approaches for enhancing, and where needed developing, accurate abundance indices for juvenile bluefin tuna. CPCs should also make special efforts to ensure complete and timely submission of any collected data to the SCRS.”</w:t>
      </w:r>
    </w:p>
    <w:p w14:paraId="30FAE582" w14:textId="77777777" w:rsidR="00DF36F4" w:rsidRPr="00C833E0" w:rsidRDefault="00DF36F4" w:rsidP="00FC1842">
      <w:pPr>
        <w:tabs>
          <w:tab w:val="left" w:pos="1276"/>
        </w:tabs>
        <w:ind w:left="1276" w:right="46" w:hanging="425"/>
        <w:jc w:val="both"/>
        <w:rPr>
          <w:rFonts w:ascii="Cambria" w:eastAsia="Cambria" w:hAnsi="Cambria" w:cs="Cambria"/>
          <w:color w:val="231F20"/>
          <w:sz w:val="20"/>
          <w:szCs w:val="20"/>
        </w:rPr>
      </w:pPr>
    </w:p>
    <w:p w14:paraId="0000008F" w14:textId="292A5D30" w:rsidR="00C21388" w:rsidRPr="00C833E0" w:rsidRDefault="00EB2CD8" w:rsidP="00BC3FEA">
      <w:pPr>
        <w:ind w:left="426" w:right="48" w:hanging="426"/>
        <w:jc w:val="both"/>
        <w:rPr>
          <w:rFonts w:ascii="Cambria" w:eastAsia="Cambria" w:hAnsi="Cambria" w:cs="Cambria"/>
          <w:color w:val="231F20"/>
          <w:sz w:val="20"/>
          <w:szCs w:val="20"/>
        </w:rPr>
      </w:pPr>
      <w:r w:rsidRPr="00C833E0">
        <w:rPr>
          <w:rFonts w:ascii="Cambria" w:eastAsia="Cambria" w:hAnsi="Cambria" w:cs="Cambria"/>
          <w:sz w:val="20"/>
          <w:szCs w:val="20"/>
        </w:rPr>
        <w:lastRenderedPageBreak/>
        <w:t xml:space="preserve">2. </w:t>
      </w:r>
      <w:r w:rsidRPr="00C833E0">
        <w:rPr>
          <w:rFonts w:ascii="Cambria" w:eastAsia="Cambria" w:hAnsi="Cambria" w:cs="Cambria"/>
          <w:sz w:val="20"/>
          <w:szCs w:val="20"/>
        </w:rPr>
        <w:tab/>
        <w:t>In 2022, t</w:t>
      </w:r>
      <w:r w:rsidRPr="00C833E0">
        <w:rPr>
          <w:rFonts w:ascii="Cambria" w:eastAsia="Cambria" w:hAnsi="Cambria" w:cs="Cambria"/>
          <w:color w:val="231F20"/>
          <w:sz w:val="20"/>
          <w:szCs w:val="20"/>
        </w:rPr>
        <w:t xml:space="preserve">he Commission shall review and amend, as appropriate, Recommendation 17-06 as amended by this </w:t>
      </w:r>
      <w:r w:rsidR="009631D6" w:rsidRPr="00C833E0">
        <w:rPr>
          <w:rFonts w:ascii="Cambria" w:eastAsia="Cambria" w:hAnsi="Cambria" w:cs="Cambria"/>
          <w:color w:val="231F20"/>
          <w:sz w:val="20"/>
          <w:szCs w:val="20"/>
        </w:rPr>
        <w:t>R</w:t>
      </w:r>
      <w:r w:rsidRPr="00C833E0">
        <w:rPr>
          <w:rFonts w:ascii="Cambria" w:eastAsia="Cambria" w:hAnsi="Cambria" w:cs="Cambria"/>
          <w:color w:val="231F20"/>
          <w:sz w:val="20"/>
          <w:szCs w:val="20"/>
        </w:rPr>
        <w:t>ecommendation.</w:t>
      </w:r>
    </w:p>
    <w:p w14:paraId="5945B242" w14:textId="77777777" w:rsidR="009631D6" w:rsidRPr="00C833E0" w:rsidRDefault="009631D6" w:rsidP="00BC3FEA">
      <w:pPr>
        <w:ind w:left="426" w:right="48" w:hanging="426"/>
        <w:jc w:val="both"/>
        <w:rPr>
          <w:rFonts w:ascii="Cambria" w:eastAsia="Cambria" w:hAnsi="Cambria" w:cs="Cambria"/>
          <w:color w:val="231F20"/>
          <w:sz w:val="20"/>
          <w:szCs w:val="20"/>
        </w:rPr>
      </w:pPr>
    </w:p>
    <w:p w14:paraId="00000091" w14:textId="6555D71D" w:rsidR="00C21388" w:rsidRPr="004B022F" w:rsidRDefault="00EB2CD8" w:rsidP="00BC3FEA">
      <w:pPr>
        <w:ind w:left="426" w:right="48" w:hanging="426"/>
        <w:jc w:val="both"/>
        <w:rPr>
          <w:rFonts w:ascii="Cambria" w:eastAsia="Cambria" w:hAnsi="Cambria" w:cs="Cambria"/>
          <w:color w:val="231F20"/>
          <w:sz w:val="20"/>
          <w:szCs w:val="20"/>
        </w:rPr>
      </w:pPr>
      <w:r w:rsidRPr="00C833E0">
        <w:rPr>
          <w:rFonts w:ascii="Cambria" w:eastAsia="Cambria" w:hAnsi="Cambria" w:cs="Cambria"/>
          <w:color w:val="231F20"/>
          <w:sz w:val="20"/>
          <w:szCs w:val="20"/>
        </w:rPr>
        <w:t>3.</w:t>
      </w:r>
      <w:r w:rsidRPr="00C833E0">
        <w:rPr>
          <w:rFonts w:ascii="Cambria" w:eastAsia="Cambria" w:hAnsi="Cambria" w:cs="Cambria"/>
          <w:color w:val="231F20"/>
          <w:sz w:val="20"/>
          <w:szCs w:val="20"/>
        </w:rPr>
        <w:tab/>
        <w:t xml:space="preserve">This </w:t>
      </w:r>
      <w:r w:rsidR="009631D6" w:rsidRPr="00C833E0">
        <w:rPr>
          <w:rFonts w:ascii="Cambria" w:eastAsia="Cambria" w:hAnsi="Cambria" w:cs="Cambria"/>
          <w:color w:val="231F20"/>
          <w:sz w:val="20"/>
          <w:szCs w:val="20"/>
        </w:rPr>
        <w:t>R</w:t>
      </w:r>
      <w:r w:rsidRPr="00C833E0">
        <w:rPr>
          <w:rFonts w:ascii="Cambria" w:eastAsia="Cambria" w:hAnsi="Cambria" w:cs="Cambria"/>
          <w:color w:val="231F20"/>
          <w:sz w:val="20"/>
          <w:szCs w:val="20"/>
        </w:rPr>
        <w:t>ecommendation amends Recommendation 17-06 and repeals and replaces Recommendation</w:t>
      </w:r>
      <w:r w:rsidR="009631D6" w:rsidRPr="00C833E0">
        <w:rPr>
          <w:rFonts w:ascii="Cambria" w:eastAsia="Cambria" w:hAnsi="Cambria" w:cs="Cambria"/>
          <w:color w:val="231F20"/>
          <w:sz w:val="20"/>
          <w:szCs w:val="20"/>
        </w:rPr>
        <w:t> </w:t>
      </w:r>
      <w:r w:rsidRPr="00C833E0">
        <w:rPr>
          <w:rFonts w:ascii="Cambria" w:eastAsia="Cambria" w:hAnsi="Cambria" w:cs="Cambria"/>
          <w:color w:val="231F20"/>
          <w:sz w:val="20"/>
          <w:szCs w:val="20"/>
        </w:rPr>
        <w:t>20-06.</w:t>
      </w:r>
    </w:p>
    <w:p w14:paraId="00000092" w14:textId="5CE92378" w:rsidR="00C21388" w:rsidRPr="004B022F" w:rsidRDefault="00C21388">
      <w:pPr>
        <w:ind w:left="426" w:right="48" w:hanging="527"/>
        <w:jc w:val="both"/>
      </w:pPr>
    </w:p>
    <w:p w14:paraId="44A5EB60" w14:textId="21FEBA71" w:rsidR="002417B3" w:rsidRPr="004B022F" w:rsidRDefault="002417B3" w:rsidP="002417B3">
      <w:pPr>
        <w:ind w:left="426" w:right="48" w:hanging="527"/>
        <w:jc w:val="both"/>
        <w:rPr>
          <w:rFonts w:ascii="Cambria" w:eastAsia="Cambria" w:hAnsi="Cambria" w:cs="Cambria"/>
          <w:color w:val="231F20"/>
          <w:sz w:val="20"/>
          <w:szCs w:val="20"/>
          <w:lang w:val="es-ES"/>
        </w:rPr>
      </w:pPr>
    </w:p>
    <w:sectPr w:rsidR="002417B3" w:rsidRPr="004B022F" w:rsidSect="00E80885">
      <w:footerReference w:type="default" r:id="rId7"/>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F6F88" w14:textId="77777777" w:rsidR="007B5B10" w:rsidRDefault="007B5B10">
      <w:r>
        <w:separator/>
      </w:r>
    </w:p>
  </w:endnote>
  <w:endnote w:type="continuationSeparator" w:id="0">
    <w:p w14:paraId="4D1DDAA1" w14:textId="77777777" w:rsidR="007B5B10" w:rsidRDefault="007B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791287"/>
      <w:docPartObj>
        <w:docPartGallery w:val="Page Numbers (Bottom of Page)"/>
        <w:docPartUnique/>
      </w:docPartObj>
    </w:sdtPr>
    <w:sdtEndPr>
      <w:rPr>
        <w:rFonts w:ascii="Cambria" w:hAnsi="Cambria"/>
        <w:noProof/>
        <w:sz w:val="20"/>
        <w:szCs w:val="20"/>
      </w:rPr>
    </w:sdtEndPr>
    <w:sdtContent>
      <w:p w14:paraId="0AAC37F8" w14:textId="7352FA06" w:rsidR="007A38C3" w:rsidRPr="007A38C3" w:rsidRDefault="007A38C3">
        <w:pPr>
          <w:pStyle w:val="Footer"/>
          <w:jc w:val="center"/>
          <w:rPr>
            <w:rFonts w:ascii="Cambria" w:hAnsi="Cambria"/>
            <w:sz w:val="20"/>
            <w:szCs w:val="20"/>
          </w:rPr>
        </w:pPr>
        <w:r w:rsidRPr="007A38C3">
          <w:rPr>
            <w:rFonts w:ascii="Cambria" w:hAnsi="Cambria"/>
            <w:sz w:val="20"/>
            <w:szCs w:val="20"/>
          </w:rPr>
          <w:fldChar w:fldCharType="begin"/>
        </w:r>
        <w:r w:rsidRPr="007A38C3">
          <w:rPr>
            <w:rFonts w:ascii="Cambria" w:hAnsi="Cambria"/>
            <w:sz w:val="20"/>
            <w:szCs w:val="20"/>
          </w:rPr>
          <w:instrText xml:space="preserve"> PAGE   \* MERGEFORMAT </w:instrText>
        </w:r>
        <w:r w:rsidRPr="007A38C3">
          <w:rPr>
            <w:rFonts w:ascii="Cambria" w:hAnsi="Cambria"/>
            <w:sz w:val="20"/>
            <w:szCs w:val="20"/>
          </w:rPr>
          <w:fldChar w:fldCharType="separate"/>
        </w:r>
        <w:r w:rsidRPr="007A38C3">
          <w:rPr>
            <w:rFonts w:ascii="Cambria" w:hAnsi="Cambria"/>
            <w:noProof/>
            <w:sz w:val="20"/>
            <w:szCs w:val="20"/>
          </w:rPr>
          <w:t>2</w:t>
        </w:r>
        <w:r w:rsidRPr="007A38C3">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4611" w14:textId="77777777" w:rsidR="007B5B10" w:rsidRDefault="007B5B10">
      <w:r>
        <w:separator/>
      </w:r>
    </w:p>
  </w:footnote>
  <w:footnote w:type="continuationSeparator" w:id="0">
    <w:p w14:paraId="3F35D09B" w14:textId="77777777" w:rsidR="007B5B10" w:rsidRDefault="007B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4851"/>
    <w:multiLevelType w:val="hybridMultilevel"/>
    <w:tmpl w:val="E60852A6"/>
    <w:lvl w:ilvl="0" w:tplc="4C70D6D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9F67688"/>
    <w:multiLevelType w:val="multilevel"/>
    <w:tmpl w:val="27C661C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48F0621F"/>
    <w:multiLevelType w:val="multilevel"/>
    <w:tmpl w:val="0A1E7F76"/>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58D8321A"/>
    <w:multiLevelType w:val="multilevel"/>
    <w:tmpl w:val="7DEE74A0"/>
    <w:lvl w:ilvl="0">
      <w:start w:val="1"/>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388"/>
    <w:rsid w:val="0000507A"/>
    <w:rsid w:val="0011617E"/>
    <w:rsid w:val="0012583D"/>
    <w:rsid w:val="001467E7"/>
    <w:rsid w:val="001552FF"/>
    <w:rsid w:val="001B20AF"/>
    <w:rsid w:val="001E36C2"/>
    <w:rsid w:val="001F38B6"/>
    <w:rsid w:val="0020431D"/>
    <w:rsid w:val="0020498D"/>
    <w:rsid w:val="00214CE3"/>
    <w:rsid w:val="002417B3"/>
    <w:rsid w:val="00267E75"/>
    <w:rsid w:val="00275273"/>
    <w:rsid w:val="002930DD"/>
    <w:rsid w:val="002A5A09"/>
    <w:rsid w:val="002B55DE"/>
    <w:rsid w:val="002D4864"/>
    <w:rsid w:val="002E35F3"/>
    <w:rsid w:val="002E6EFF"/>
    <w:rsid w:val="002F643B"/>
    <w:rsid w:val="00327837"/>
    <w:rsid w:val="003372B0"/>
    <w:rsid w:val="003410EC"/>
    <w:rsid w:val="003420D4"/>
    <w:rsid w:val="00346912"/>
    <w:rsid w:val="00355BD8"/>
    <w:rsid w:val="0039370A"/>
    <w:rsid w:val="003B5B0C"/>
    <w:rsid w:val="00437495"/>
    <w:rsid w:val="0047659F"/>
    <w:rsid w:val="004B022F"/>
    <w:rsid w:val="00502A17"/>
    <w:rsid w:val="00570BBC"/>
    <w:rsid w:val="00576A41"/>
    <w:rsid w:val="00584D41"/>
    <w:rsid w:val="005B1299"/>
    <w:rsid w:val="005B1639"/>
    <w:rsid w:val="005C47E1"/>
    <w:rsid w:val="005E08EC"/>
    <w:rsid w:val="006023DC"/>
    <w:rsid w:val="00625AC0"/>
    <w:rsid w:val="0063343A"/>
    <w:rsid w:val="006339D1"/>
    <w:rsid w:val="00673A75"/>
    <w:rsid w:val="00676F44"/>
    <w:rsid w:val="00694099"/>
    <w:rsid w:val="006D3B74"/>
    <w:rsid w:val="006D6BDA"/>
    <w:rsid w:val="0071414F"/>
    <w:rsid w:val="0077229B"/>
    <w:rsid w:val="0078030A"/>
    <w:rsid w:val="00782310"/>
    <w:rsid w:val="00793CA9"/>
    <w:rsid w:val="007A38C3"/>
    <w:rsid w:val="007B347D"/>
    <w:rsid w:val="007B5B10"/>
    <w:rsid w:val="00877B48"/>
    <w:rsid w:val="008819A6"/>
    <w:rsid w:val="008C1C17"/>
    <w:rsid w:val="008C69BF"/>
    <w:rsid w:val="00914311"/>
    <w:rsid w:val="00932D1A"/>
    <w:rsid w:val="009631D6"/>
    <w:rsid w:val="00997608"/>
    <w:rsid w:val="00A2400A"/>
    <w:rsid w:val="00A35DC7"/>
    <w:rsid w:val="00A654B8"/>
    <w:rsid w:val="00A8268E"/>
    <w:rsid w:val="00AA6726"/>
    <w:rsid w:val="00AD07B5"/>
    <w:rsid w:val="00AE5EA7"/>
    <w:rsid w:val="00AF5F74"/>
    <w:rsid w:val="00B01F87"/>
    <w:rsid w:val="00B27562"/>
    <w:rsid w:val="00B34D35"/>
    <w:rsid w:val="00B47F11"/>
    <w:rsid w:val="00BC30F9"/>
    <w:rsid w:val="00BC3FEA"/>
    <w:rsid w:val="00BE18E4"/>
    <w:rsid w:val="00BF25DA"/>
    <w:rsid w:val="00BF6386"/>
    <w:rsid w:val="00C04A33"/>
    <w:rsid w:val="00C21388"/>
    <w:rsid w:val="00C74D75"/>
    <w:rsid w:val="00C76E12"/>
    <w:rsid w:val="00C833E0"/>
    <w:rsid w:val="00CA6DDC"/>
    <w:rsid w:val="00CB500B"/>
    <w:rsid w:val="00CB79EF"/>
    <w:rsid w:val="00D12A0F"/>
    <w:rsid w:val="00D25B2B"/>
    <w:rsid w:val="00D67B74"/>
    <w:rsid w:val="00DA7C52"/>
    <w:rsid w:val="00DB41FA"/>
    <w:rsid w:val="00DF36F4"/>
    <w:rsid w:val="00DF7803"/>
    <w:rsid w:val="00E10312"/>
    <w:rsid w:val="00E15163"/>
    <w:rsid w:val="00E51F72"/>
    <w:rsid w:val="00E633A7"/>
    <w:rsid w:val="00E80885"/>
    <w:rsid w:val="00E9073A"/>
    <w:rsid w:val="00EA1A00"/>
    <w:rsid w:val="00EA3E17"/>
    <w:rsid w:val="00EB2CD8"/>
    <w:rsid w:val="00ED3104"/>
    <w:rsid w:val="00EE77C0"/>
    <w:rsid w:val="00EF09D8"/>
    <w:rsid w:val="00EF7711"/>
    <w:rsid w:val="00F07A8F"/>
    <w:rsid w:val="00F57382"/>
    <w:rsid w:val="00F6261C"/>
    <w:rsid w:val="00F6348D"/>
    <w:rsid w:val="00F81F3F"/>
    <w:rsid w:val="00F87A84"/>
    <w:rsid w:val="00FC1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D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D57"/>
  </w:style>
  <w:style w:type="paragraph" w:styleId="Heading1">
    <w:name w:val="heading 1"/>
    <w:basedOn w:val="Normal"/>
    <w:next w:val="Normal"/>
    <w:uiPriority w:val="9"/>
    <w:qFormat/>
    <w:rsid w:val="00766BA3"/>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uiPriority w:val="9"/>
    <w:semiHidden/>
    <w:unhideWhenUsed/>
    <w:qFormat/>
    <w:rsid w:val="00163D5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63D5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63D5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63D57"/>
    <w:pPr>
      <w:keepNext/>
      <w:keepLines/>
      <w:spacing w:before="220" w:after="40"/>
      <w:outlineLvl w:val="4"/>
    </w:pPr>
    <w:rPr>
      <w:b/>
    </w:rPr>
  </w:style>
  <w:style w:type="paragraph" w:styleId="Heading6">
    <w:name w:val="heading 6"/>
    <w:basedOn w:val="Normal"/>
    <w:next w:val="Normal"/>
    <w:uiPriority w:val="9"/>
    <w:semiHidden/>
    <w:unhideWhenUsed/>
    <w:qFormat/>
    <w:rsid w:val="00163D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63D57"/>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163D57"/>
    <w:tblPr>
      <w:tblStyleRowBandSize w:val="1"/>
      <w:tblStyleColBandSize w:val="1"/>
      <w:tblCellMar>
        <w:left w:w="0" w:type="dxa"/>
        <w:right w:w="0" w:type="dxa"/>
      </w:tblCellMar>
    </w:tblPr>
  </w:style>
  <w:style w:type="table" w:customStyle="1" w:styleId="a0">
    <w:basedOn w:val="TableNormal"/>
    <w:rsid w:val="00163D57"/>
    <w:tblPr>
      <w:tblStyleRowBandSize w:val="1"/>
      <w:tblStyleColBandSize w:val="1"/>
      <w:tblCellMar>
        <w:left w:w="0" w:type="dxa"/>
        <w:right w:w="0" w:type="dxa"/>
      </w:tblCellMar>
    </w:tblPr>
  </w:style>
  <w:style w:type="paragraph" w:styleId="ListParagraph">
    <w:name w:val="List Paragraph"/>
    <w:basedOn w:val="Normal"/>
    <w:uiPriority w:val="1"/>
    <w:qFormat/>
    <w:rsid w:val="00766BA3"/>
    <w:pPr>
      <w:ind w:left="720"/>
      <w:contextualSpacing/>
    </w:pPr>
  </w:style>
  <w:style w:type="paragraph" w:styleId="BodyText">
    <w:name w:val="Body Text"/>
    <w:basedOn w:val="Normal"/>
    <w:link w:val="BodyTextChar"/>
    <w:uiPriority w:val="1"/>
    <w:qFormat/>
    <w:rsid w:val="00766BA3"/>
    <w:pPr>
      <w:ind w:left="528" w:hanging="395"/>
    </w:pPr>
    <w:rPr>
      <w:rFonts w:ascii="Times New Roman" w:eastAsia="Times New Roman" w:hAnsi="Times New Roman" w:cstheme="minorBidi"/>
      <w:sz w:val="19"/>
      <w:szCs w:val="19"/>
    </w:rPr>
  </w:style>
  <w:style w:type="character" w:customStyle="1" w:styleId="BodyTextChar">
    <w:name w:val="Body Text Char"/>
    <w:basedOn w:val="DefaultParagraphFont"/>
    <w:link w:val="BodyText"/>
    <w:uiPriority w:val="1"/>
    <w:rsid w:val="00766BA3"/>
    <w:rPr>
      <w:rFonts w:ascii="Times New Roman" w:eastAsia="Times New Roman" w:hAnsi="Times New Roman" w:cstheme="minorBidi"/>
      <w:color w:val="auto"/>
      <w:sz w:val="19"/>
      <w:szCs w:val="19"/>
    </w:rPr>
  </w:style>
  <w:style w:type="paragraph" w:customStyle="1" w:styleId="TableParagraph">
    <w:name w:val="Table Paragraph"/>
    <w:basedOn w:val="Normal"/>
    <w:uiPriority w:val="1"/>
    <w:qFormat/>
    <w:rsid w:val="00766BA3"/>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766BA3"/>
    <w:rPr>
      <w:sz w:val="16"/>
      <w:szCs w:val="16"/>
    </w:rPr>
  </w:style>
  <w:style w:type="paragraph" w:styleId="CommentText">
    <w:name w:val="annotation text"/>
    <w:basedOn w:val="Normal"/>
    <w:link w:val="CommentTextChar"/>
    <w:uiPriority w:val="99"/>
    <w:unhideWhenUsed/>
    <w:rsid w:val="00766BA3"/>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66BA3"/>
    <w:rPr>
      <w:rFonts w:asciiTheme="minorHAnsi" w:eastAsia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766BA3"/>
    <w:rPr>
      <w:b/>
      <w:bCs/>
    </w:rPr>
  </w:style>
  <w:style w:type="character" w:customStyle="1" w:styleId="CommentSubjectChar">
    <w:name w:val="Comment Subject Char"/>
    <w:basedOn w:val="CommentTextChar"/>
    <w:link w:val="CommentSubject"/>
    <w:uiPriority w:val="99"/>
    <w:semiHidden/>
    <w:rsid w:val="00766BA3"/>
    <w:rPr>
      <w:rFonts w:asciiTheme="minorHAnsi" w:eastAsiaTheme="minorHAnsi" w:hAnsiTheme="minorHAnsi" w:cstheme="minorBidi"/>
      <w:b/>
      <w:bCs/>
      <w:color w:val="auto"/>
      <w:sz w:val="20"/>
      <w:szCs w:val="20"/>
    </w:rPr>
  </w:style>
  <w:style w:type="paragraph" w:styleId="BalloonText">
    <w:name w:val="Balloon Text"/>
    <w:basedOn w:val="Normal"/>
    <w:link w:val="BalloonTextChar"/>
    <w:uiPriority w:val="99"/>
    <w:semiHidden/>
    <w:unhideWhenUsed/>
    <w:rsid w:val="00766BA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66BA3"/>
    <w:rPr>
      <w:rFonts w:ascii="Tahoma" w:eastAsiaTheme="minorHAnsi" w:hAnsi="Tahoma" w:cs="Tahoma"/>
      <w:color w:val="auto"/>
      <w:sz w:val="16"/>
      <w:szCs w:val="16"/>
    </w:rPr>
  </w:style>
  <w:style w:type="character" w:customStyle="1" w:styleId="apple-converted-space">
    <w:name w:val="apple-converted-space"/>
    <w:basedOn w:val="DefaultParagraphFont"/>
    <w:rsid w:val="00766BA3"/>
  </w:style>
  <w:style w:type="paragraph" w:styleId="Revision">
    <w:name w:val="Revision"/>
    <w:hidden/>
    <w:uiPriority w:val="99"/>
    <w:semiHidden/>
    <w:rsid w:val="00766BA3"/>
    <w:pPr>
      <w:widowControl/>
    </w:pPr>
    <w:rPr>
      <w:rFonts w:asciiTheme="minorHAnsi" w:eastAsiaTheme="minorHAnsi" w:hAnsiTheme="minorHAnsi" w:cstheme="minorBidi"/>
    </w:rPr>
  </w:style>
  <w:style w:type="paragraph" w:styleId="Header">
    <w:name w:val="header"/>
    <w:basedOn w:val="Normal"/>
    <w:link w:val="HeaderChar"/>
    <w:uiPriority w:val="99"/>
    <w:unhideWhenUsed/>
    <w:rsid w:val="00766BA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766BA3"/>
    <w:rPr>
      <w:rFonts w:asciiTheme="minorHAnsi" w:eastAsiaTheme="minorHAnsi" w:hAnsiTheme="minorHAnsi" w:cstheme="minorBidi"/>
      <w:color w:val="auto"/>
    </w:rPr>
  </w:style>
  <w:style w:type="paragraph" w:styleId="Footer">
    <w:name w:val="footer"/>
    <w:basedOn w:val="Normal"/>
    <w:link w:val="FooterChar"/>
    <w:uiPriority w:val="99"/>
    <w:unhideWhenUsed/>
    <w:rsid w:val="00766BA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766BA3"/>
    <w:rPr>
      <w:rFonts w:asciiTheme="minorHAnsi" w:eastAsiaTheme="minorHAnsi" w:hAnsiTheme="minorHAnsi" w:cstheme="minorBidi"/>
      <w:color w:val="auto"/>
    </w:rPr>
  </w:style>
  <w:style w:type="character" w:styleId="Hyperlink">
    <w:name w:val="Hyperlink"/>
    <w:basedOn w:val="DefaultParagraphFont"/>
    <w:uiPriority w:val="99"/>
    <w:semiHidden/>
    <w:unhideWhenUsed/>
    <w:rsid w:val="000D47CD"/>
    <w:rPr>
      <w:color w:val="0000FF"/>
      <w:u w:val="single"/>
    </w:rPr>
  </w:style>
  <w:style w:type="paragraph" w:customStyle="1" w:styleId="Default">
    <w:name w:val="Default"/>
    <w:rsid w:val="00143B7A"/>
    <w:pPr>
      <w:autoSpaceDE w:val="0"/>
      <w:autoSpaceDN w:val="0"/>
      <w:adjustRightInd w:val="0"/>
    </w:pPr>
    <w:rPr>
      <w:rFonts w:ascii="Cambria" w:hAnsi="Cambria" w:cs="Cambria"/>
      <w:sz w:val="24"/>
      <w:szCs w:val="24"/>
      <w:lang w:eastAsia="ja-JP"/>
    </w:rPr>
  </w:style>
  <w:style w:type="table" w:styleId="TableGrid">
    <w:name w:val="Table Grid"/>
    <w:basedOn w:val="TableNormal"/>
    <w:uiPriority w:val="39"/>
    <w:rsid w:val="00E4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18463">
      <w:bodyDiv w:val="1"/>
      <w:marLeft w:val="0"/>
      <w:marRight w:val="0"/>
      <w:marTop w:val="0"/>
      <w:marBottom w:val="0"/>
      <w:divBdr>
        <w:top w:val="none" w:sz="0" w:space="0" w:color="auto"/>
        <w:left w:val="none" w:sz="0" w:space="0" w:color="auto"/>
        <w:bottom w:val="none" w:sz="0" w:space="0" w:color="auto"/>
        <w:right w:val="none" w:sz="0" w:space="0" w:color="auto"/>
      </w:divBdr>
    </w:div>
    <w:div w:id="1333685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2021-11-22T11:05:00Z</dcterms:created>
  <dcterms:modified xsi:type="dcterms:W3CDTF">2021-12-16T10:17:00Z</dcterms:modified>
</cp:coreProperties>
</file>