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EF80" w14:textId="054A1675" w:rsidR="00FF651E" w:rsidRPr="000552EC" w:rsidRDefault="00FF651E" w:rsidP="00503631">
      <w:pPr>
        <w:pBdr>
          <w:top w:val="double" w:sz="4" w:space="1" w:color="auto"/>
          <w:left w:val="double" w:sz="4" w:space="4" w:color="auto"/>
          <w:bottom w:val="double" w:sz="4" w:space="1" w:color="auto"/>
          <w:right w:val="double" w:sz="4" w:space="4" w:color="auto"/>
        </w:pBdr>
        <w:spacing w:after="0" w:line="240" w:lineRule="auto"/>
        <w:ind w:left="8222" w:hanging="8222"/>
        <w:jc w:val="both"/>
        <w:rPr>
          <w:rFonts w:ascii="Cambria" w:hAnsi="Cambria"/>
          <w:b/>
          <w:bCs/>
          <w:sz w:val="20"/>
          <w:szCs w:val="20"/>
        </w:rPr>
      </w:pPr>
      <w:r w:rsidRPr="000552EC">
        <w:rPr>
          <w:rFonts w:ascii="Cambria" w:hAnsi="Cambria"/>
          <w:b/>
          <w:bCs/>
          <w:sz w:val="20"/>
          <w:szCs w:val="20"/>
        </w:rPr>
        <w:t>21-</w:t>
      </w:r>
      <w:r w:rsidR="0033351C" w:rsidRPr="000552EC">
        <w:rPr>
          <w:rFonts w:ascii="Cambria" w:hAnsi="Cambria"/>
          <w:b/>
          <w:bCs/>
          <w:sz w:val="20"/>
          <w:szCs w:val="20"/>
        </w:rPr>
        <w:t>06</w:t>
      </w:r>
      <w:r w:rsidRPr="000552EC">
        <w:rPr>
          <w:rFonts w:ascii="Cambria" w:hAnsi="Cambria"/>
          <w:b/>
          <w:bCs/>
          <w:sz w:val="20"/>
          <w:szCs w:val="20"/>
        </w:rPr>
        <w:tab/>
      </w:r>
      <w:r w:rsidR="0033351C" w:rsidRPr="000552EC">
        <w:rPr>
          <w:rFonts w:ascii="Cambria" w:hAnsi="Cambria"/>
          <w:b/>
          <w:bCs/>
          <w:sz w:val="20"/>
          <w:szCs w:val="20"/>
        </w:rPr>
        <w:t>ALB</w:t>
      </w:r>
    </w:p>
    <w:p w14:paraId="73E5CA53" w14:textId="77777777" w:rsidR="00FA3B79" w:rsidRPr="000552EC" w:rsidRDefault="00FA3B79" w:rsidP="00FA3B79">
      <w:pPr>
        <w:pStyle w:val="paragraph"/>
        <w:pBdr>
          <w:top w:val="double" w:sz="4" w:space="1" w:color="auto"/>
          <w:left w:val="double" w:sz="4" w:space="4" w:color="auto"/>
          <w:bottom w:val="double" w:sz="4" w:space="1" w:color="auto"/>
          <w:right w:val="double" w:sz="4" w:space="4" w:color="auto"/>
        </w:pBdr>
        <w:spacing w:before="0" w:beforeAutospacing="0" w:after="0" w:afterAutospacing="0"/>
        <w:ind w:left="270" w:hanging="270"/>
        <w:jc w:val="center"/>
        <w:textAlignment w:val="baseline"/>
        <w:rPr>
          <w:rStyle w:val="normaltextrun"/>
          <w:rFonts w:ascii="Cambria" w:hAnsi="Cambria"/>
          <w:b/>
          <w:bCs/>
          <w:sz w:val="20"/>
          <w:szCs w:val="20"/>
        </w:rPr>
      </w:pPr>
    </w:p>
    <w:p w14:paraId="42AB6990" w14:textId="26430364" w:rsidR="006D5892" w:rsidRPr="000552EC" w:rsidRDefault="00A661B4" w:rsidP="00FA3B79">
      <w:pPr>
        <w:pStyle w:val="paragraph"/>
        <w:pBdr>
          <w:top w:val="double" w:sz="4" w:space="1" w:color="auto"/>
          <w:left w:val="double" w:sz="4" w:space="4" w:color="auto"/>
          <w:bottom w:val="double" w:sz="4" w:space="1" w:color="auto"/>
          <w:right w:val="double" w:sz="4" w:space="4" w:color="auto"/>
        </w:pBdr>
        <w:spacing w:before="0" w:beforeAutospacing="0" w:after="0" w:afterAutospacing="0"/>
        <w:ind w:left="270" w:hanging="270"/>
        <w:jc w:val="center"/>
        <w:textAlignment w:val="baseline"/>
        <w:rPr>
          <w:rStyle w:val="normaltextrun"/>
          <w:rFonts w:ascii="Cambria" w:hAnsi="Cambria"/>
          <w:b/>
          <w:bCs/>
          <w:sz w:val="20"/>
          <w:szCs w:val="20"/>
        </w:rPr>
      </w:pPr>
      <w:r w:rsidRPr="000552EC">
        <w:rPr>
          <w:rStyle w:val="normaltextrun"/>
          <w:rFonts w:ascii="Cambria" w:hAnsi="Cambria"/>
          <w:b/>
          <w:bCs/>
          <w:sz w:val="20"/>
          <w:szCs w:val="20"/>
        </w:rPr>
        <w:t>RECOMMANDATION DE L'ICCAT ÉTABLI</w:t>
      </w:r>
      <w:r w:rsidR="008079B8" w:rsidRPr="000552EC">
        <w:rPr>
          <w:rStyle w:val="normaltextrun"/>
          <w:rFonts w:ascii="Cambria" w:hAnsi="Cambria"/>
          <w:b/>
          <w:bCs/>
          <w:sz w:val="20"/>
          <w:szCs w:val="20"/>
        </w:rPr>
        <w:t>SSANT</w:t>
      </w:r>
      <w:r w:rsidRPr="000552EC">
        <w:rPr>
          <w:rStyle w:val="normaltextrun"/>
          <w:rFonts w:ascii="Cambria" w:hAnsi="Cambria"/>
          <w:b/>
          <w:bCs/>
          <w:sz w:val="20"/>
          <w:szCs w:val="20"/>
        </w:rPr>
        <w:t xml:space="preserve"> UN PROGRAMME DE RÉTABLISSEMENT</w:t>
      </w:r>
      <w:r w:rsidR="001516A7" w:rsidRPr="000552EC">
        <w:rPr>
          <w:rStyle w:val="eop"/>
          <w:rFonts w:ascii="Cambria" w:hAnsi="Cambria"/>
          <w:sz w:val="20"/>
          <w:szCs w:val="20"/>
        </w:rPr>
        <w:t xml:space="preserve"> </w:t>
      </w:r>
      <w:r w:rsidR="006D5892" w:rsidRPr="000552EC">
        <w:rPr>
          <w:rStyle w:val="normaltextrun"/>
          <w:rFonts w:ascii="Cambria" w:hAnsi="Cambria"/>
          <w:b/>
          <w:bCs/>
          <w:sz w:val="20"/>
          <w:szCs w:val="20"/>
        </w:rPr>
        <w:t>PO</w:t>
      </w:r>
      <w:r w:rsidR="001516A7" w:rsidRPr="000552EC">
        <w:rPr>
          <w:rStyle w:val="normaltextrun"/>
          <w:rFonts w:ascii="Cambria" w:hAnsi="Cambria"/>
          <w:b/>
          <w:bCs/>
          <w:sz w:val="20"/>
          <w:szCs w:val="20"/>
        </w:rPr>
        <w:t>UR LE GERMON DE LA MÉDITERRANÉE</w:t>
      </w:r>
    </w:p>
    <w:p w14:paraId="1E45F385" w14:textId="77777777" w:rsidR="00242755" w:rsidRPr="000552EC" w:rsidRDefault="00242755" w:rsidP="00FA3B79">
      <w:pPr>
        <w:pStyle w:val="paragraph"/>
        <w:pBdr>
          <w:top w:val="double" w:sz="4" w:space="1" w:color="auto"/>
          <w:left w:val="double" w:sz="4" w:space="4" w:color="auto"/>
          <w:bottom w:val="double" w:sz="4" w:space="1" w:color="auto"/>
          <w:right w:val="double" w:sz="4" w:space="4" w:color="auto"/>
        </w:pBdr>
        <w:spacing w:before="0" w:beforeAutospacing="0" w:after="0" w:afterAutospacing="0"/>
        <w:ind w:left="270" w:hanging="270"/>
        <w:jc w:val="center"/>
        <w:textAlignment w:val="baseline"/>
        <w:rPr>
          <w:rStyle w:val="normaltextrun"/>
          <w:rFonts w:ascii="Cambria" w:hAnsi="Cambria"/>
          <w:b/>
          <w:bCs/>
          <w:sz w:val="20"/>
          <w:szCs w:val="20"/>
        </w:rPr>
      </w:pPr>
    </w:p>
    <w:p w14:paraId="327167EB" w14:textId="77777777" w:rsidR="00242755" w:rsidRPr="000552EC" w:rsidRDefault="00242755" w:rsidP="004E171B">
      <w:pPr>
        <w:pStyle w:val="paragraph"/>
        <w:spacing w:before="0" w:beforeAutospacing="0" w:after="0" w:afterAutospacing="0"/>
        <w:ind w:left="270" w:hanging="270"/>
        <w:jc w:val="center"/>
        <w:textAlignment w:val="baseline"/>
        <w:rPr>
          <w:rFonts w:ascii="Cambria" w:hAnsi="Cambria" w:cs="Segoe UI"/>
          <w:sz w:val="20"/>
          <w:szCs w:val="20"/>
        </w:rPr>
      </w:pPr>
    </w:p>
    <w:p w14:paraId="1A7CE4C4" w14:textId="77777777" w:rsidR="008079B8" w:rsidRPr="000552EC" w:rsidRDefault="008079B8" w:rsidP="00987A64">
      <w:pPr>
        <w:pStyle w:val="paragraph"/>
        <w:spacing w:before="0" w:beforeAutospacing="0" w:after="0" w:afterAutospacing="0"/>
        <w:ind w:firstLine="426"/>
        <w:jc w:val="both"/>
        <w:textAlignment w:val="baseline"/>
        <w:rPr>
          <w:rStyle w:val="normaltextrun"/>
          <w:rFonts w:ascii="Cambria" w:hAnsi="Cambria"/>
          <w:i/>
          <w:iCs/>
          <w:color w:val="000000"/>
          <w:sz w:val="20"/>
          <w:szCs w:val="20"/>
          <w:shd w:val="clear" w:color="auto" w:fill="FFFFFF"/>
        </w:rPr>
      </w:pPr>
    </w:p>
    <w:p w14:paraId="21FE7C3C" w14:textId="10E0E7D8"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 xml:space="preserve">RAPPELANT </w:t>
      </w:r>
      <w:r w:rsidRPr="000552EC">
        <w:rPr>
          <w:rStyle w:val="normaltextrun"/>
          <w:rFonts w:ascii="Cambria" w:hAnsi="Cambria"/>
          <w:color w:val="000000"/>
          <w:sz w:val="20"/>
          <w:szCs w:val="20"/>
          <w:shd w:val="clear" w:color="auto" w:fill="FFFFFF"/>
        </w:rPr>
        <w:t xml:space="preserve">la </w:t>
      </w:r>
      <w:r w:rsidRPr="000552EC">
        <w:rPr>
          <w:rStyle w:val="normaltextrun"/>
          <w:rFonts w:ascii="Cambria" w:hAnsi="Cambria"/>
          <w:i/>
          <w:iCs/>
          <w:color w:val="000000"/>
          <w:sz w:val="20"/>
          <w:szCs w:val="20"/>
          <w:shd w:val="clear" w:color="auto" w:fill="FFFFFF"/>
        </w:rPr>
        <w:t>Recommandation de l’ICCAT établissant des mesures de gestion pour le stock du germon de la Méditerranée</w:t>
      </w:r>
      <w:r w:rsidRPr="000552EC">
        <w:rPr>
          <w:rStyle w:val="normaltextrun"/>
          <w:rFonts w:ascii="Cambria" w:hAnsi="Cambria"/>
          <w:color w:val="000000"/>
          <w:sz w:val="20"/>
          <w:szCs w:val="20"/>
          <w:shd w:val="clear" w:color="auto" w:fill="FFFFFF"/>
        </w:rPr>
        <w:t xml:space="preserve"> de 2017 </w:t>
      </w:r>
      <w:r w:rsidR="006F7739" w:rsidRPr="000552EC">
        <w:rPr>
          <w:rStyle w:val="normaltextrun"/>
          <w:rFonts w:ascii="Cambria" w:hAnsi="Cambria"/>
          <w:color w:val="000000"/>
          <w:sz w:val="20"/>
          <w:szCs w:val="20"/>
          <w:shd w:val="clear" w:color="auto" w:fill="FFFFFF"/>
        </w:rPr>
        <w:t>(</w:t>
      </w:r>
      <w:r w:rsidRPr="000552EC">
        <w:rPr>
          <w:rStyle w:val="normaltextrun"/>
          <w:rFonts w:ascii="Cambria" w:hAnsi="Cambria"/>
          <w:color w:val="000000"/>
          <w:sz w:val="20"/>
          <w:szCs w:val="20"/>
          <w:shd w:val="clear" w:color="auto" w:fill="FFFFFF"/>
        </w:rPr>
        <w:t>Rec. 17-05</w:t>
      </w:r>
      <w:r w:rsidR="006F7739" w:rsidRPr="000552EC">
        <w:rPr>
          <w:rStyle w:val="normaltextrun"/>
          <w:rFonts w:ascii="Cambria" w:hAnsi="Cambria"/>
          <w:color w:val="000000"/>
          <w:sz w:val="20"/>
          <w:szCs w:val="20"/>
          <w:shd w:val="clear" w:color="auto" w:fill="FFFFFF"/>
        </w:rPr>
        <w:t>)</w:t>
      </w:r>
      <w:r w:rsidRPr="000552EC">
        <w:rPr>
          <w:rStyle w:val="normaltextrun"/>
          <w:rFonts w:ascii="Cambria" w:hAnsi="Cambria"/>
          <w:color w:val="000000"/>
          <w:sz w:val="20"/>
          <w:szCs w:val="20"/>
          <w:shd w:val="clear" w:color="auto" w:fill="FFFFFF"/>
        </w:rPr>
        <w:t> ;</w:t>
      </w:r>
    </w:p>
    <w:p w14:paraId="3AF0D83F" w14:textId="2400EEEE"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44A4C98B" w14:textId="6F062421"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sz w:val="20"/>
          <w:szCs w:val="20"/>
        </w:rPr>
        <w:t xml:space="preserve">NOTANT </w:t>
      </w:r>
      <w:r w:rsidRPr="000552EC">
        <w:rPr>
          <w:rStyle w:val="normaltextrun"/>
          <w:rFonts w:ascii="Cambria" w:hAnsi="Cambria"/>
          <w:sz w:val="20"/>
          <w:szCs w:val="20"/>
        </w:rPr>
        <w:t>les dispositions de la Recommandation 11-13 de l’ICCAT et, pour les stocks surexploités et faisant l'objet de surpêche, la nécessité de rétablir le stock et de r</w:t>
      </w:r>
      <w:r w:rsidR="001516A7" w:rsidRPr="000552EC">
        <w:rPr>
          <w:rStyle w:val="normaltextrun"/>
          <w:rFonts w:ascii="Cambria" w:hAnsi="Cambria"/>
          <w:sz w:val="20"/>
          <w:szCs w:val="20"/>
        </w:rPr>
        <w:t>éduire la mortalité par pêche ;</w:t>
      </w:r>
    </w:p>
    <w:p w14:paraId="00D4BF7A" w14:textId="52DADF53"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7CC266F6" w14:textId="77777777" w:rsidR="006D5892" w:rsidRPr="000552EC" w:rsidRDefault="006D5892" w:rsidP="00987A64">
      <w:pPr>
        <w:pStyle w:val="paragraph"/>
        <w:spacing w:before="0" w:beforeAutospacing="0" w:after="0" w:afterAutospacing="0"/>
        <w:ind w:firstLine="426"/>
        <w:jc w:val="both"/>
        <w:textAlignment w:val="baseline"/>
        <w:rPr>
          <w:rStyle w:val="normaltextrun"/>
          <w:rFonts w:ascii="Cambria" w:hAnsi="Cambria" w:cs="Segoe UI"/>
          <w:sz w:val="20"/>
          <w:szCs w:val="20"/>
        </w:rPr>
      </w:pPr>
      <w:r w:rsidRPr="000552EC">
        <w:rPr>
          <w:rStyle w:val="normaltextrun"/>
          <w:rFonts w:ascii="Cambria" w:hAnsi="Cambria"/>
          <w:i/>
          <w:sz w:val="20"/>
          <w:szCs w:val="20"/>
        </w:rPr>
        <w:t xml:space="preserve">CONSIDÉRANT </w:t>
      </w:r>
      <w:r w:rsidRPr="000552EC">
        <w:rPr>
          <w:rStyle w:val="normaltextrun"/>
          <w:rFonts w:ascii="Cambria" w:hAnsi="Cambria"/>
          <w:sz w:val="20"/>
          <w:szCs w:val="20"/>
        </w:rPr>
        <w:t>que l’évaluation du stock réalisée en 2021 par le Comité Permanent pour la Recherche et les Statistiques (SCRS) a conclu que le stock de germon de la Méditerranée est surexploité et fait actuellement l’objet de surpêche, et a recommandé un niveau de capture de 2.500 t afin d’atteindre l’objectif de gestion de la Convention de permettre à la biomasse de se rétablir au niveau de B</w:t>
      </w:r>
      <w:r w:rsidRPr="000552EC">
        <w:rPr>
          <w:rStyle w:val="normaltextrun"/>
          <w:rFonts w:ascii="Cambria" w:hAnsi="Cambria"/>
          <w:sz w:val="20"/>
          <w:szCs w:val="20"/>
          <w:vertAlign w:val="subscript"/>
        </w:rPr>
        <w:t>PME</w:t>
      </w:r>
      <w:r w:rsidRPr="000552EC">
        <w:rPr>
          <w:rStyle w:val="normaltextrun"/>
          <w:rFonts w:ascii="Cambria" w:hAnsi="Cambria"/>
          <w:sz w:val="20"/>
          <w:szCs w:val="20"/>
        </w:rPr>
        <w:t xml:space="preserve"> avec une probabilité de 60% d’ici 2034 ;</w:t>
      </w:r>
    </w:p>
    <w:p w14:paraId="48F4DBB0" w14:textId="31B65C34"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749CB8BD" w14:textId="6DB6B1AA"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RECONNAISSANT</w:t>
      </w:r>
      <w:r w:rsidRPr="000552EC">
        <w:rPr>
          <w:rStyle w:val="normaltextrun"/>
          <w:rFonts w:ascii="Cambria" w:hAnsi="Cambria"/>
          <w:sz w:val="20"/>
          <w:szCs w:val="20"/>
        </w:rPr>
        <w:t xml:space="preserve"> que</w:t>
      </w:r>
      <w:r w:rsidR="005E5C15" w:rsidRPr="000552EC">
        <w:rPr>
          <w:rStyle w:val="normaltextrun"/>
          <w:rFonts w:ascii="Cambria" w:hAnsi="Cambria"/>
          <w:sz w:val="20"/>
          <w:szCs w:val="20"/>
        </w:rPr>
        <w:t>,</w:t>
      </w:r>
      <w:r w:rsidRPr="000552EC">
        <w:rPr>
          <w:rStyle w:val="normaltextrun"/>
          <w:rFonts w:ascii="Cambria" w:hAnsi="Cambria"/>
          <w:sz w:val="20"/>
          <w:szCs w:val="20"/>
        </w:rPr>
        <w:t xml:space="preserve"> faisant suite à l’évaluation du stock de germon de la Méditerranée de 2021, le SCRS a noté dans son avis que la caractérisation de l’état du stock, en particulier de la mortalité par pêche, est très incertaine ;</w:t>
      </w:r>
    </w:p>
    <w:p w14:paraId="3B6827A4" w14:textId="3BFC03B1"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25C59785" w14:textId="1FE1A94F"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SOULIGNANT</w:t>
      </w:r>
      <w:r w:rsidRPr="000552EC">
        <w:rPr>
          <w:rStyle w:val="normaltextrun"/>
          <w:rFonts w:ascii="Cambria" w:hAnsi="Cambria"/>
          <w:sz w:val="20"/>
          <w:szCs w:val="20"/>
        </w:rPr>
        <w:t> que, selon l’avis scientifique le plus récent et conformément à l’approche de précaution, le SCRS recommande d’éviter to</w:t>
      </w:r>
      <w:r w:rsidR="004E171B" w:rsidRPr="000552EC">
        <w:rPr>
          <w:rStyle w:val="normaltextrun"/>
          <w:rFonts w:ascii="Cambria" w:hAnsi="Cambria"/>
          <w:sz w:val="20"/>
          <w:szCs w:val="20"/>
        </w:rPr>
        <w:t>ute augmentation des captures ;</w:t>
      </w:r>
    </w:p>
    <w:p w14:paraId="28529419" w14:textId="4E267E1C"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03084134" w14:textId="69E19249"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 xml:space="preserve">CONSIDÉRANT </w:t>
      </w:r>
      <w:r w:rsidRPr="000552EC">
        <w:rPr>
          <w:rStyle w:val="normaltextrun"/>
          <w:rFonts w:ascii="Cambria" w:hAnsi="Cambria"/>
          <w:iCs/>
          <w:color w:val="000000"/>
          <w:sz w:val="20"/>
          <w:szCs w:val="20"/>
          <w:shd w:val="clear" w:color="auto" w:fill="FFFFFF"/>
        </w:rPr>
        <w:t>qu’afin</w:t>
      </w:r>
      <w:r w:rsidR="001516A7" w:rsidRPr="000552EC">
        <w:rPr>
          <w:rStyle w:val="normaltextrun"/>
          <w:rFonts w:ascii="Cambria" w:hAnsi="Cambria"/>
          <w:i/>
          <w:iCs/>
          <w:color w:val="000000"/>
          <w:sz w:val="20"/>
          <w:szCs w:val="20"/>
          <w:shd w:val="clear" w:color="auto" w:fill="FFFFFF"/>
        </w:rPr>
        <w:t xml:space="preserve"> </w:t>
      </w:r>
      <w:r w:rsidRPr="000552EC">
        <w:rPr>
          <w:rStyle w:val="normaltextrun"/>
          <w:rFonts w:ascii="Cambria" w:hAnsi="Cambria"/>
          <w:sz w:val="20"/>
          <w:szCs w:val="20"/>
        </w:rPr>
        <w:t>d’éviter un accroissement de l’effort de pêche et des captures, il est important de s’assurer que la cap</w:t>
      </w:r>
      <w:r w:rsidR="00A172CC" w:rsidRPr="000552EC">
        <w:rPr>
          <w:rStyle w:val="normaltextrun"/>
          <w:rFonts w:ascii="Cambria" w:hAnsi="Cambria"/>
          <w:sz w:val="20"/>
          <w:szCs w:val="20"/>
        </w:rPr>
        <w:t>acité de pêche n’augmente pas ;</w:t>
      </w:r>
    </w:p>
    <w:p w14:paraId="6EBA0B41" w14:textId="35C0C5B9"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724EB2A0" w14:textId="74CFDDE8" w:rsidR="006D5892" w:rsidRPr="000552EC" w:rsidRDefault="00D43314"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 xml:space="preserve">CONSIDÉRANT </w:t>
      </w:r>
      <w:r w:rsidR="006D5892" w:rsidRPr="000552EC">
        <w:rPr>
          <w:rStyle w:val="normaltextrun"/>
          <w:rFonts w:ascii="Cambria" w:hAnsi="Cambria"/>
          <w:sz w:val="20"/>
          <w:szCs w:val="20"/>
        </w:rPr>
        <w:t xml:space="preserve">que </w:t>
      </w:r>
      <w:r w:rsidR="00AB28DB" w:rsidRPr="000552EC">
        <w:rPr>
          <w:rStyle w:val="normaltextrun"/>
          <w:rFonts w:ascii="Cambria" w:hAnsi="Cambria"/>
          <w:sz w:val="20"/>
          <w:szCs w:val="20"/>
        </w:rPr>
        <w:t xml:space="preserve">toutes les CPC devraient continuer à appliquer </w:t>
      </w:r>
      <w:r w:rsidR="006D5892" w:rsidRPr="000552EC">
        <w:rPr>
          <w:rStyle w:val="normaltextrun"/>
          <w:rFonts w:ascii="Cambria" w:hAnsi="Cambria"/>
          <w:sz w:val="20"/>
          <w:szCs w:val="20"/>
        </w:rPr>
        <w:t>l</w:t>
      </w:r>
      <w:r w:rsidRPr="000552EC">
        <w:rPr>
          <w:rStyle w:val="normaltextrun"/>
          <w:rFonts w:ascii="Cambria" w:hAnsi="Cambria"/>
          <w:sz w:val="20"/>
          <w:szCs w:val="20"/>
        </w:rPr>
        <w:t>’obligation établie au paragraphe</w:t>
      </w:r>
      <w:r w:rsidR="005E5C15" w:rsidRPr="000552EC">
        <w:rPr>
          <w:rStyle w:val="normaltextrun"/>
          <w:rFonts w:ascii="Cambria" w:hAnsi="Cambria"/>
          <w:sz w:val="20"/>
          <w:szCs w:val="20"/>
        </w:rPr>
        <w:t> </w:t>
      </w:r>
      <w:r w:rsidRPr="000552EC">
        <w:rPr>
          <w:rStyle w:val="normaltextrun"/>
          <w:rFonts w:ascii="Cambria" w:hAnsi="Cambria"/>
          <w:sz w:val="20"/>
          <w:szCs w:val="20"/>
        </w:rPr>
        <w:t xml:space="preserve">12 </w:t>
      </w:r>
      <w:r w:rsidR="006D5892" w:rsidRPr="000552EC">
        <w:rPr>
          <w:rStyle w:val="normaltextrun"/>
          <w:rFonts w:ascii="Cambria" w:hAnsi="Cambria"/>
          <w:sz w:val="20"/>
          <w:szCs w:val="20"/>
        </w:rPr>
        <w:t xml:space="preserve">de la </w:t>
      </w:r>
      <w:r w:rsidRPr="000552EC">
        <w:rPr>
          <w:rFonts w:ascii="Cambria" w:hAnsi="Cambria"/>
          <w:i/>
          <w:sz w:val="20"/>
          <w:szCs w:val="20"/>
        </w:rPr>
        <w:t>Recommandation de l’ICCAT pour remplacer la Recommandation 13-04 et établir un programme pluriannuel de rétablissement pour l'espadon de la Méditerranée</w:t>
      </w:r>
      <w:r w:rsidRPr="000552EC">
        <w:rPr>
          <w:rStyle w:val="normaltextrun"/>
          <w:rFonts w:ascii="Cambria" w:hAnsi="Cambria"/>
          <w:sz w:val="20"/>
          <w:szCs w:val="20"/>
        </w:rPr>
        <w:t xml:space="preserve"> (</w:t>
      </w:r>
      <w:r w:rsidR="006D5892" w:rsidRPr="000552EC">
        <w:rPr>
          <w:rStyle w:val="normaltextrun"/>
          <w:rFonts w:ascii="Cambria" w:hAnsi="Cambria"/>
          <w:sz w:val="20"/>
          <w:szCs w:val="20"/>
        </w:rPr>
        <w:t>Rec</w:t>
      </w:r>
      <w:r w:rsidRPr="000552EC">
        <w:rPr>
          <w:rStyle w:val="normaltextrun"/>
          <w:rFonts w:ascii="Cambria" w:hAnsi="Cambria"/>
          <w:sz w:val="20"/>
          <w:szCs w:val="20"/>
        </w:rPr>
        <w:t xml:space="preserve">. </w:t>
      </w:r>
      <w:r w:rsidR="006D5892" w:rsidRPr="000552EC">
        <w:rPr>
          <w:rStyle w:val="normaltextrun"/>
          <w:rFonts w:ascii="Cambria" w:hAnsi="Cambria"/>
          <w:sz w:val="20"/>
          <w:szCs w:val="20"/>
        </w:rPr>
        <w:t>16-05</w:t>
      </w:r>
      <w:r w:rsidRPr="000552EC">
        <w:rPr>
          <w:rStyle w:val="normaltextrun"/>
          <w:rFonts w:ascii="Cambria" w:hAnsi="Cambria"/>
          <w:sz w:val="20"/>
          <w:szCs w:val="20"/>
        </w:rPr>
        <w:t>)</w:t>
      </w:r>
      <w:r w:rsidR="006D5892" w:rsidRPr="000552EC">
        <w:rPr>
          <w:rStyle w:val="normaltextrun"/>
          <w:rFonts w:ascii="Cambria" w:hAnsi="Cambria"/>
          <w:sz w:val="20"/>
          <w:szCs w:val="20"/>
        </w:rPr>
        <w:t xml:space="preserve"> mett</w:t>
      </w:r>
      <w:r w:rsidRPr="000552EC">
        <w:rPr>
          <w:rStyle w:val="normaltextrun"/>
          <w:rFonts w:ascii="Cambria" w:hAnsi="Cambria"/>
          <w:sz w:val="20"/>
          <w:szCs w:val="20"/>
        </w:rPr>
        <w:t>a</w:t>
      </w:r>
      <w:r w:rsidR="006D5892" w:rsidRPr="000552EC">
        <w:rPr>
          <w:rStyle w:val="normaltextrun"/>
          <w:rFonts w:ascii="Cambria" w:hAnsi="Cambria"/>
          <w:sz w:val="20"/>
          <w:szCs w:val="20"/>
        </w:rPr>
        <w:t xml:space="preserve">nt en place une période de fermeture </w:t>
      </w:r>
      <w:r w:rsidRPr="000552EC">
        <w:rPr>
          <w:rStyle w:val="normaltextrun"/>
          <w:rFonts w:ascii="Cambria" w:hAnsi="Cambria"/>
          <w:sz w:val="20"/>
          <w:szCs w:val="20"/>
        </w:rPr>
        <w:t>du 1</w:t>
      </w:r>
      <w:r w:rsidRPr="000552EC">
        <w:rPr>
          <w:rStyle w:val="normaltextrun"/>
          <w:rFonts w:ascii="Cambria" w:hAnsi="Cambria"/>
          <w:sz w:val="20"/>
          <w:szCs w:val="20"/>
          <w:vertAlign w:val="superscript"/>
        </w:rPr>
        <w:t>er</w:t>
      </w:r>
      <w:r w:rsidRPr="000552EC">
        <w:rPr>
          <w:rStyle w:val="normaltextrun"/>
          <w:rFonts w:ascii="Cambria" w:hAnsi="Cambria"/>
          <w:sz w:val="20"/>
          <w:szCs w:val="20"/>
        </w:rPr>
        <w:t xml:space="preserve"> octobre au 30 novembre </w:t>
      </w:r>
      <w:r w:rsidR="006D5892" w:rsidRPr="000552EC">
        <w:rPr>
          <w:rStyle w:val="normaltextrun"/>
          <w:rFonts w:ascii="Cambria" w:hAnsi="Cambria"/>
          <w:sz w:val="20"/>
          <w:szCs w:val="20"/>
        </w:rPr>
        <w:t>pour les pêcheries palangrières ciblant le germon de la Méditerranée (</w:t>
      </w:r>
      <w:proofErr w:type="spellStart"/>
      <w:r w:rsidR="001516A7" w:rsidRPr="000552EC">
        <w:rPr>
          <w:rStyle w:val="normaltextrun"/>
          <w:rFonts w:ascii="Cambria" w:hAnsi="Cambria"/>
          <w:i/>
          <w:iCs/>
          <w:sz w:val="20"/>
          <w:szCs w:val="20"/>
        </w:rPr>
        <w:t>Thunnus</w:t>
      </w:r>
      <w:proofErr w:type="spellEnd"/>
      <w:r w:rsidR="001516A7" w:rsidRPr="000552EC">
        <w:rPr>
          <w:rStyle w:val="normaltextrun"/>
          <w:rFonts w:ascii="Cambria" w:hAnsi="Cambria"/>
          <w:i/>
          <w:iCs/>
          <w:sz w:val="20"/>
          <w:szCs w:val="20"/>
        </w:rPr>
        <w:t xml:space="preserve"> </w:t>
      </w:r>
      <w:proofErr w:type="spellStart"/>
      <w:r w:rsidR="006D5892" w:rsidRPr="000552EC">
        <w:rPr>
          <w:rStyle w:val="normaltextrun"/>
          <w:rFonts w:ascii="Cambria" w:hAnsi="Cambria"/>
          <w:i/>
          <w:iCs/>
          <w:sz w:val="20"/>
          <w:szCs w:val="20"/>
        </w:rPr>
        <w:t>alalunga</w:t>
      </w:r>
      <w:proofErr w:type="spellEnd"/>
      <w:r w:rsidR="006D5892" w:rsidRPr="000552EC">
        <w:rPr>
          <w:rStyle w:val="normaltextrun"/>
          <w:rFonts w:ascii="Cambria" w:hAnsi="Cambria"/>
          <w:i/>
          <w:iCs/>
          <w:sz w:val="20"/>
          <w:szCs w:val="20"/>
        </w:rPr>
        <w:t>)</w:t>
      </w:r>
      <w:r w:rsidR="006D5892" w:rsidRPr="000552EC">
        <w:rPr>
          <w:rStyle w:val="normaltextrun"/>
          <w:rFonts w:ascii="Cambria" w:hAnsi="Cambria"/>
          <w:sz w:val="20"/>
          <w:szCs w:val="20"/>
        </w:rPr>
        <w:t>, dans le but de protéger les juvéniles d’espadon de la Méditerranée (</w:t>
      </w:r>
      <w:r w:rsidR="006D5892" w:rsidRPr="000552EC">
        <w:rPr>
          <w:rStyle w:val="normaltextrun"/>
          <w:rFonts w:ascii="Cambria" w:hAnsi="Cambria"/>
          <w:i/>
          <w:iCs/>
          <w:sz w:val="20"/>
          <w:szCs w:val="20"/>
        </w:rPr>
        <w:t>Xiphias</w:t>
      </w:r>
      <w:r w:rsidR="001516A7" w:rsidRPr="000552EC">
        <w:rPr>
          <w:rStyle w:val="normaltextrun"/>
          <w:rFonts w:ascii="Cambria" w:hAnsi="Cambria"/>
          <w:i/>
          <w:iCs/>
          <w:sz w:val="20"/>
          <w:szCs w:val="20"/>
        </w:rPr>
        <w:t xml:space="preserve"> </w:t>
      </w:r>
      <w:proofErr w:type="spellStart"/>
      <w:r w:rsidR="006D5892" w:rsidRPr="000552EC">
        <w:rPr>
          <w:rStyle w:val="normaltextrun"/>
          <w:rFonts w:ascii="Cambria" w:hAnsi="Cambria"/>
          <w:i/>
          <w:iCs/>
          <w:sz w:val="20"/>
          <w:szCs w:val="20"/>
        </w:rPr>
        <w:t>gladius</w:t>
      </w:r>
      <w:proofErr w:type="spellEnd"/>
      <w:r w:rsidR="006D5892" w:rsidRPr="000552EC">
        <w:rPr>
          <w:rStyle w:val="normaltextrun"/>
          <w:rFonts w:ascii="Cambria" w:hAnsi="Cambria"/>
          <w:i/>
          <w:iCs/>
          <w:sz w:val="20"/>
          <w:szCs w:val="20"/>
        </w:rPr>
        <w:t>)</w:t>
      </w:r>
      <w:r w:rsidR="00AB28DB" w:rsidRPr="000552EC">
        <w:rPr>
          <w:rStyle w:val="normaltextrun"/>
          <w:rFonts w:ascii="Cambria" w:hAnsi="Cambria"/>
          <w:i/>
          <w:iCs/>
          <w:sz w:val="20"/>
          <w:szCs w:val="20"/>
        </w:rPr>
        <w:t> ;</w:t>
      </w:r>
    </w:p>
    <w:p w14:paraId="50279830" w14:textId="3F6E23F9"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1A065137" w14:textId="2F5F517A"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color w:val="000000"/>
          <w:sz w:val="20"/>
          <w:szCs w:val="20"/>
          <w:shd w:val="clear" w:color="auto" w:fill="FFFFFF"/>
        </w:rPr>
        <w:t xml:space="preserve">RECONNAISSANT </w:t>
      </w:r>
      <w:r w:rsidRPr="000552EC">
        <w:rPr>
          <w:rStyle w:val="normaltextrun"/>
          <w:rFonts w:ascii="Cambria" w:hAnsi="Cambria"/>
          <w:iCs/>
          <w:color w:val="000000"/>
          <w:sz w:val="20"/>
          <w:szCs w:val="20"/>
          <w:shd w:val="clear" w:color="auto" w:fill="FFFFFF"/>
        </w:rPr>
        <w:t>que</w:t>
      </w:r>
      <w:r w:rsidR="001516A7" w:rsidRPr="000552EC">
        <w:rPr>
          <w:rStyle w:val="normaltextrun"/>
          <w:rFonts w:ascii="Cambria" w:hAnsi="Cambria"/>
          <w:iCs/>
          <w:color w:val="000000"/>
          <w:sz w:val="20"/>
          <w:szCs w:val="20"/>
          <w:shd w:val="clear" w:color="auto" w:fill="FFFFFF"/>
        </w:rPr>
        <w:t xml:space="preserve"> </w:t>
      </w:r>
      <w:r w:rsidRPr="000552EC">
        <w:rPr>
          <w:rStyle w:val="normaltextrun"/>
          <w:rFonts w:ascii="Cambria" w:hAnsi="Cambria"/>
          <w:sz w:val="20"/>
          <w:szCs w:val="20"/>
        </w:rPr>
        <w:t xml:space="preserve">le paragraphe 11 de la Recommandation 16-05 de l’ICCAT relative à l’espadon de la Méditerranée prévoit deux périodes de fermeture alternatives pour </w:t>
      </w:r>
      <w:r w:rsidR="00AB28DB" w:rsidRPr="000552EC">
        <w:rPr>
          <w:rStyle w:val="normaltextrun"/>
          <w:rFonts w:ascii="Cambria" w:hAnsi="Cambria"/>
          <w:sz w:val="20"/>
          <w:szCs w:val="20"/>
        </w:rPr>
        <w:t>cette</w:t>
      </w:r>
      <w:r w:rsidRPr="000552EC">
        <w:rPr>
          <w:rStyle w:val="normaltextrun"/>
          <w:rFonts w:ascii="Cambria" w:hAnsi="Cambria"/>
          <w:sz w:val="20"/>
          <w:szCs w:val="20"/>
        </w:rPr>
        <w:t xml:space="preserve"> pêcherie et que ces fermetures affectent également les pêcher</w:t>
      </w:r>
      <w:r w:rsidR="00A172CC" w:rsidRPr="000552EC">
        <w:rPr>
          <w:rStyle w:val="normaltextrun"/>
          <w:rFonts w:ascii="Cambria" w:hAnsi="Cambria"/>
          <w:sz w:val="20"/>
          <w:szCs w:val="20"/>
        </w:rPr>
        <w:t>ies de germon en Méditerranée ;</w:t>
      </w:r>
    </w:p>
    <w:p w14:paraId="7F667468" w14:textId="7F66D228"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188CBA49" w14:textId="7734B791"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sz w:val="20"/>
          <w:szCs w:val="20"/>
        </w:rPr>
        <w:t>RECONNAISSANT</w:t>
      </w:r>
      <w:r w:rsidRPr="000552EC">
        <w:rPr>
          <w:rStyle w:val="normaltextrun"/>
          <w:rFonts w:ascii="Cambria" w:hAnsi="Cambria"/>
          <w:sz w:val="20"/>
          <w:szCs w:val="20"/>
        </w:rPr>
        <w:t xml:space="preserve"> la dimension socioéconomique des pêcheries méditerranéennes à petite échelle et la</w:t>
      </w:r>
      <w:r w:rsidR="00D34B33" w:rsidRPr="000552EC">
        <w:rPr>
          <w:rStyle w:val="normaltextrun"/>
          <w:rFonts w:ascii="Cambria" w:hAnsi="Cambria"/>
          <w:sz w:val="20"/>
          <w:szCs w:val="20"/>
        </w:rPr>
        <w:t xml:space="preserve"> </w:t>
      </w:r>
      <w:r w:rsidRPr="000552EC">
        <w:rPr>
          <w:rStyle w:val="normaltextrun"/>
          <w:rFonts w:ascii="Cambria" w:hAnsi="Cambria"/>
          <w:sz w:val="20"/>
          <w:szCs w:val="20"/>
        </w:rPr>
        <w:t>nécessité d'adopter une approche progressive et de faire preuve de souplesse dan</w:t>
      </w:r>
      <w:r w:rsidR="00A172CC" w:rsidRPr="000552EC">
        <w:rPr>
          <w:rStyle w:val="normaltextrun"/>
          <w:rFonts w:ascii="Cambria" w:hAnsi="Cambria"/>
          <w:sz w:val="20"/>
          <w:szCs w:val="20"/>
        </w:rPr>
        <w:t>s la gestion de ces pêcheries ;</w:t>
      </w:r>
    </w:p>
    <w:p w14:paraId="69D349C6" w14:textId="26994C68"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p>
    <w:p w14:paraId="69C2272A" w14:textId="77777777" w:rsidR="006D5892" w:rsidRPr="000552EC" w:rsidRDefault="006D5892" w:rsidP="00987A64">
      <w:pPr>
        <w:pStyle w:val="paragraph"/>
        <w:spacing w:before="0" w:beforeAutospacing="0" w:after="0" w:afterAutospacing="0"/>
        <w:ind w:firstLine="426"/>
        <w:jc w:val="both"/>
        <w:textAlignment w:val="baseline"/>
        <w:rPr>
          <w:rFonts w:ascii="Cambria" w:hAnsi="Cambria" w:cs="Segoe UI"/>
          <w:sz w:val="20"/>
          <w:szCs w:val="20"/>
        </w:rPr>
      </w:pPr>
      <w:r w:rsidRPr="000552EC">
        <w:rPr>
          <w:rStyle w:val="normaltextrun"/>
          <w:rFonts w:ascii="Cambria" w:hAnsi="Cambria"/>
          <w:i/>
          <w:iCs/>
          <w:sz w:val="20"/>
          <w:szCs w:val="20"/>
        </w:rPr>
        <w:t>RAPPELANT</w:t>
      </w:r>
      <w:r w:rsidRPr="000552EC">
        <w:rPr>
          <w:rStyle w:val="normaltextrun"/>
          <w:rFonts w:ascii="Cambria" w:hAnsi="Cambria"/>
          <w:sz w:val="20"/>
          <w:szCs w:val="20"/>
        </w:rPr>
        <w:t xml:space="preserve"> qu’il est important que toutes les flottilles participant aux pêcheries de germon de la Méditerranée soumettent les données requises (prise, effort et prise par taille) sur leurs pêcheries aux fins de leur transmission au SCRS ;</w:t>
      </w:r>
      <w:r w:rsidRPr="000552EC">
        <w:rPr>
          <w:rStyle w:val="eop"/>
          <w:rFonts w:ascii="Cambria" w:hAnsi="Cambria"/>
          <w:sz w:val="20"/>
          <w:szCs w:val="20"/>
        </w:rPr>
        <w:t xml:space="preserve"> </w:t>
      </w:r>
    </w:p>
    <w:p w14:paraId="455C371C" w14:textId="0F539D24" w:rsidR="006D5892" w:rsidRPr="000552EC" w:rsidRDefault="006D5892" w:rsidP="004E171B">
      <w:pPr>
        <w:pStyle w:val="paragraph"/>
        <w:spacing w:before="0" w:beforeAutospacing="0" w:after="0" w:afterAutospacing="0"/>
        <w:jc w:val="both"/>
        <w:textAlignment w:val="baseline"/>
        <w:rPr>
          <w:rFonts w:ascii="Cambria" w:hAnsi="Cambria" w:cs="Segoe UI"/>
          <w:sz w:val="20"/>
          <w:szCs w:val="20"/>
        </w:rPr>
      </w:pPr>
    </w:p>
    <w:p w14:paraId="7DBB164B" w14:textId="15C0265A" w:rsidR="006D5892" w:rsidRPr="000552EC" w:rsidRDefault="006D5892" w:rsidP="004E171B">
      <w:pPr>
        <w:pStyle w:val="paragraph"/>
        <w:spacing w:before="0" w:beforeAutospacing="0" w:after="0" w:afterAutospacing="0"/>
        <w:jc w:val="both"/>
        <w:textAlignment w:val="baseline"/>
        <w:rPr>
          <w:rFonts w:ascii="Cambria" w:hAnsi="Cambria" w:cs="Segoe UI"/>
          <w:sz w:val="20"/>
          <w:szCs w:val="20"/>
        </w:rPr>
      </w:pPr>
    </w:p>
    <w:p w14:paraId="0D533562" w14:textId="77777777" w:rsidR="006D5892" w:rsidRPr="000552EC" w:rsidRDefault="006D5892" w:rsidP="004E171B">
      <w:pPr>
        <w:pStyle w:val="paragraph"/>
        <w:spacing w:before="0" w:beforeAutospacing="0" w:after="0" w:afterAutospacing="0"/>
        <w:ind w:left="15"/>
        <w:jc w:val="center"/>
        <w:textAlignment w:val="baseline"/>
        <w:rPr>
          <w:rFonts w:ascii="Cambria" w:hAnsi="Cambria" w:cs="Segoe UI"/>
          <w:sz w:val="20"/>
          <w:szCs w:val="20"/>
        </w:rPr>
      </w:pPr>
      <w:r w:rsidRPr="000552EC">
        <w:rPr>
          <w:rFonts w:ascii="Cambria" w:hAnsi="Cambria"/>
          <w:sz w:val="20"/>
          <w:szCs w:val="20"/>
        </w:rPr>
        <w:t>LA COMMISSION INTERNATIONALE POUR LA CONSERVATION DES THONIDÉS DE L’ATLANTIQUE (ICCAT) RECOMMANDE CE QUI SUIT :</w:t>
      </w:r>
      <w:r w:rsidRPr="000552EC">
        <w:rPr>
          <w:rStyle w:val="eop"/>
          <w:rFonts w:ascii="Cambria" w:hAnsi="Cambria"/>
          <w:sz w:val="20"/>
          <w:szCs w:val="20"/>
        </w:rPr>
        <w:t> </w:t>
      </w:r>
    </w:p>
    <w:p w14:paraId="4C33A713" w14:textId="156A6266" w:rsidR="006D5892" w:rsidRPr="000552EC" w:rsidRDefault="006D5892" w:rsidP="00987A64">
      <w:pPr>
        <w:pStyle w:val="paragraph"/>
        <w:spacing w:before="0" w:beforeAutospacing="0" w:after="0" w:afterAutospacing="0"/>
        <w:jc w:val="both"/>
        <w:textAlignment w:val="baseline"/>
        <w:rPr>
          <w:rFonts w:ascii="Cambria" w:hAnsi="Cambria" w:cs="Segoe UI"/>
          <w:sz w:val="20"/>
          <w:szCs w:val="20"/>
        </w:rPr>
      </w:pPr>
    </w:p>
    <w:p w14:paraId="749D5FC3" w14:textId="70EFD385" w:rsidR="006D5892"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1. </w:t>
      </w:r>
      <w:r w:rsidRPr="000552EC">
        <w:rPr>
          <w:rStyle w:val="normaltextrun"/>
          <w:rFonts w:ascii="Cambria" w:hAnsi="Cambria"/>
          <w:sz w:val="20"/>
          <w:szCs w:val="20"/>
        </w:rPr>
        <w:tab/>
      </w:r>
      <w:r w:rsidR="006D5892" w:rsidRPr="000552EC">
        <w:rPr>
          <w:rStyle w:val="normaltextrun"/>
          <w:rFonts w:ascii="Cambria" w:hAnsi="Cambria"/>
          <w:sz w:val="20"/>
          <w:szCs w:val="20"/>
        </w:rPr>
        <w:t>Les Parties contractantes et Parties, Entités ou Entités de pêche non</w:t>
      </w:r>
      <w:r w:rsidR="000552EC">
        <w:rPr>
          <w:rStyle w:val="normaltextrun"/>
          <w:rFonts w:ascii="Cambria" w:hAnsi="Cambria"/>
          <w:sz w:val="20"/>
          <w:szCs w:val="20"/>
        </w:rPr>
        <w:t xml:space="preserve"> </w:t>
      </w:r>
      <w:r w:rsidR="006D5892" w:rsidRPr="000552EC">
        <w:rPr>
          <w:rStyle w:val="normaltextrun"/>
          <w:rFonts w:ascii="Cambria" w:hAnsi="Cambria"/>
          <w:sz w:val="20"/>
          <w:szCs w:val="20"/>
        </w:rPr>
        <w:t>contractantes coopérantes (désignées ci-après « CPC ») dont les navires pêchent activement le germon (</w:t>
      </w:r>
      <w:proofErr w:type="spellStart"/>
      <w:r w:rsidR="00D34B33" w:rsidRPr="000552EC">
        <w:rPr>
          <w:rStyle w:val="normaltextrun"/>
          <w:rFonts w:ascii="Cambria" w:hAnsi="Cambria"/>
          <w:i/>
          <w:sz w:val="20"/>
          <w:szCs w:val="20"/>
        </w:rPr>
        <w:t>Thunnus</w:t>
      </w:r>
      <w:proofErr w:type="spellEnd"/>
      <w:r w:rsidR="00D34B33" w:rsidRPr="000552EC">
        <w:rPr>
          <w:rStyle w:val="normaltextrun"/>
          <w:rFonts w:ascii="Cambria" w:hAnsi="Cambria"/>
          <w:i/>
          <w:sz w:val="20"/>
          <w:szCs w:val="20"/>
        </w:rPr>
        <w:t xml:space="preserve"> </w:t>
      </w:r>
      <w:proofErr w:type="spellStart"/>
      <w:r w:rsidR="006D5892" w:rsidRPr="000552EC">
        <w:rPr>
          <w:rStyle w:val="normaltextrun"/>
          <w:rFonts w:ascii="Cambria" w:hAnsi="Cambria"/>
          <w:i/>
          <w:sz w:val="20"/>
          <w:szCs w:val="20"/>
        </w:rPr>
        <w:t>alalunga</w:t>
      </w:r>
      <w:proofErr w:type="spellEnd"/>
      <w:r w:rsidR="006D5892" w:rsidRPr="000552EC">
        <w:rPr>
          <w:rStyle w:val="normaltextrun"/>
          <w:rFonts w:ascii="Cambria" w:hAnsi="Cambria"/>
          <w:sz w:val="20"/>
          <w:szCs w:val="20"/>
        </w:rPr>
        <w:t>) en Méditerranée devront mettre en œuvre un programme de rétablissement de 15 ans, commençant en 2022 et se poursuivant jusqu’en 2036</w:t>
      </w:r>
      <w:r w:rsidR="00EC7746" w:rsidRPr="000552EC">
        <w:rPr>
          <w:rStyle w:val="normaltextrun"/>
          <w:rFonts w:ascii="Cambria" w:hAnsi="Cambria"/>
          <w:sz w:val="20"/>
          <w:szCs w:val="20"/>
        </w:rPr>
        <w:t xml:space="preserve"> compris</w:t>
      </w:r>
      <w:r w:rsidR="006D5892" w:rsidRPr="000552EC">
        <w:rPr>
          <w:rStyle w:val="normaltextrun"/>
          <w:rFonts w:ascii="Cambria" w:hAnsi="Cambria"/>
          <w:sz w:val="20"/>
          <w:szCs w:val="20"/>
        </w:rPr>
        <w:t>, dans le but d’atteindre B</w:t>
      </w:r>
      <w:r w:rsidR="006D5892" w:rsidRPr="000552EC">
        <w:rPr>
          <w:rStyle w:val="normaltextrun"/>
          <w:rFonts w:ascii="Cambria" w:hAnsi="Cambria"/>
          <w:sz w:val="20"/>
          <w:szCs w:val="20"/>
          <w:vertAlign w:val="subscript"/>
        </w:rPr>
        <w:t>PME</w:t>
      </w:r>
      <w:r w:rsidR="006D5892" w:rsidRPr="000552EC">
        <w:rPr>
          <w:rStyle w:val="normaltextrun"/>
          <w:rFonts w:ascii="Cambria" w:hAnsi="Cambria"/>
          <w:sz w:val="20"/>
          <w:szCs w:val="20"/>
        </w:rPr>
        <w:t xml:space="preserve"> avec une probabilité de 60% au moins.</w:t>
      </w:r>
    </w:p>
    <w:p w14:paraId="546FB034" w14:textId="4238D8C3" w:rsidR="006D5892" w:rsidRPr="000552EC" w:rsidRDefault="006D5892" w:rsidP="00987A64">
      <w:pPr>
        <w:pStyle w:val="paragraph"/>
        <w:spacing w:before="0" w:beforeAutospacing="0" w:after="0" w:afterAutospacing="0"/>
        <w:ind w:left="426" w:hanging="426"/>
        <w:jc w:val="both"/>
        <w:textAlignment w:val="baseline"/>
        <w:rPr>
          <w:rFonts w:ascii="Cambria" w:hAnsi="Cambria" w:cs="Segoe UI"/>
          <w:sz w:val="20"/>
          <w:szCs w:val="20"/>
        </w:rPr>
      </w:pPr>
    </w:p>
    <w:p w14:paraId="0FFB98A5" w14:textId="1B0A6BC2" w:rsidR="00AB28DB"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lastRenderedPageBreak/>
        <w:t xml:space="preserve">2. </w:t>
      </w:r>
      <w:r w:rsidRPr="000552EC">
        <w:rPr>
          <w:rStyle w:val="normaltextrun"/>
          <w:rFonts w:ascii="Cambria" w:hAnsi="Cambria"/>
          <w:sz w:val="20"/>
          <w:szCs w:val="20"/>
        </w:rPr>
        <w:tab/>
      </w:r>
      <w:r w:rsidR="006D5892" w:rsidRPr="000552EC">
        <w:rPr>
          <w:rStyle w:val="normaltextrun"/>
          <w:rFonts w:ascii="Cambria" w:hAnsi="Cambria"/>
          <w:sz w:val="20"/>
          <w:szCs w:val="20"/>
        </w:rPr>
        <w:t>Pour 2022, un to</w:t>
      </w:r>
      <w:r w:rsidR="00D34B33" w:rsidRPr="000552EC">
        <w:rPr>
          <w:rStyle w:val="normaltextrun"/>
          <w:rFonts w:ascii="Cambria" w:hAnsi="Cambria"/>
          <w:sz w:val="20"/>
          <w:szCs w:val="20"/>
        </w:rPr>
        <w:t xml:space="preserve">tal de prises admissibles (TAC) devra être établi à 2.500 t pour le germon </w:t>
      </w:r>
      <w:r w:rsidR="006D5892" w:rsidRPr="000552EC">
        <w:rPr>
          <w:rStyle w:val="normaltextrun"/>
          <w:rFonts w:ascii="Cambria" w:hAnsi="Cambria"/>
          <w:sz w:val="20"/>
          <w:szCs w:val="20"/>
        </w:rPr>
        <w:t>(</w:t>
      </w:r>
      <w:proofErr w:type="spellStart"/>
      <w:r w:rsidR="00D34B33" w:rsidRPr="000552EC">
        <w:rPr>
          <w:rStyle w:val="normaltextrun"/>
          <w:rFonts w:ascii="Cambria" w:hAnsi="Cambria"/>
          <w:i/>
          <w:iCs/>
          <w:sz w:val="20"/>
          <w:szCs w:val="20"/>
        </w:rPr>
        <w:t>Thunnus</w:t>
      </w:r>
      <w:proofErr w:type="spellEnd"/>
      <w:r w:rsidR="00D34B33" w:rsidRPr="000552EC">
        <w:rPr>
          <w:rStyle w:val="normaltextrun"/>
          <w:rFonts w:ascii="Cambria" w:hAnsi="Cambria"/>
          <w:i/>
          <w:iCs/>
          <w:sz w:val="20"/>
          <w:szCs w:val="20"/>
        </w:rPr>
        <w:t xml:space="preserve"> </w:t>
      </w:r>
      <w:proofErr w:type="spellStart"/>
      <w:r w:rsidR="006D5892" w:rsidRPr="000552EC">
        <w:rPr>
          <w:rStyle w:val="normaltextrun"/>
          <w:rFonts w:ascii="Cambria" w:hAnsi="Cambria"/>
          <w:i/>
          <w:iCs/>
          <w:sz w:val="20"/>
          <w:szCs w:val="20"/>
        </w:rPr>
        <w:t>alalunga</w:t>
      </w:r>
      <w:proofErr w:type="spellEnd"/>
      <w:r w:rsidR="006D5892" w:rsidRPr="000552EC">
        <w:rPr>
          <w:rStyle w:val="normaltextrun"/>
          <w:rFonts w:ascii="Cambria" w:hAnsi="Cambria"/>
          <w:sz w:val="20"/>
          <w:szCs w:val="20"/>
        </w:rPr>
        <w:t>) en Médi</w:t>
      </w:r>
      <w:r w:rsidR="00D34B33" w:rsidRPr="000552EC">
        <w:rPr>
          <w:rStyle w:val="normaltextrun"/>
          <w:rFonts w:ascii="Cambria" w:hAnsi="Cambria"/>
          <w:sz w:val="20"/>
          <w:szCs w:val="20"/>
        </w:rPr>
        <w:t xml:space="preserve">terranée. </w:t>
      </w:r>
      <w:r w:rsidR="006D5892" w:rsidRPr="000552EC">
        <w:rPr>
          <w:rStyle w:val="normaltextrun"/>
          <w:rFonts w:ascii="Cambria" w:hAnsi="Cambria"/>
          <w:sz w:val="20"/>
          <w:szCs w:val="20"/>
        </w:rPr>
        <w:t xml:space="preserve">Ceci ne </w:t>
      </w:r>
      <w:r w:rsidR="00CA11AE" w:rsidRPr="000552EC">
        <w:rPr>
          <w:rStyle w:val="normaltextrun"/>
          <w:rFonts w:ascii="Cambria" w:hAnsi="Cambria"/>
          <w:sz w:val="20"/>
          <w:szCs w:val="20"/>
        </w:rPr>
        <w:t xml:space="preserve">devra </w:t>
      </w:r>
      <w:r w:rsidR="00EC7433" w:rsidRPr="000552EC">
        <w:rPr>
          <w:rStyle w:val="normaltextrun"/>
          <w:rFonts w:ascii="Cambria" w:hAnsi="Cambria"/>
          <w:sz w:val="20"/>
          <w:szCs w:val="20"/>
        </w:rPr>
        <w:t xml:space="preserve">pas </w:t>
      </w:r>
      <w:r w:rsidR="006D5892" w:rsidRPr="000552EC">
        <w:rPr>
          <w:rStyle w:val="normaltextrun"/>
          <w:rFonts w:ascii="Cambria" w:hAnsi="Cambria"/>
          <w:sz w:val="20"/>
          <w:szCs w:val="20"/>
        </w:rPr>
        <w:t>préjuger des discussions qui auront lieu dans le cadre du groupe de travail visé au paragraphe 3</w:t>
      </w:r>
      <w:r w:rsidR="00D34B33" w:rsidRPr="000552EC">
        <w:rPr>
          <w:rStyle w:val="normaltextrun"/>
          <w:rFonts w:ascii="Cambria" w:hAnsi="Cambria"/>
          <w:sz w:val="20"/>
          <w:szCs w:val="20"/>
        </w:rPr>
        <w:t xml:space="preserve"> de la présente Recommandation.</w:t>
      </w:r>
    </w:p>
    <w:p w14:paraId="5F2B6F57" w14:textId="77777777" w:rsidR="00242755" w:rsidRPr="000552EC" w:rsidRDefault="0024275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2D8269AC" w14:textId="7865579B" w:rsidR="006D5892" w:rsidRPr="000552EC" w:rsidRDefault="00A22E53" w:rsidP="00A22E53">
      <w:pPr>
        <w:pStyle w:val="paragraph"/>
        <w:spacing w:before="0" w:beforeAutospacing="0" w:after="0" w:afterAutospacing="0"/>
        <w:ind w:left="426" w:hanging="426"/>
        <w:jc w:val="both"/>
        <w:textAlignment w:val="baseline"/>
        <w:rPr>
          <w:rStyle w:val="eop"/>
          <w:rFonts w:ascii="Cambria" w:hAnsi="Cambria" w:cs="Segoe UI"/>
          <w:sz w:val="20"/>
          <w:szCs w:val="20"/>
        </w:rPr>
      </w:pPr>
      <w:r w:rsidRPr="000552EC">
        <w:rPr>
          <w:rStyle w:val="normaltextrun"/>
          <w:rFonts w:ascii="Cambria" w:hAnsi="Cambria"/>
          <w:sz w:val="20"/>
          <w:szCs w:val="20"/>
        </w:rPr>
        <w:t xml:space="preserve">3. </w:t>
      </w:r>
      <w:r w:rsidRPr="000552EC">
        <w:rPr>
          <w:rStyle w:val="normaltextrun"/>
          <w:rFonts w:ascii="Cambria" w:hAnsi="Cambria"/>
          <w:sz w:val="20"/>
          <w:szCs w:val="20"/>
        </w:rPr>
        <w:tab/>
      </w:r>
      <w:r w:rsidR="006D5892" w:rsidRPr="000552EC">
        <w:rPr>
          <w:rStyle w:val="normaltextrun"/>
          <w:rFonts w:ascii="Cambria" w:hAnsi="Cambria"/>
          <w:sz w:val="20"/>
          <w:szCs w:val="20"/>
        </w:rPr>
        <w:t>Un groupe de travail de l’ICCAT devra être mis en place au mois de février 2022 afin d’établir :</w:t>
      </w:r>
      <w:r w:rsidR="006D5892" w:rsidRPr="000552EC">
        <w:rPr>
          <w:rStyle w:val="eop"/>
          <w:rFonts w:ascii="Cambria" w:hAnsi="Cambria"/>
          <w:sz w:val="20"/>
          <w:szCs w:val="20"/>
        </w:rPr>
        <w:t> </w:t>
      </w:r>
    </w:p>
    <w:p w14:paraId="7F1CA494" w14:textId="77777777" w:rsidR="00DE04C7" w:rsidRPr="000552EC" w:rsidRDefault="00DE04C7" w:rsidP="004E171B">
      <w:pPr>
        <w:pStyle w:val="paragraph"/>
        <w:spacing w:before="0" w:beforeAutospacing="0" w:after="0" w:afterAutospacing="0"/>
        <w:jc w:val="both"/>
        <w:textAlignment w:val="baseline"/>
        <w:rPr>
          <w:rFonts w:ascii="Cambria" w:hAnsi="Cambria" w:cs="Segoe UI"/>
          <w:sz w:val="20"/>
          <w:szCs w:val="20"/>
        </w:rPr>
      </w:pPr>
    </w:p>
    <w:p w14:paraId="08E2AB58" w14:textId="38EFBBA9" w:rsidR="006D5892" w:rsidRPr="000552EC" w:rsidRDefault="006D5892" w:rsidP="00987A64">
      <w:pPr>
        <w:pStyle w:val="paragraph"/>
        <w:numPr>
          <w:ilvl w:val="0"/>
          <w:numId w:val="19"/>
        </w:numPr>
        <w:spacing w:before="0" w:beforeAutospacing="0" w:after="0" w:afterAutospacing="0"/>
        <w:ind w:left="851" w:hanging="425"/>
        <w:jc w:val="both"/>
        <w:textAlignment w:val="baseline"/>
        <w:rPr>
          <w:rFonts w:ascii="Cambria" w:hAnsi="Cambria" w:cs="Segoe UI"/>
          <w:sz w:val="20"/>
          <w:szCs w:val="20"/>
        </w:rPr>
      </w:pPr>
      <w:r w:rsidRPr="000552EC">
        <w:rPr>
          <w:rStyle w:val="normaltextrun"/>
          <w:rFonts w:ascii="Cambria" w:hAnsi="Cambria"/>
          <w:sz w:val="20"/>
          <w:szCs w:val="20"/>
        </w:rPr>
        <w:t>un schéma d’allocation juste et équitable du TA</w:t>
      </w:r>
      <w:r w:rsidR="00A172CC" w:rsidRPr="000552EC">
        <w:rPr>
          <w:rStyle w:val="normaltextrun"/>
          <w:rFonts w:ascii="Cambria" w:hAnsi="Cambria"/>
          <w:sz w:val="20"/>
          <w:szCs w:val="20"/>
        </w:rPr>
        <w:t>C de germon de la Méditerranée ;</w:t>
      </w:r>
    </w:p>
    <w:p w14:paraId="7AD3FFE5" w14:textId="06EE5287" w:rsidR="006D5892" w:rsidRPr="000552EC" w:rsidRDefault="006D5892" w:rsidP="00987A64">
      <w:pPr>
        <w:pStyle w:val="paragraph"/>
        <w:numPr>
          <w:ilvl w:val="0"/>
          <w:numId w:val="19"/>
        </w:numPr>
        <w:spacing w:before="0" w:beforeAutospacing="0" w:after="0" w:afterAutospacing="0"/>
        <w:ind w:left="851" w:hanging="425"/>
        <w:jc w:val="both"/>
        <w:textAlignment w:val="baseline"/>
        <w:rPr>
          <w:rFonts w:ascii="Cambria" w:hAnsi="Cambria" w:cs="Segoe UI"/>
          <w:sz w:val="20"/>
          <w:szCs w:val="20"/>
        </w:rPr>
      </w:pPr>
      <w:r w:rsidRPr="000552EC">
        <w:rPr>
          <w:rStyle w:val="normaltextrun"/>
          <w:rFonts w:ascii="Cambria" w:hAnsi="Cambria"/>
          <w:sz w:val="20"/>
          <w:szCs w:val="20"/>
        </w:rPr>
        <w:t>un quota de CPC au titre de 2022 sans préjudice du schéma d’allocation visé au point a) ;</w:t>
      </w:r>
      <w:r w:rsidRPr="000552EC">
        <w:rPr>
          <w:rStyle w:val="eop"/>
          <w:rFonts w:ascii="Cambria" w:hAnsi="Cambria"/>
          <w:sz w:val="20"/>
          <w:szCs w:val="20"/>
        </w:rPr>
        <w:t> </w:t>
      </w:r>
    </w:p>
    <w:p w14:paraId="320CE57C" w14:textId="7FE0C5B4" w:rsidR="006D5892" w:rsidRPr="000552EC" w:rsidRDefault="006D5892" w:rsidP="00987A64">
      <w:pPr>
        <w:pStyle w:val="paragraph"/>
        <w:numPr>
          <w:ilvl w:val="0"/>
          <w:numId w:val="19"/>
        </w:numPr>
        <w:spacing w:before="0" w:beforeAutospacing="0" w:after="0" w:afterAutospacing="0"/>
        <w:ind w:left="851" w:hanging="425"/>
        <w:jc w:val="both"/>
        <w:textAlignment w:val="baseline"/>
        <w:rPr>
          <w:rFonts w:ascii="Cambria" w:hAnsi="Cambria" w:cs="Segoe UI"/>
          <w:sz w:val="20"/>
          <w:szCs w:val="20"/>
        </w:rPr>
      </w:pPr>
      <w:r w:rsidRPr="000552EC">
        <w:rPr>
          <w:rStyle w:val="normaltextrun"/>
          <w:rFonts w:ascii="Cambria" w:hAnsi="Cambria"/>
          <w:sz w:val="20"/>
          <w:szCs w:val="20"/>
        </w:rPr>
        <w:t>le mécanisme permettant de gérer le TAC.</w:t>
      </w:r>
      <w:r w:rsidRPr="000552EC">
        <w:rPr>
          <w:rStyle w:val="eop"/>
          <w:rFonts w:ascii="Cambria" w:hAnsi="Cambria"/>
          <w:sz w:val="20"/>
          <w:szCs w:val="20"/>
        </w:rPr>
        <w:t> </w:t>
      </w:r>
    </w:p>
    <w:p w14:paraId="33CC921A" w14:textId="4551377A" w:rsidR="006D5892" w:rsidRPr="000552EC" w:rsidRDefault="006D5892" w:rsidP="004E171B">
      <w:pPr>
        <w:pStyle w:val="paragraph"/>
        <w:spacing w:before="0" w:beforeAutospacing="0" w:after="0" w:afterAutospacing="0"/>
        <w:ind w:firstLine="420"/>
        <w:jc w:val="both"/>
        <w:textAlignment w:val="baseline"/>
        <w:rPr>
          <w:rFonts w:ascii="Cambria" w:hAnsi="Cambria" w:cs="Segoe UI"/>
          <w:sz w:val="20"/>
          <w:szCs w:val="20"/>
        </w:rPr>
      </w:pPr>
    </w:p>
    <w:p w14:paraId="4A0DB0EF" w14:textId="0085C9CC" w:rsidR="006D5892" w:rsidRPr="000552EC" w:rsidRDefault="006D5892" w:rsidP="00987A64">
      <w:pPr>
        <w:pStyle w:val="paragraph"/>
        <w:spacing w:before="0" w:beforeAutospacing="0" w:after="0" w:afterAutospacing="0"/>
        <w:ind w:left="426"/>
        <w:jc w:val="both"/>
        <w:textAlignment w:val="baseline"/>
        <w:rPr>
          <w:rFonts w:ascii="Cambria" w:hAnsi="Cambria" w:cs="Segoe UI"/>
          <w:sz w:val="20"/>
          <w:szCs w:val="20"/>
        </w:rPr>
      </w:pPr>
      <w:r w:rsidRPr="000552EC">
        <w:rPr>
          <w:rStyle w:val="normaltextrun"/>
          <w:rFonts w:ascii="Cambria" w:hAnsi="Cambria"/>
          <w:sz w:val="20"/>
          <w:szCs w:val="20"/>
        </w:rPr>
        <w:t xml:space="preserve">Le groupe de travail devra, dans le contexte de l'établissement de la clef d’allocation, utiliser des critères transparents et objectifs, y compris ceux de nature environnementale, sociale et économique, et il devra notamment tenir compte de la </w:t>
      </w:r>
      <w:r w:rsidRPr="000552EC">
        <w:rPr>
          <w:rStyle w:val="normaltextrun"/>
          <w:rFonts w:ascii="Cambria" w:hAnsi="Cambria"/>
          <w:i/>
          <w:sz w:val="20"/>
          <w:szCs w:val="20"/>
        </w:rPr>
        <w:t>Résolution de l’ICCAT portant sur les critères pour l’allocation de possibilités de pêche</w:t>
      </w:r>
      <w:r w:rsidR="003457D3" w:rsidRPr="000552EC">
        <w:rPr>
          <w:rStyle w:val="normaltextrun"/>
          <w:rFonts w:ascii="Cambria" w:hAnsi="Cambria"/>
          <w:i/>
          <w:sz w:val="20"/>
          <w:szCs w:val="20"/>
        </w:rPr>
        <w:t xml:space="preserve"> </w:t>
      </w:r>
      <w:r w:rsidR="00CA11AE" w:rsidRPr="000552EC">
        <w:rPr>
          <w:rStyle w:val="normaltextrun"/>
          <w:rFonts w:ascii="Cambria" w:hAnsi="Cambria"/>
          <w:sz w:val="20"/>
          <w:szCs w:val="20"/>
        </w:rPr>
        <w:t>(</w:t>
      </w:r>
      <w:r w:rsidRPr="000552EC">
        <w:rPr>
          <w:rStyle w:val="normaltextrun"/>
          <w:rFonts w:ascii="Cambria" w:hAnsi="Cambria"/>
          <w:sz w:val="20"/>
          <w:szCs w:val="20"/>
        </w:rPr>
        <w:t>Rés. 15-13</w:t>
      </w:r>
      <w:r w:rsidR="00CA11AE" w:rsidRPr="000552EC">
        <w:rPr>
          <w:rStyle w:val="normaltextrun"/>
          <w:rFonts w:ascii="Cambria" w:hAnsi="Cambria"/>
          <w:sz w:val="20"/>
          <w:szCs w:val="20"/>
        </w:rPr>
        <w:t>)</w:t>
      </w:r>
      <w:r w:rsidRPr="000552EC">
        <w:rPr>
          <w:rStyle w:val="normaltextrun"/>
          <w:rFonts w:ascii="Cambria" w:hAnsi="Cambria"/>
          <w:sz w:val="20"/>
          <w:szCs w:val="20"/>
        </w:rPr>
        <w:t>.</w:t>
      </w:r>
    </w:p>
    <w:p w14:paraId="0A49913A" w14:textId="026E214F" w:rsidR="006D5892" w:rsidRPr="000552EC" w:rsidRDefault="006D5892" w:rsidP="004E171B">
      <w:pPr>
        <w:pStyle w:val="paragraph"/>
        <w:spacing w:before="0" w:beforeAutospacing="0" w:after="0" w:afterAutospacing="0"/>
        <w:jc w:val="both"/>
        <w:textAlignment w:val="baseline"/>
        <w:rPr>
          <w:rFonts w:ascii="Cambria" w:hAnsi="Cambria" w:cs="Segoe UI"/>
          <w:sz w:val="20"/>
          <w:szCs w:val="20"/>
        </w:rPr>
      </w:pPr>
    </w:p>
    <w:p w14:paraId="43550DBA" w14:textId="5EA29AFC"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4. </w:t>
      </w:r>
      <w:r w:rsidRPr="000552EC">
        <w:rPr>
          <w:rStyle w:val="normaltextrun"/>
          <w:rFonts w:ascii="Cambria" w:hAnsi="Cambria"/>
          <w:sz w:val="20"/>
          <w:szCs w:val="20"/>
        </w:rPr>
        <w:tab/>
      </w:r>
      <w:r w:rsidR="006D5892" w:rsidRPr="000552EC">
        <w:rPr>
          <w:rStyle w:val="normaltextrun"/>
          <w:rFonts w:ascii="Cambria" w:hAnsi="Cambria"/>
          <w:sz w:val="20"/>
          <w:szCs w:val="20"/>
        </w:rPr>
        <w:t xml:space="preserve">Une allocation de TAC mutuellement convenue devra être adoptée par le biais d’une </w:t>
      </w:r>
      <w:r w:rsidR="00FE55B6" w:rsidRPr="000552EC">
        <w:rPr>
          <w:rStyle w:val="normaltextrun"/>
          <w:rFonts w:ascii="Cambria" w:hAnsi="Cambria"/>
          <w:sz w:val="20"/>
          <w:szCs w:val="20"/>
        </w:rPr>
        <w:t>r</w:t>
      </w:r>
      <w:r w:rsidR="006D5892" w:rsidRPr="000552EC">
        <w:rPr>
          <w:rStyle w:val="normaltextrun"/>
          <w:rFonts w:ascii="Cambria" w:hAnsi="Cambria"/>
          <w:sz w:val="20"/>
          <w:szCs w:val="20"/>
        </w:rPr>
        <w:t xml:space="preserve">ecommandation supplémentaire à la </w:t>
      </w:r>
      <w:r w:rsidR="00FE55B6" w:rsidRPr="000552EC">
        <w:rPr>
          <w:rStyle w:val="normaltextrun"/>
          <w:rFonts w:ascii="Cambria" w:hAnsi="Cambria"/>
          <w:sz w:val="20"/>
          <w:szCs w:val="20"/>
        </w:rPr>
        <w:t>r</w:t>
      </w:r>
      <w:r w:rsidR="006D5892" w:rsidRPr="000552EC">
        <w:rPr>
          <w:rStyle w:val="normaltextrun"/>
          <w:rFonts w:ascii="Cambria" w:hAnsi="Cambria"/>
          <w:sz w:val="20"/>
          <w:szCs w:val="20"/>
        </w:rPr>
        <w:t>éunion annuelle de 2022.</w:t>
      </w:r>
    </w:p>
    <w:p w14:paraId="30FC6021" w14:textId="77777777" w:rsidR="00C10EB1" w:rsidRPr="000552EC" w:rsidRDefault="00C10EB1" w:rsidP="001E501D">
      <w:pPr>
        <w:pStyle w:val="paragraph"/>
        <w:spacing w:before="0" w:beforeAutospacing="0" w:after="0" w:afterAutospacing="0"/>
        <w:ind w:left="426" w:hanging="426"/>
        <w:jc w:val="both"/>
        <w:textAlignment w:val="baseline"/>
        <w:rPr>
          <w:rStyle w:val="normaltextrun"/>
          <w:rFonts w:ascii="Cambria" w:hAnsi="Cambria"/>
          <w:sz w:val="20"/>
          <w:szCs w:val="20"/>
        </w:rPr>
      </w:pPr>
    </w:p>
    <w:p w14:paraId="5D00975F" w14:textId="16816A9E"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5. </w:t>
      </w:r>
      <w:r w:rsidRPr="000552EC">
        <w:rPr>
          <w:rStyle w:val="normaltextrun"/>
          <w:rFonts w:ascii="Cambria" w:hAnsi="Cambria"/>
          <w:sz w:val="20"/>
          <w:szCs w:val="20"/>
        </w:rPr>
        <w:tab/>
      </w:r>
      <w:r w:rsidR="006D5892" w:rsidRPr="000552EC">
        <w:rPr>
          <w:rStyle w:val="normaltextrun"/>
          <w:rFonts w:ascii="Cambria" w:hAnsi="Cambria"/>
          <w:sz w:val="20"/>
          <w:szCs w:val="20"/>
        </w:rPr>
        <w:t>Chaque CPC devra limiter le nombre de ses navires de pêche autorisés à pêcher le germon de la Méditerranée au nombre de navires qui étaient autorisés à pêcher le germon de la Méditerranée en 2017 au titre d</w:t>
      </w:r>
      <w:r w:rsidR="006D00BB" w:rsidRPr="000552EC">
        <w:rPr>
          <w:rStyle w:val="normaltextrun"/>
          <w:rFonts w:ascii="Cambria" w:hAnsi="Cambria"/>
          <w:sz w:val="20"/>
          <w:szCs w:val="20"/>
        </w:rPr>
        <w:t xml:space="preserve">u paragraphe </w:t>
      </w:r>
      <w:r w:rsidR="006D5892" w:rsidRPr="000552EC">
        <w:rPr>
          <w:rStyle w:val="normaltextrun"/>
          <w:rFonts w:ascii="Cambria" w:hAnsi="Cambria"/>
          <w:sz w:val="20"/>
          <w:szCs w:val="20"/>
        </w:rPr>
        <w:t xml:space="preserve">28 de la Recommandation 16-05 ; ou, alternativement, en 2018, pour les CPC qui ont commencé à délivrer des licences </w:t>
      </w:r>
      <w:r w:rsidR="006D00BB" w:rsidRPr="000552EC">
        <w:rPr>
          <w:rStyle w:val="normaltextrun"/>
          <w:rFonts w:ascii="Cambria" w:hAnsi="Cambria"/>
          <w:sz w:val="20"/>
          <w:szCs w:val="20"/>
        </w:rPr>
        <w:t>à</w:t>
      </w:r>
      <w:r w:rsidR="006D5892" w:rsidRPr="000552EC">
        <w:rPr>
          <w:rStyle w:val="normaltextrun"/>
          <w:rFonts w:ascii="Cambria" w:hAnsi="Cambria"/>
          <w:sz w:val="20"/>
          <w:szCs w:val="20"/>
        </w:rPr>
        <w:t xml:space="preserve"> leurs navires de pêche en 2018 faisant suite à l’adoption de la Recommandation 17-05. Les CPC devront communiquer à la Commission, avant le 15</w:t>
      </w:r>
      <w:r w:rsidR="006D00BB" w:rsidRPr="000552EC">
        <w:rPr>
          <w:rStyle w:val="normaltextrun"/>
          <w:rFonts w:ascii="Cambria" w:hAnsi="Cambria"/>
          <w:sz w:val="20"/>
          <w:szCs w:val="20"/>
        </w:rPr>
        <w:t> </w:t>
      </w:r>
      <w:r w:rsidR="006D5892" w:rsidRPr="000552EC">
        <w:rPr>
          <w:rStyle w:val="normaltextrun"/>
          <w:rFonts w:ascii="Cambria" w:hAnsi="Cambria"/>
          <w:sz w:val="20"/>
          <w:szCs w:val="20"/>
        </w:rPr>
        <w:t>janvier 2022, l’année de référence qui leur est applicable. Les CPC qui ont utilisé 2017 comme année de référence pourraient appliquer une tolérance de 1</w:t>
      </w:r>
      <w:r w:rsidR="003457D3" w:rsidRPr="000552EC">
        <w:rPr>
          <w:rStyle w:val="normaltextrun"/>
          <w:rFonts w:ascii="Cambria" w:hAnsi="Cambria"/>
          <w:sz w:val="20"/>
          <w:szCs w:val="20"/>
        </w:rPr>
        <w:t xml:space="preserve">0% à cette limite de capacité. </w:t>
      </w:r>
    </w:p>
    <w:p w14:paraId="2C5F4779" w14:textId="77777777" w:rsidR="00AF4C28" w:rsidRPr="000552EC" w:rsidRDefault="00AF4C28"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38C8AF63" w14:textId="4A18ED85"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6. </w:t>
      </w:r>
      <w:r w:rsidRPr="000552EC">
        <w:rPr>
          <w:rStyle w:val="normaltextrun"/>
          <w:rFonts w:ascii="Cambria" w:hAnsi="Cambria"/>
          <w:sz w:val="20"/>
          <w:szCs w:val="20"/>
        </w:rPr>
        <w:tab/>
      </w:r>
      <w:r w:rsidR="00BB641B" w:rsidRPr="000552EC">
        <w:rPr>
          <w:rStyle w:val="normaltextrun"/>
          <w:rFonts w:ascii="Cambria" w:hAnsi="Cambria"/>
          <w:sz w:val="20"/>
          <w:szCs w:val="20"/>
        </w:rPr>
        <w:t>Les CPC devront soumettre au Secrétariat de l’ICCAT l</w:t>
      </w:r>
      <w:r w:rsidR="00196CDF" w:rsidRPr="000552EC">
        <w:rPr>
          <w:rStyle w:val="normaltextrun"/>
          <w:rFonts w:ascii="Cambria" w:hAnsi="Cambria"/>
          <w:sz w:val="20"/>
          <w:szCs w:val="20"/>
        </w:rPr>
        <w:t>a</w:t>
      </w:r>
      <w:r w:rsidR="00BB641B" w:rsidRPr="000552EC">
        <w:rPr>
          <w:rStyle w:val="normaltextrun"/>
          <w:rFonts w:ascii="Cambria" w:hAnsi="Cambria"/>
          <w:sz w:val="20"/>
          <w:szCs w:val="20"/>
        </w:rPr>
        <w:t xml:space="preserve"> liste de tous les navires sportifs et récréatifs autorisés à capturer du germon </w:t>
      </w:r>
      <w:r w:rsidR="00196CDF" w:rsidRPr="000552EC">
        <w:rPr>
          <w:rStyle w:val="normaltextrun"/>
          <w:rFonts w:ascii="Cambria" w:hAnsi="Cambria"/>
          <w:sz w:val="20"/>
          <w:szCs w:val="20"/>
        </w:rPr>
        <w:t>dans la mer</w:t>
      </w:r>
      <w:r w:rsidR="00BB641B" w:rsidRPr="000552EC">
        <w:rPr>
          <w:rStyle w:val="normaltextrun"/>
          <w:rFonts w:ascii="Cambria" w:hAnsi="Cambria"/>
          <w:sz w:val="20"/>
          <w:szCs w:val="20"/>
        </w:rPr>
        <w:t xml:space="preserve"> Méditerranée, 15 jours au moins avant l’exercice de leurs activités. Les navires ne figurant pas </w:t>
      </w:r>
      <w:r w:rsidR="00196CDF" w:rsidRPr="000552EC">
        <w:rPr>
          <w:rStyle w:val="normaltextrun"/>
          <w:rFonts w:ascii="Cambria" w:hAnsi="Cambria"/>
          <w:sz w:val="20"/>
          <w:szCs w:val="20"/>
        </w:rPr>
        <w:t>sur</w:t>
      </w:r>
      <w:r w:rsidR="00BB641B" w:rsidRPr="000552EC">
        <w:rPr>
          <w:rStyle w:val="normaltextrun"/>
          <w:rFonts w:ascii="Cambria" w:hAnsi="Cambria"/>
          <w:sz w:val="20"/>
          <w:szCs w:val="20"/>
        </w:rPr>
        <w:t xml:space="preserve"> cette liste ne devront pas être autorisés à capturer du germon de la Méditerranée.</w:t>
      </w:r>
    </w:p>
    <w:p w14:paraId="05FD370B" w14:textId="77777777" w:rsidR="00C10EB1" w:rsidRPr="000552EC" w:rsidRDefault="00C10EB1" w:rsidP="001E501D">
      <w:pPr>
        <w:pStyle w:val="paragraph"/>
        <w:spacing w:before="0" w:beforeAutospacing="0" w:after="0" w:afterAutospacing="0"/>
        <w:ind w:left="426" w:hanging="426"/>
        <w:jc w:val="both"/>
        <w:textAlignment w:val="baseline"/>
        <w:rPr>
          <w:rStyle w:val="normaltextrun"/>
          <w:rFonts w:ascii="Cambria" w:hAnsi="Cambria"/>
          <w:sz w:val="20"/>
          <w:szCs w:val="20"/>
        </w:rPr>
      </w:pPr>
    </w:p>
    <w:p w14:paraId="5E355ECF" w14:textId="6418790A"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7. </w:t>
      </w:r>
      <w:r w:rsidRPr="000552EC">
        <w:rPr>
          <w:rStyle w:val="normaltextrun"/>
          <w:rFonts w:ascii="Cambria" w:hAnsi="Cambria"/>
          <w:sz w:val="20"/>
          <w:szCs w:val="20"/>
        </w:rPr>
        <w:tab/>
      </w:r>
      <w:r w:rsidR="00E34B11" w:rsidRPr="000552EC">
        <w:rPr>
          <w:rStyle w:val="normaltextrun"/>
          <w:rFonts w:ascii="Cambria" w:hAnsi="Cambria"/>
          <w:sz w:val="20"/>
          <w:szCs w:val="20"/>
        </w:rPr>
        <w:t>Les CPC devront prendre les mesures nécessaires afin d’interdire la capture et la rétention à bord, le transbordement ou le débarquement de plus de trois spécimens de germon de la Méditerranée par navire et par jour pour les pêcheries sportives et récréatives.</w:t>
      </w:r>
    </w:p>
    <w:p w14:paraId="408325C8" w14:textId="77777777" w:rsidR="00C10EB1" w:rsidRPr="000552EC" w:rsidRDefault="00C10EB1" w:rsidP="001E501D">
      <w:pPr>
        <w:pStyle w:val="ListParagraph"/>
        <w:spacing w:after="0" w:line="240" w:lineRule="auto"/>
        <w:ind w:left="426" w:hanging="426"/>
        <w:rPr>
          <w:rStyle w:val="normaltextrun"/>
          <w:rFonts w:ascii="Cambria" w:hAnsi="Cambria"/>
          <w:sz w:val="20"/>
          <w:szCs w:val="20"/>
        </w:rPr>
      </w:pPr>
    </w:p>
    <w:p w14:paraId="024D49CB" w14:textId="5EAB8B66"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cs="Segoe UI"/>
          <w:sz w:val="20"/>
          <w:szCs w:val="20"/>
        </w:rPr>
      </w:pPr>
      <w:r w:rsidRPr="000552EC">
        <w:rPr>
          <w:rStyle w:val="normaltextrun"/>
          <w:rFonts w:ascii="Cambria" w:hAnsi="Cambria"/>
          <w:sz w:val="20"/>
          <w:szCs w:val="20"/>
        </w:rPr>
        <w:t xml:space="preserve">8. </w:t>
      </w:r>
      <w:r w:rsidRPr="000552EC">
        <w:rPr>
          <w:rStyle w:val="normaltextrun"/>
          <w:rFonts w:ascii="Cambria" w:hAnsi="Cambria"/>
          <w:sz w:val="20"/>
          <w:szCs w:val="20"/>
        </w:rPr>
        <w:tab/>
      </w:r>
      <w:r w:rsidR="00697DD8" w:rsidRPr="000552EC">
        <w:rPr>
          <w:rStyle w:val="normaltextrun"/>
          <w:rFonts w:ascii="Cambria" w:hAnsi="Cambria"/>
          <w:sz w:val="20"/>
          <w:szCs w:val="20"/>
        </w:rPr>
        <w:t>La commercialisation du germon de la Méditerranée capturé dans le cadre de la pêche récréative et sportive devra être interdite.</w:t>
      </w:r>
    </w:p>
    <w:p w14:paraId="6A14A5F1" w14:textId="77777777" w:rsidR="00C10EB1" w:rsidRPr="000552EC" w:rsidRDefault="00C10EB1" w:rsidP="001E501D">
      <w:pPr>
        <w:pStyle w:val="ListParagraph"/>
        <w:spacing w:after="0" w:line="240" w:lineRule="auto"/>
        <w:ind w:left="426" w:hanging="426"/>
        <w:rPr>
          <w:rStyle w:val="normaltextrun"/>
          <w:rFonts w:ascii="Cambria" w:hAnsi="Cambria"/>
          <w:sz w:val="20"/>
          <w:szCs w:val="20"/>
        </w:rPr>
      </w:pPr>
    </w:p>
    <w:p w14:paraId="352F0D68" w14:textId="504514EA" w:rsidR="00C32287"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cs="Segoe UI"/>
          <w:sz w:val="20"/>
          <w:szCs w:val="20"/>
        </w:rPr>
      </w:pPr>
      <w:r w:rsidRPr="000552EC">
        <w:rPr>
          <w:rStyle w:val="normaltextrun"/>
          <w:rFonts w:ascii="Cambria" w:hAnsi="Cambria"/>
          <w:sz w:val="20"/>
          <w:szCs w:val="20"/>
        </w:rPr>
        <w:t xml:space="preserve">9. </w:t>
      </w:r>
      <w:r w:rsidRPr="000552EC">
        <w:rPr>
          <w:rStyle w:val="normaltextrun"/>
          <w:rFonts w:ascii="Cambria" w:hAnsi="Cambria"/>
          <w:sz w:val="20"/>
          <w:szCs w:val="20"/>
        </w:rPr>
        <w:tab/>
      </w:r>
      <w:r w:rsidR="00AB28DB" w:rsidRPr="000552EC">
        <w:rPr>
          <w:rStyle w:val="normaltextrun"/>
          <w:rFonts w:ascii="Cambria" w:hAnsi="Cambria"/>
          <w:sz w:val="20"/>
          <w:szCs w:val="20"/>
        </w:rPr>
        <w:t xml:space="preserve">Sans préjudice de l’obligation établie au paragraphe 12 de la </w:t>
      </w:r>
      <w:r w:rsidR="00AB28DB" w:rsidRPr="000552EC">
        <w:rPr>
          <w:rFonts w:ascii="Cambria" w:hAnsi="Cambria"/>
          <w:i/>
          <w:sz w:val="20"/>
          <w:szCs w:val="20"/>
        </w:rPr>
        <w:t>Recommandation de l’ICCAT pour remplacer la Recommandation 13-04 et établir un programme pluriannuel de rétablissement pour l'espadon de la Méditerranée</w:t>
      </w:r>
      <w:r w:rsidR="00AB28DB" w:rsidRPr="000552EC">
        <w:rPr>
          <w:rStyle w:val="normaltextrun"/>
          <w:rFonts w:ascii="Cambria" w:hAnsi="Cambria"/>
          <w:sz w:val="20"/>
          <w:szCs w:val="20"/>
        </w:rPr>
        <w:t xml:space="preserve"> (Rec. 16-05), l</w:t>
      </w:r>
      <w:r w:rsidR="00C32287" w:rsidRPr="000552EC">
        <w:rPr>
          <w:rStyle w:val="normaltextrun"/>
          <w:rFonts w:ascii="Cambria" w:hAnsi="Cambria"/>
          <w:sz w:val="20"/>
          <w:szCs w:val="20"/>
        </w:rPr>
        <w:t>e germon de la Méditerranée ne devra pas être capturé (en tant qu’espèce cible ou en tant que prise accessoire), retenu à bord, transbordé ou débarq</w:t>
      </w:r>
      <w:r w:rsidR="003457D3" w:rsidRPr="000552EC">
        <w:rPr>
          <w:rStyle w:val="normaltextrun"/>
          <w:rFonts w:ascii="Cambria" w:hAnsi="Cambria"/>
          <w:sz w:val="20"/>
          <w:szCs w:val="20"/>
        </w:rPr>
        <w:t>ué durant :</w:t>
      </w:r>
    </w:p>
    <w:p w14:paraId="5D7DC6DC" w14:textId="77777777" w:rsidR="003457D3" w:rsidRPr="000552EC" w:rsidRDefault="003457D3" w:rsidP="004E171B">
      <w:pPr>
        <w:pStyle w:val="paragraph"/>
        <w:spacing w:before="0" w:beforeAutospacing="0" w:after="0" w:afterAutospacing="0"/>
        <w:ind w:left="720"/>
        <w:jc w:val="both"/>
        <w:textAlignment w:val="baseline"/>
        <w:rPr>
          <w:rStyle w:val="normaltextrun"/>
          <w:rFonts w:ascii="Cambria" w:hAnsi="Cambria" w:cs="Segoe UI"/>
          <w:sz w:val="20"/>
          <w:szCs w:val="20"/>
        </w:rPr>
      </w:pPr>
    </w:p>
    <w:p w14:paraId="69222D1D" w14:textId="7849DF99" w:rsidR="00C32287" w:rsidRPr="000552EC"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0552EC">
        <w:rPr>
          <w:rStyle w:val="normaltextrun"/>
          <w:rFonts w:ascii="Cambria" w:hAnsi="Cambria"/>
          <w:sz w:val="20"/>
          <w:szCs w:val="20"/>
        </w:rPr>
        <w:t>la période allant du 1er</w:t>
      </w:r>
      <w:r w:rsidR="003457D3" w:rsidRPr="000552EC">
        <w:rPr>
          <w:rStyle w:val="normaltextrun"/>
          <w:rFonts w:ascii="Cambria" w:hAnsi="Cambria"/>
          <w:sz w:val="20"/>
          <w:szCs w:val="20"/>
        </w:rPr>
        <w:t xml:space="preserve"> </w:t>
      </w:r>
      <w:r w:rsidRPr="000552EC">
        <w:rPr>
          <w:rStyle w:val="normaltextrun"/>
          <w:rFonts w:ascii="Cambria" w:hAnsi="Cambria"/>
          <w:sz w:val="20"/>
          <w:szCs w:val="20"/>
        </w:rPr>
        <w:t>octobre au 30 novembre et durant une période additionnelle d'un mois ent</w:t>
      </w:r>
      <w:r w:rsidR="003457D3" w:rsidRPr="000552EC">
        <w:rPr>
          <w:rStyle w:val="normaltextrun"/>
          <w:rFonts w:ascii="Cambria" w:hAnsi="Cambria"/>
          <w:sz w:val="20"/>
          <w:szCs w:val="20"/>
        </w:rPr>
        <w:t>re le 15 février et le 31 mars ;</w:t>
      </w:r>
    </w:p>
    <w:p w14:paraId="19C1CBD4" w14:textId="77777777" w:rsidR="0004083B" w:rsidRPr="000552EC" w:rsidRDefault="0004083B" w:rsidP="0004083B">
      <w:pPr>
        <w:pStyle w:val="paragraph"/>
        <w:spacing w:before="0" w:beforeAutospacing="0" w:after="0" w:afterAutospacing="0"/>
        <w:ind w:left="851"/>
        <w:jc w:val="both"/>
        <w:textAlignment w:val="baseline"/>
        <w:rPr>
          <w:rStyle w:val="normaltextrun"/>
          <w:rFonts w:ascii="Cambria" w:hAnsi="Cambria"/>
          <w:sz w:val="20"/>
          <w:szCs w:val="20"/>
        </w:rPr>
      </w:pPr>
    </w:p>
    <w:p w14:paraId="5F29A5AC" w14:textId="077B2186" w:rsidR="00C32287" w:rsidRPr="000552EC"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0552EC">
        <w:rPr>
          <w:rStyle w:val="normaltextrun"/>
          <w:rFonts w:ascii="Cambria" w:hAnsi="Cambria"/>
          <w:sz w:val="20"/>
          <w:szCs w:val="20"/>
        </w:rPr>
        <w:t>ou, alternativement, durant la période allant du 1er</w:t>
      </w:r>
      <w:r w:rsidR="003457D3" w:rsidRPr="000552EC">
        <w:rPr>
          <w:rStyle w:val="normaltextrun"/>
          <w:rFonts w:ascii="Cambria" w:hAnsi="Cambria"/>
          <w:sz w:val="20"/>
          <w:szCs w:val="20"/>
        </w:rPr>
        <w:t xml:space="preserve"> </w:t>
      </w:r>
      <w:r w:rsidRPr="000552EC">
        <w:rPr>
          <w:rStyle w:val="normaltextrun"/>
          <w:rFonts w:ascii="Cambria" w:hAnsi="Cambria"/>
          <w:sz w:val="20"/>
          <w:szCs w:val="20"/>
        </w:rPr>
        <w:t xml:space="preserve">janvier au 31 mars de chaque année. </w:t>
      </w:r>
    </w:p>
    <w:p w14:paraId="5BC5A627" w14:textId="77777777" w:rsidR="00C10EB1" w:rsidRPr="000552EC" w:rsidRDefault="00C10EB1" w:rsidP="004E171B">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0552EC" w:rsidRDefault="00C32287" w:rsidP="001E501D">
      <w:pPr>
        <w:pStyle w:val="paragraph"/>
        <w:spacing w:before="0" w:beforeAutospacing="0" w:after="0" w:afterAutospacing="0"/>
        <w:ind w:left="426"/>
        <w:jc w:val="both"/>
        <w:textAlignment w:val="baseline"/>
        <w:rPr>
          <w:rStyle w:val="normaltextrun"/>
          <w:rFonts w:ascii="Cambria" w:hAnsi="Cambria"/>
          <w:sz w:val="20"/>
          <w:szCs w:val="20"/>
        </w:rPr>
      </w:pPr>
      <w:r w:rsidRPr="000552EC">
        <w:rPr>
          <w:rStyle w:val="normaltextrun"/>
          <w:rFonts w:ascii="Cambria" w:hAnsi="Cambria"/>
          <w:sz w:val="20"/>
          <w:szCs w:val="20"/>
        </w:rPr>
        <w:t>Les CPC devront communiquer à la Commission, avant le 15 janvier 2022, les périodes de fermeture de leur choix.</w:t>
      </w:r>
    </w:p>
    <w:p w14:paraId="17A04985" w14:textId="77777777" w:rsidR="00F430EC" w:rsidRPr="000552EC" w:rsidRDefault="00F430EC" w:rsidP="004E171B">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70CF1CB8" w:rsidR="00547B7C"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10. </w:t>
      </w:r>
      <w:r w:rsidRPr="000552EC">
        <w:rPr>
          <w:rStyle w:val="normaltextrun"/>
          <w:rFonts w:ascii="Cambria" w:hAnsi="Cambria"/>
          <w:sz w:val="20"/>
          <w:szCs w:val="20"/>
        </w:rPr>
        <w:tab/>
      </w:r>
      <w:r w:rsidR="006D5892" w:rsidRPr="000552EC">
        <w:rPr>
          <w:rStyle w:val="normaltextrun"/>
          <w:rFonts w:ascii="Cambria" w:hAnsi="Cambria"/>
          <w:sz w:val="20"/>
          <w:szCs w:val="20"/>
        </w:rPr>
        <w:t xml:space="preserve">Les CPC devront procéder au suivi du stock de germon de la Méditerranée et soumettre à la Commission, au moins deux mois avant la </w:t>
      </w:r>
      <w:r w:rsidR="00473195" w:rsidRPr="000552EC">
        <w:rPr>
          <w:rStyle w:val="normaltextrun"/>
          <w:rFonts w:ascii="Cambria" w:hAnsi="Cambria"/>
          <w:sz w:val="20"/>
          <w:szCs w:val="20"/>
        </w:rPr>
        <w:t>r</w:t>
      </w:r>
      <w:r w:rsidR="006D5892" w:rsidRPr="000552EC">
        <w:rPr>
          <w:rStyle w:val="normaltextrun"/>
          <w:rFonts w:ascii="Cambria" w:hAnsi="Cambria"/>
          <w:sz w:val="20"/>
          <w:szCs w:val="20"/>
        </w:rPr>
        <w:t>éunion annuell</w:t>
      </w:r>
      <w:r w:rsidR="003457D3" w:rsidRPr="000552EC">
        <w:rPr>
          <w:rStyle w:val="normaltextrun"/>
          <w:rFonts w:ascii="Cambria" w:hAnsi="Cambria"/>
          <w:sz w:val="20"/>
          <w:szCs w:val="20"/>
        </w:rPr>
        <w:t xml:space="preserve">e de la Commission, toutes les </w:t>
      </w:r>
      <w:r w:rsidR="006D5892" w:rsidRPr="000552EC">
        <w:rPr>
          <w:rStyle w:val="normaltextrun"/>
          <w:rFonts w:ascii="Cambria" w:hAnsi="Cambria"/>
          <w:sz w:val="20"/>
          <w:szCs w:val="20"/>
        </w:rPr>
        <w:t>informations scientifiques pertinente</w:t>
      </w:r>
      <w:r w:rsidR="003457D3" w:rsidRPr="000552EC">
        <w:rPr>
          <w:rStyle w:val="normaltextrun"/>
          <w:rFonts w:ascii="Cambria" w:hAnsi="Cambria"/>
          <w:sz w:val="20"/>
          <w:szCs w:val="20"/>
        </w:rPr>
        <w:t>s en ce qui concerne la capture</w:t>
      </w:r>
      <w:r w:rsidR="00473195" w:rsidRPr="000552EC">
        <w:rPr>
          <w:rStyle w:val="normaltextrun"/>
          <w:rFonts w:ascii="Cambria" w:hAnsi="Cambria"/>
          <w:sz w:val="20"/>
          <w:szCs w:val="20"/>
        </w:rPr>
        <w:t>,</w:t>
      </w:r>
      <w:r w:rsidR="006D5892" w:rsidRPr="000552EC">
        <w:rPr>
          <w:rStyle w:val="normaltextrun"/>
          <w:rFonts w:ascii="Cambria" w:hAnsi="Cambria"/>
          <w:sz w:val="20"/>
          <w:szCs w:val="20"/>
        </w:rPr>
        <w:t xml:space="preserve"> la taille et l’âge à la maturité</w:t>
      </w:r>
      <w:r w:rsidR="00473195" w:rsidRPr="000552EC">
        <w:rPr>
          <w:rStyle w:val="normaltextrun"/>
          <w:rFonts w:ascii="Cambria" w:hAnsi="Cambria"/>
          <w:sz w:val="20"/>
          <w:szCs w:val="20"/>
        </w:rPr>
        <w:t>,</w:t>
      </w:r>
      <w:r w:rsidR="006D5892" w:rsidRPr="000552EC">
        <w:rPr>
          <w:rStyle w:val="normaltextrun"/>
          <w:rFonts w:ascii="Cambria" w:hAnsi="Cambria"/>
          <w:sz w:val="20"/>
          <w:szCs w:val="20"/>
        </w:rPr>
        <w:t xml:space="preserve"> l’habitat</w:t>
      </w:r>
      <w:r w:rsidR="00473195" w:rsidRPr="000552EC">
        <w:rPr>
          <w:rStyle w:val="normaltextrun"/>
          <w:rFonts w:ascii="Cambria" w:hAnsi="Cambria"/>
          <w:sz w:val="20"/>
          <w:szCs w:val="20"/>
        </w:rPr>
        <w:t>,</w:t>
      </w:r>
      <w:r w:rsidR="003457D3" w:rsidRPr="000552EC">
        <w:rPr>
          <w:rStyle w:val="normaltextrun"/>
          <w:rFonts w:ascii="Cambria" w:hAnsi="Cambria"/>
          <w:sz w:val="20"/>
          <w:szCs w:val="20"/>
        </w:rPr>
        <w:t xml:space="preserve"> </w:t>
      </w:r>
      <w:r w:rsidR="006D5892" w:rsidRPr="000552EC">
        <w:rPr>
          <w:rStyle w:val="normaltextrun"/>
          <w:rFonts w:ascii="Cambria" w:hAnsi="Cambria"/>
          <w:sz w:val="20"/>
          <w:szCs w:val="20"/>
        </w:rPr>
        <w:t xml:space="preserve">l’impact des pêcheries palangrières en termes de composition des captures, </w:t>
      </w:r>
      <w:r w:rsidR="003457D3" w:rsidRPr="000552EC">
        <w:rPr>
          <w:rStyle w:val="normaltextrun"/>
          <w:rFonts w:ascii="Cambria" w:hAnsi="Cambria"/>
          <w:sz w:val="20"/>
          <w:szCs w:val="20"/>
        </w:rPr>
        <w:t>de séries de CPUE</w:t>
      </w:r>
      <w:r w:rsidR="006D5892" w:rsidRPr="000552EC">
        <w:rPr>
          <w:rStyle w:val="normaltextrun"/>
          <w:rFonts w:ascii="Cambria" w:hAnsi="Cambria"/>
          <w:sz w:val="20"/>
          <w:szCs w:val="20"/>
        </w:rPr>
        <w:t xml:space="preserve">, </w:t>
      </w:r>
      <w:r w:rsidR="003457D3" w:rsidRPr="000552EC">
        <w:rPr>
          <w:rStyle w:val="normaltextrun"/>
          <w:rFonts w:ascii="Cambria" w:hAnsi="Cambria"/>
          <w:sz w:val="20"/>
          <w:szCs w:val="20"/>
        </w:rPr>
        <w:t>de</w:t>
      </w:r>
      <w:r w:rsidR="006D5892" w:rsidRPr="000552EC">
        <w:rPr>
          <w:rStyle w:val="normaltextrun"/>
          <w:rFonts w:ascii="Cambria" w:hAnsi="Cambria"/>
          <w:sz w:val="20"/>
          <w:szCs w:val="20"/>
        </w:rPr>
        <w:t xml:space="preserve"> distribution par taille des captures</w:t>
      </w:r>
      <w:r w:rsidR="00473195" w:rsidRPr="000552EC">
        <w:rPr>
          <w:rStyle w:val="normaltextrun"/>
          <w:rFonts w:ascii="Cambria" w:hAnsi="Cambria"/>
          <w:sz w:val="20"/>
          <w:szCs w:val="20"/>
        </w:rPr>
        <w:t>,</w:t>
      </w:r>
      <w:r w:rsidR="006D5892" w:rsidRPr="000552EC">
        <w:rPr>
          <w:rStyle w:val="normaltextrun"/>
          <w:rFonts w:ascii="Cambria" w:hAnsi="Cambria"/>
          <w:sz w:val="20"/>
          <w:szCs w:val="20"/>
        </w:rPr>
        <w:t xml:space="preserve"> et l’estimation mensuelle de la proportion de géniteurs et de recrues dans les capt</w:t>
      </w:r>
      <w:r w:rsidR="003457D3" w:rsidRPr="000552EC">
        <w:rPr>
          <w:rStyle w:val="normaltextrun"/>
          <w:rFonts w:ascii="Cambria" w:hAnsi="Cambria"/>
          <w:sz w:val="20"/>
          <w:szCs w:val="20"/>
        </w:rPr>
        <w:t xml:space="preserve">ures. </w:t>
      </w:r>
      <w:r w:rsidR="006D5892" w:rsidRPr="000552EC">
        <w:rPr>
          <w:rStyle w:val="normaltextrun"/>
          <w:rFonts w:ascii="Cambria" w:hAnsi="Cambria"/>
          <w:sz w:val="20"/>
          <w:szCs w:val="20"/>
        </w:rPr>
        <w:t>Ces données devront être fournies au SCRS da</w:t>
      </w:r>
      <w:r w:rsidR="003457D3" w:rsidRPr="000552EC">
        <w:rPr>
          <w:rStyle w:val="normaltextrun"/>
          <w:rFonts w:ascii="Cambria" w:hAnsi="Cambria"/>
          <w:sz w:val="20"/>
          <w:szCs w:val="20"/>
        </w:rPr>
        <w:t>ns le format exigé par l'ICCAT.</w:t>
      </w:r>
    </w:p>
    <w:p w14:paraId="3ADA0297" w14:textId="77777777" w:rsidR="00C10EB1" w:rsidRPr="000552EC" w:rsidRDefault="00C10EB1" w:rsidP="001E501D">
      <w:pPr>
        <w:pStyle w:val="paragraph"/>
        <w:spacing w:before="0" w:beforeAutospacing="0" w:after="0" w:afterAutospacing="0"/>
        <w:ind w:left="426" w:hanging="426"/>
        <w:jc w:val="both"/>
        <w:textAlignment w:val="baseline"/>
        <w:rPr>
          <w:rStyle w:val="normaltextrun"/>
          <w:rFonts w:ascii="Cambria" w:hAnsi="Cambria"/>
          <w:sz w:val="20"/>
          <w:szCs w:val="20"/>
        </w:rPr>
      </w:pPr>
    </w:p>
    <w:p w14:paraId="58A2390A" w14:textId="146B6254"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lastRenderedPageBreak/>
        <w:t xml:space="preserve">11. </w:t>
      </w:r>
      <w:r w:rsidRPr="000552EC">
        <w:rPr>
          <w:rStyle w:val="normaltextrun"/>
          <w:rFonts w:ascii="Cambria" w:hAnsi="Cambria"/>
          <w:sz w:val="20"/>
          <w:szCs w:val="20"/>
        </w:rPr>
        <w:tab/>
      </w:r>
      <w:r w:rsidR="001A5646" w:rsidRPr="000552EC">
        <w:rPr>
          <w:rStyle w:val="normaltextrun"/>
          <w:rFonts w:ascii="Cambria" w:hAnsi="Cambria"/>
          <w:sz w:val="20"/>
          <w:szCs w:val="20"/>
        </w:rPr>
        <w:t xml:space="preserve">En 2023, le SCRS devra fournir une évaluation actualisée de l’état du stock sur la base des données les plus récentes disponibles. Il devra évaluer l'efficacité de ce programme de rétablissement et formuler un avis sur de potentiels amendements aux diverses mesures incluses dans ce programme. Le SCRS devra formuler un avis à la Commission sur les caractéristiques appropriées de l'engin de pêche, la période de fermeture </w:t>
      </w:r>
      <w:r w:rsidR="00473195" w:rsidRPr="000552EC">
        <w:rPr>
          <w:rStyle w:val="normaltextrun"/>
          <w:rFonts w:ascii="Cambria" w:hAnsi="Cambria"/>
          <w:sz w:val="20"/>
          <w:szCs w:val="20"/>
        </w:rPr>
        <w:t>énoncée au</w:t>
      </w:r>
      <w:r w:rsidR="001A5646" w:rsidRPr="000552EC">
        <w:rPr>
          <w:rStyle w:val="normaltextrun"/>
          <w:rFonts w:ascii="Cambria" w:hAnsi="Cambria"/>
          <w:sz w:val="20"/>
          <w:szCs w:val="20"/>
        </w:rPr>
        <w:t xml:space="preserve"> paragraphe 9, ainsi que sur la taille minimale à mettre en œuvre pou</w:t>
      </w:r>
      <w:r w:rsidR="009D461C" w:rsidRPr="000552EC">
        <w:rPr>
          <w:rStyle w:val="normaltextrun"/>
          <w:rFonts w:ascii="Cambria" w:hAnsi="Cambria"/>
          <w:sz w:val="20"/>
          <w:szCs w:val="20"/>
        </w:rPr>
        <w:t>r le germon de la Méditerranée.</w:t>
      </w:r>
    </w:p>
    <w:p w14:paraId="48F45370" w14:textId="77777777" w:rsidR="00982E85" w:rsidRPr="000552EC" w:rsidRDefault="00982E8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4D9544A" w14:textId="79780AE9" w:rsidR="00C10EB1" w:rsidRPr="000552EC"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 xml:space="preserve">12. </w:t>
      </w:r>
      <w:r w:rsidRPr="000552EC">
        <w:rPr>
          <w:rStyle w:val="normaltextrun"/>
          <w:rFonts w:ascii="Cambria" w:hAnsi="Cambria"/>
          <w:sz w:val="20"/>
          <w:szCs w:val="20"/>
        </w:rPr>
        <w:tab/>
      </w:r>
      <w:r w:rsidR="007D67C1" w:rsidRPr="000552EC">
        <w:rPr>
          <w:rStyle w:val="normaltextrun"/>
          <w:rFonts w:ascii="Cambria" w:hAnsi="Cambria"/>
          <w:sz w:val="20"/>
          <w:szCs w:val="20"/>
        </w:rPr>
        <w:t>D’ici la fin 2023, en se basant sur cet avis scientifique, l’ICCAT devra adopter, s’il y a lieu</w:t>
      </w:r>
      <w:r w:rsidR="0088376C" w:rsidRPr="000552EC">
        <w:rPr>
          <w:rStyle w:val="normaltextrun"/>
          <w:rFonts w:ascii="Cambria" w:hAnsi="Cambria"/>
          <w:sz w:val="20"/>
          <w:szCs w:val="20"/>
        </w:rPr>
        <w:t>,</w:t>
      </w:r>
      <w:r w:rsidR="007D67C1" w:rsidRPr="000552EC">
        <w:rPr>
          <w:rStyle w:val="normaltextrun"/>
          <w:rFonts w:ascii="Cambria" w:hAnsi="Cambria"/>
          <w:sz w:val="20"/>
          <w:szCs w:val="20"/>
        </w:rPr>
        <w:t xml:space="preserve"> afin de remplir les objectifs de gestion, des amendements au cadre de gestion pour le germon de la Méditerranée, incluant la révision des limites de capture et des sc</w:t>
      </w:r>
      <w:r w:rsidR="009D461C" w:rsidRPr="000552EC">
        <w:rPr>
          <w:rStyle w:val="normaltextrun"/>
          <w:rFonts w:ascii="Cambria" w:hAnsi="Cambria"/>
          <w:sz w:val="20"/>
          <w:szCs w:val="20"/>
        </w:rPr>
        <w:t>énarios de gestion alternatifs.</w:t>
      </w:r>
    </w:p>
    <w:p w14:paraId="1143AB56" w14:textId="77777777" w:rsidR="0088376C" w:rsidRPr="000552EC" w:rsidRDefault="0088376C" w:rsidP="00AB28DB">
      <w:pPr>
        <w:pStyle w:val="paragraph"/>
        <w:spacing w:before="0" w:beforeAutospacing="0" w:after="0" w:afterAutospacing="0"/>
        <w:ind w:left="426" w:hanging="426"/>
        <w:jc w:val="both"/>
        <w:textAlignment w:val="baseline"/>
        <w:rPr>
          <w:rStyle w:val="normaltextrun"/>
          <w:rFonts w:ascii="Cambria" w:hAnsi="Cambria"/>
          <w:sz w:val="20"/>
          <w:szCs w:val="20"/>
        </w:rPr>
      </w:pPr>
    </w:p>
    <w:p w14:paraId="2AD6BF23" w14:textId="1ECDF433" w:rsidR="00AB28DB" w:rsidRPr="000552EC" w:rsidRDefault="00AB28DB"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13.</w:t>
      </w:r>
      <w:r w:rsidRPr="000552EC">
        <w:rPr>
          <w:rStyle w:val="normaltextrun"/>
          <w:rFonts w:ascii="Cambria" w:hAnsi="Cambria"/>
          <w:sz w:val="20"/>
          <w:szCs w:val="20"/>
        </w:rPr>
        <w:tab/>
        <w:t xml:space="preserve">Nonobstant les dispositions de l'article VIII, paragraphe 2 de la Convention, les CPC sont </w:t>
      </w:r>
      <w:r w:rsidR="00786408" w:rsidRPr="000552EC">
        <w:rPr>
          <w:rStyle w:val="normaltextrun"/>
          <w:rFonts w:ascii="Cambria" w:hAnsi="Cambria"/>
          <w:sz w:val="20"/>
          <w:szCs w:val="20"/>
        </w:rPr>
        <w:t>vivement</w:t>
      </w:r>
      <w:r w:rsidRPr="000552EC">
        <w:rPr>
          <w:rStyle w:val="normaltextrun"/>
          <w:rFonts w:ascii="Cambria" w:hAnsi="Cambria"/>
          <w:sz w:val="20"/>
          <w:szCs w:val="20"/>
        </w:rPr>
        <w:t xml:space="preserve"> encouragées à mettre en œuvre, conformément à leurs procédures réglementaires, la présente Recommandation dès que possible et avant la date de son entrée en vigueur. </w:t>
      </w:r>
    </w:p>
    <w:p w14:paraId="50837ED6" w14:textId="77777777" w:rsidR="00C10EB1" w:rsidRPr="000552EC" w:rsidRDefault="00C10EB1" w:rsidP="001E501D">
      <w:pPr>
        <w:pStyle w:val="ListParagraph"/>
        <w:spacing w:after="0" w:line="240" w:lineRule="auto"/>
        <w:ind w:left="426" w:hanging="426"/>
        <w:rPr>
          <w:rStyle w:val="normaltextrun"/>
          <w:rFonts w:ascii="Cambria" w:hAnsi="Cambria" w:cs="Segoe UI"/>
          <w:sz w:val="20"/>
          <w:szCs w:val="20"/>
        </w:rPr>
      </w:pPr>
    </w:p>
    <w:p w14:paraId="5FA5BD91" w14:textId="0934EF02" w:rsidR="006D5892" w:rsidRPr="000552EC" w:rsidRDefault="00AB28DB"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0552EC">
        <w:rPr>
          <w:rStyle w:val="normaltextrun"/>
          <w:rFonts w:ascii="Cambria" w:hAnsi="Cambria"/>
          <w:sz w:val="20"/>
          <w:szCs w:val="20"/>
        </w:rPr>
        <w:t>14.</w:t>
      </w:r>
      <w:r w:rsidRPr="000552EC">
        <w:rPr>
          <w:rStyle w:val="normaltextrun"/>
          <w:rFonts w:ascii="Cambria" w:hAnsi="Cambria"/>
          <w:sz w:val="20"/>
          <w:szCs w:val="20"/>
        </w:rPr>
        <w:tab/>
      </w:r>
      <w:r w:rsidR="006D5892" w:rsidRPr="000552EC">
        <w:rPr>
          <w:rStyle w:val="normaltextrun"/>
          <w:rFonts w:ascii="Cambria" w:hAnsi="Cambria"/>
          <w:sz w:val="20"/>
          <w:szCs w:val="20"/>
        </w:rPr>
        <w:t xml:space="preserve">La présente Recommandation annule et remplace la </w:t>
      </w:r>
      <w:r w:rsidR="006D5892" w:rsidRPr="000552EC">
        <w:rPr>
          <w:rStyle w:val="normaltextrun"/>
          <w:rFonts w:ascii="Cambria" w:hAnsi="Cambria"/>
          <w:i/>
          <w:sz w:val="20"/>
          <w:szCs w:val="20"/>
        </w:rPr>
        <w:t xml:space="preserve">Recommandation de l’ICCAT établissant des mesures de gestion pour le stock du germon de la Méditerranée </w:t>
      </w:r>
      <w:r w:rsidR="00242E63" w:rsidRPr="000552EC">
        <w:rPr>
          <w:rStyle w:val="normaltextrun"/>
          <w:rFonts w:ascii="Cambria" w:hAnsi="Cambria"/>
          <w:sz w:val="20"/>
          <w:szCs w:val="20"/>
        </w:rPr>
        <w:t>(</w:t>
      </w:r>
      <w:r w:rsidR="00B03B9F" w:rsidRPr="000552EC">
        <w:rPr>
          <w:rStyle w:val="normaltextrun"/>
          <w:rFonts w:ascii="Cambria" w:hAnsi="Cambria"/>
          <w:sz w:val="20"/>
          <w:szCs w:val="20"/>
        </w:rPr>
        <w:t>Rec. 17-05</w:t>
      </w:r>
      <w:r w:rsidR="00242E63" w:rsidRPr="000552EC">
        <w:rPr>
          <w:rStyle w:val="normaltextrun"/>
          <w:rFonts w:ascii="Cambria" w:hAnsi="Cambria"/>
          <w:sz w:val="20"/>
          <w:szCs w:val="20"/>
        </w:rPr>
        <w:t>)</w:t>
      </w:r>
      <w:r w:rsidR="00B03B9F" w:rsidRPr="000552EC">
        <w:rPr>
          <w:rStyle w:val="normaltextrun"/>
          <w:rFonts w:ascii="Cambria" w:hAnsi="Cambria"/>
          <w:sz w:val="20"/>
          <w:szCs w:val="20"/>
        </w:rPr>
        <w:t>.</w:t>
      </w:r>
    </w:p>
    <w:sectPr w:rsidR="006D5892" w:rsidRPr="000552EC" w:rsidSect="00987A64">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E545" w14:textId="77777777" w:rsidR="00447144" w:rsidRDefault="00447144">
      <w:pPr>
        <w:spacing w:after="0" w:line="240" w:lineRule="auto"/>
      </w:pPr>
      <w:r>
        <w:separator/>
      </w:r>
    </w:p>
  </w:endnote>
  <w:endnote w:type="continuationSeparator" w:id="0">
    <w:p w14:paraId="3F3F91A9" w14:textId="77777777" w:rsidR="00447144" w:rsidRDefault="0044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D0DF" w14:textId="77777777" w:rsidR="00DC61E4" w:rsidRDefault="00DC6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891586"/>
      <w:docPartObj>
        <w:docPartGallery w:val="Page Numbers (Bottom of Page)"/>
        <w:docPartUnique/>
      </w:docPartObj>
    </w:sdtPr>
    <w:sdtEndPr>
      <w:rPr>
        <w:rFonts w:ascii="Cambria" w:hAnsi="Cambria"/>
        <w:noProof/>
        <w:sz w:val="20"/>
        <w:szCs w:val="20"/>
      </w:rPr>
    </w:sdtEndPr>
    <w:sdtContent>
      <w:p w14:paraId="087DFE57" w14:textId="7848BE85" w:rsidR="00DC61E4" w:rsidRPr="00DC61E4" w:rsidRDefault="00DC61E4">
        <w:pPr>
          <w:pStyle w:val="Footer"/>
          <w:jc w:val="center"/>
          <w:rPr>
            <w:rFonts w:ascii="Cambria" w:hAnsi="Cambria"/>
            <w:sz w:val="20"/>
            <w:szCs w:val="20"/>
          </w:rPr>
        </w:pPr>
        <w:r w:rsidRPr="00DC61E4">
          <w:rPr>
            <w:rFonts w:ascii="Cambria" w:hAnsi="Cambria"/>
            <w:sz w:val="20"/>
            <w:szCs w:val="20"/>
          </w:rPr>
          <w:fldChar w:fldCharType="begin"/>
        </w:r>
        <w:r w:rsidRPr="00DC61E4">
          <w:rPr>
            <w:rFonts w:ascii="Cambria" w:hAnsi="Cambria"/>
            <w:sz w:val="20"/>
            <w:szCs w:val="20"/>
          </w:rPr>
          <w:instrText xml:space="preserve"> PAGE   \* MERGEFORMAT </w:instrText>
        </w:r>
        <w:r w:rsidRPr="00DC61E4">
          <w:rPr>
            <w:rFonts w:ascii="Cambria" w:hAnsi="Cambria"/>
            <w:sz w:val="20"/>
            <w:szCs w:val="20"/>
          </w:rPr>
          <w:fldChar w:fldCharType="separate"/>
        </w:r>
        <w:r w:rsidRPr="00DC61E4">
          <w:rPr>
            <w:rFonts w:ascii="Cambria" w:hAnsi="Cambria"/>
            <w:noProof/>
            <w:sz w:val="20"/>
            <w:szCs w:val="20"/>
          </w:rPr>
          <w:t>2</w:t>
        </w:r>
        <w:r w:rsidRPr="00DC61E4">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E946" w14:textId="77777777" w:rsidR="00DC61E4" w:rsidRDefault="00DC6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6489" w14:textId="77777777" w:rsidR="00447144" w:rsidRDefault="00447144">
      <w:pPr>
        <w:spacing w:after="0" w:line="240" w:lineRule="auto"/>
      </w:pPr>
      <w:r>
        <w:separator/>
      </w:r>
    </w:p>
  </w:footnote>
  <w:footnote w:type="continuationSeparator" w:id="0">
    <w:p w14:paraId="4B4C187A" w14:textId="77777777" w:rsidR="00447144" w:rsidRDefault="0044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DA0" w14:textId="77777777" w:rsidR="00DC61E4" w:rsidRDefault="00DC6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D320" w14:textId="77777777" w:rsidR="00DC61E4" w:rsidRDefault="00DC6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07" w14:textId="77777777" w:rsidR="00DC61E4" w:rsidRDefault="00DC61E4">
    <w:pPr>
      <w:pStyle w:val="Header"/>
    </w:pPr>
  </w:p>
</w:hdr>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120D4277"/>
    <w:multiLevelType w:val="hybridMultilevel"/>
    <w:tmpl w:val="80E0819E"/>
    <w:lvl w:ilvl="0" w:tplc="FFFFFFFF">
      <w:start w:val="1"/>
      <w:numFmt w:val="lowerLetter"/>
      <w:lvlText w:val="%1)"/>
      <w:lvlJc w:val="left"/>
      <w:pPr>
        <w:ind w:left="1307" w:hanging="360"/>
      </w:pPr>
    </w:lvl>
    <w:lvl w:ilvl="1" w:tplc="FFFFFFFF">
      <w:start w:val="1"/>
      <w:numFmt w:val="lowerLetter"/>
      <w:lvlText w:val="%2)"/>
      <w:lvlJc w:val="left"/>
      <w:pPr>
        <w:ind w:left="2027" w:hanging="360"/>
      </w:pPr>
    </w:lvl>
    <w:lvl w:ilvl="2" w:tplc="FFFFFFFF" w:tentative="1">
      <w:start w:val="1"/>
      <w:numFmt w:val="lowerRoman"/>
      <w:lvlText w:val="%3."/>
      <w:lvlJc w:val="right"/>
      <w:pPr>
        <w:ind w:left="2747" w:hanging="180"/>
      </w:pPr>
    </w:lvl>
    <w:lvl w:ilvl="3" w:tplc="FFFFFFFF" w:tentative="1">
      <w:start w:val="1"/>
      <w:numFmt w:val="decimal"/>
      <w:lvlText w:val="%4."/>
      <w:lvlJc w:val="left"/>
      <w:pPr>
        <w:ind w:left="3467" w:hanging="360"/>
      </w:pPr>
    </w:lvl>
    <w:lvl w:ilvl="4" w:tplc="FFFFFFFF" w:tentative="1">
      <w:start w:val="1"/>
      <w:numFmt w:val="lowerLetter"/>
      <w:lvlText w:val="%5."/>
      <w:lvlJc w:val="left"/>
      <w:pPr>
        <w:ind w:left="4187" w:hanging="360"/>
      </w:pPr>
    </w:lvl>
    <w:lvl w:ilvl="5" w:tplc="FFFFFFFF" w:tentative="1">
      <w:start w:val="1"/>
      <w:numFmt w:val="lowerRoman"/>
      <w:lvlText w:val="%6."/>
      <w:lvlJc w:val="right"/>
      <w:pPr>
        <w:ind w:left="4907" w:hanging="180"/>
      </w:pPr>
    </w:lvl>
    <w:lvl w:ilvl="6" w:tplc="FFFFFFFF" w:tentative="1">
      <w:start w:val="1"/>
      <w:numFmt w:val="decimal"/>
      <w:lvlText w:val="%7."/>
      <w:lvlJc w:val="left"/>
      <w:pPr>
        <w:ind w:left="5627" w:hanging="360"/>
      </w:pPr>
    </w:lvl>
    <w:lvl w:ilvl="7" w:tplc="FFFFFFFF" w:tentative="1">
      <w:start w:val="1"/>
      <w:numFmt w:val="lowerLetter"/>
      <w:lvlText w:val="%8."/>
      <w:lvlJc w:val="left"/>
      <w:pPr>
        <w:ind w:left="6347" w:hanging="360"/>
      </w:pPr>
    </w:lvl>
    <w:lvl w:ilvl="8" w:tplc="FFFFFFFF" w:tentative="1">
      <w:start w:val="1"/>
      <w:numFmt w:val="lowerRoman"/>
      <w:lvlText w:val="%9."/>
      <w:lvlJc w:val="right"/>
      <w:pPr>
        <w:ind w:left="7067" w:hanging="180"/>
      </w:pPr>
    </w:lvl>
  </w:abstractNum>
  <w:abstractNum w:abstractNumId="2" w15:restartNumberingAfterBreak="0">
    <w:nsid w:val="2B3E2351"/>
    <w:multiLevelType w:val="hybridMultilevel"/>
    <w:tmpl w:val="0AFE1CD8"/>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E4E08"/>
    <w:multiLevelType w:val="hybridMultilevel"/>
    <w:tmpl w:val="81DC5866"/>
    <w:lvl w:ilvl="0" w:tplc="040C0017">
      <w:start w:val="1"/>
      <w:numFmt w:val="lowerLetter"/>
      <w:lvlText w:val="%1)"/>
      <w:lvlJc w:val="left"/>
      <w:pPr>
        <w:ind w:left="1287" w:hanging="360"/>
      </w:pPr>
    </w:lvl>
    <w:lvl w:ilvl="1" w:tplc="040C0017">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3C51"/>
    <w:multiLevelType w:val="hybridMultilevel"/>
    <w:tmpl w:val="80E0819E"/>
    <w:lvl w:ilvl="0" w:tplc="040C0017">
      <w:start w:val="1"/>
      <w:numFmt w:val="lowerLetter"/>
      <w:lvlText w:val="%1)"/>
      <w:lvlJc w:val="left"/>
      <w:pPr>
        <w:ind w:left="1307" w:hanging="360"/>
      </w:pPr>
    </w:lvl>
    <w:lvl w:ilvl="1" w:tplc="040C0017">
      <w:start w:val="1"/>
      <w:numFmt w:val="lowerLetter"/>
      <w:lvlText w:val="%2)"/>
      <w:lvlJc w:val="left"/>
      <w:pPr>
        <w:ind w:left="2027" w:hanging="360"/>
      </w:pPr>
    </w:lvl>
    <w:lvl w:ilvl="2" w:tplc="040C001B" w:tentative="1">
      <w:start w:val="1"/>
      <w:numFmt w:val="lowerRoman"/>
      <w:lvlText w:val="%3."/>
      <w:lvlJc w:val="right"/>
      <w:pPr>
        <w:ind w:left="2747" w:hanging="180"/>
      </w:pPr>
    </w:lvl>
    <w:lvl w:ilvl="3" w:tplc="040C000F" w:tentative="1">
      <w:start w:val="1"/>
      <w:numFmt w:val="decimal"/>
      <w:lvlText w:val="%4."/>
      <w:lvlJc w:val="left"/>
      <w:pPr>
        <w:ind w:left="3467" w:hanging="360"/>
      </w:pPr>
    </w:lvl>
    <w:lvl w:ilvl="4" w:tplc="040C0019" w:tentative="1">
      <w:start w:val="1"/>
      <w:numFmt w:val="lowerLetter"/>
      <w:lvlText w:val="%5."/>
      <w:lvlJc w:val="left"/>
      <w:pPr>
        <w:ind w:left="4187" w:hanging="360"/>
      </w:pPr>
    </w:lvl>
    <w:lvl w:ilvl="5" w:tplc="040C001B" w:tentative="1">
      <w:start w:val="1"/>
      <w:numFmt w:val="lowerRoman"/>
      <w:lvlText w:val="%6."/>
      <w:lvlJc w:val="right"/>
      <w:pPr>
        <w:ind w:left="4907" w:hanging="180"/>
      </w:pPr>
    </w:lvl>
    <w:lvl w:ilvl="6" w:tplc="040C000F" w:tentative="1">
      <w:start w:val="1"/>
      <w:numFmt w:val="decimal"/>
      <w:lvlText w:val="%7."/>
      <w:lvlJc w:val="left"/>
      <w:pPr>
        <w:ind w:left="5627" w:hanging="360"/>
      </w:pPr>
    </w:lvl>
    <w:lvl w:ilvl="7" w:tplc="040C0019" w:tentative="1">
      <w:start w:val="1"/>
      <w:numFmt w:val="lowerLetter"/>
      <w:lvlText w:val="%8."/>
      <w:lvlJc w:val="left"/>
      <w:pPr>
        <w:ind w:left="6347" w:hanging="360"/>
      </w:pPr>
    </w:lvl>
    <w:lvl w:ilvl="8" w:tplc="040C001B" w:tentative="1">
      <w:start w:val="1"/>
      <w:numFmt w:val="lowerRoman"/>
      <w:lvlText w:val="%9."/>
      <w:lvlJc w:val="right"/>
      <w:pPr>
        <w:ind w:left="7067" w:hanging="180"/>
      </w:pPr>
    </w:lvl>
  </w:abstractNum>
  <w:abstractNum w:abstractNumId="10"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53201"/>
    <w:multiLevelType w:val="multilevel"/>
    <w:tmpl w:val="7CBE21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5"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7"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8"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85F55"/>
    <w:multiLevelType w:val="hybridMultilevel"/>
    <w:tmpl w:val="29785DFC"/>
    <w:lvl w:ilvl="0" w:tplc="040C0017">
      <w:start w:val="1"/>
      <w:numFmt w:val="lowerLetter"/>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21"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17"/>
  </w:num>
  <w:num w:numId="4">
    <w:abstractNumId w:val="16"/>
  </w:num>
  <w:num w:numId="5">
    <w:abstractNumId w:val="14"/>
  </w:num>
  <w:num w:numId="6">
    <w:abstractNumId w:val="8"/>
  </w:num>
  <w:num w:numId="7">
    <w:abstractNumId w:val="7"/>
  </w:num>
  <w:num w:numId="8">
    <w:abstractNumId w:val="12"/>
  </w:num>
  <w:num w:numId="9">
    <w:abstractNumId w:val="10"/>
  </w:num>
  <w:num w:numId="10">
    <w:abstractNumId w:val="18"/>
  </w:num>
  <w:num w:numId="11">
    <w:abstractNumId w:val="4"/>
  </w:num>
  <w:num w:numId="12">
    <w:abstractNumId w:val="15"/>
  </w:num>
  <w:num w:numId="13">
    <w:abstractNumId w:val="3"/>
  </w:num>
  <w:num w:numId="14">
    <w:abstractNumId w:val="21"/>
  </w:num>
  <w:num w:numId="15">
    <w:abstractNumId w:val="6"/>
  </w:num>
  <w:num w:numId="16">
    <w:abstractNumId w:val="13"/>
  </w:num>
  <w:num w:numId="17">
    <w:abstractNumId w:val="11"/>
  </w:num>
  <w:num w:numId="18">
    <w:abstractNumId w:val="19"/>
  </w:num>
  <w:num w:numId="19">
    <w:abstractNumId w:val="9"/>
  </w:num>
  <w:num w:numId="20">
    <w:abstractNumId w:val="2"/>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85E93"/>
    <w:rsid w:val="00002637"/>
    <w:rsid w:val="00013D77"/>
    <w:rsid w:val="0004083B"/>
    <w:rsid w:val="000460F7"/>
    <w:rsid w:val="000552EC"/>
    <w:rsid w:val="000A3FB9"/>
    <w:rsid w:val="000B7F58"/>
    <w:rsid w:val="001059E3"/>
    <w:rsid w:val="001370FA"/>
    <w:rsid w:val="001412F3"/>
    <w:rsid w:val="00142DFE"/>
    <w:rsid w:val="001516A7"/>
    <w:rsid w:val="00196CDF"/>
    <w:rsid w:val="001A5646"/>
    <w:rsid w:val="001E501D"/>
    <w:rsid w:val="00200595"/>
    <w:rsid w:val="0020229D"/>
    <w:rsid w:val="002039DA"/>
    <w:rsid w:val="00207B59"/>
    <w:rsid w:val="00242755"/>
    <w:rsid w:val="00242E63"/>
    <w:rsid w:val="00253C37"/>
    <w:rsid w:val="00273F38"/>
    <w:rsid w:val="002940E8"/>
    <w:rsid w:val="002A3F40"/>
    <w:rsid w:val="002A4612"/>
    <w:rsid w:val="00310435"/>
    <w:rsid w:val="0033351C"/>
    <w:rsid w:val="003457D3"/>
    <w:rsid w:val="003B647F"/>
    <w:rsid w:val="003D65CD"/>
    <w:rsid w:val="00413412"/>
    <w:rsid w:val="004149D8"/>
    <w:rsid w:val="00423649"/>
    <w:rsid w:val="00431859"/>
    <w:rsid w:val="00447144"/>
    <w:rsid w:val="0044A4F6"/>
    <w:rsid w:val="00473195"/>
    <w:rsid w:val="00492D90"/>
    <w:rsid w:val="004E171B"/>
    <w:rsid w:val="004E27EE"/>
    <w:rsid w:val="004E4DCA"/>
    <w:rsid w:val="00503631"/>
    <w:rsid w:val="00511CA7"/>
    <w:rsid w:val="00547B7C"/>
    <w:rsid w:val="00580C76"/>
    <w:rsid w:val="005A079E"/>
    <w:rsid w:val="005E5C15"/>
    <w:rsid w:val="00615944"/>
    <w:rsid w:val="006330DA"/>
    <w:rsid w:val="00651C27"/>
    <w:rsid w:val="0068107F"/>
    <w:rsid w:val="00697DD8"/>
    <w:rsid w:val="006D00BB"/>
    <w:rsid w:val="006D5892"/>
    <w:rsid w:val="006F4A66"/>
    <w:rsid w:val="006F7739"/>
    <w:rsid w:val="00724174"/>
    <w:rsid w:val="0076676D"/>
    <w:rsid w:val="00786408"/>
    <w:rsid w:val="00787485"/>
    <w:rsid w:val="00796874"/>
    <w:rsid w:val="007A4A2A"/>
    <w:rsid w:val="007C1ECD"/>
    <w:rsid w:val="007D67C1"/>
    <w:rsid w:val="007E3365"/>
    <w:rsid w:val="008079B8"/>
    <w:rsid w:val="00821045"/>
    <w:rsid w:val="008226FC"/>
    <w:rsid w:val="008372A1"/>
    <w:rsid w:val="00867E0B"/>
    <w:rsid w:val="00877A0A"/>
    <w:rsid w:val="0088376C"/>
    <w:rsid w:val="00885E93"/>
    <w:rsid w:val="008D5EB9"/>
    <w:rsid w:val="0091056F"/>
    <w:rsid w:val="00911255"/>
    <w:rsid w:val="00933634"/>
    <w:rsid w:val="00951EB7"/>
    <w:rsid w:val="00982E85"/>
    <w:rsid w:val="00987A64"/>
    <w:rsid w:val="009A4AA7"/>
    <w:rsid w:val="009D461C"/>
    <w:rsid w:val="009F2467"/>
    <w:rsid w:val="00A172CC"/>
    <w:rsid w:val="00A22E53"/>
    <w:rsid w:val="00A551C1"/>
    <w:rsid w:val="00A661B4"/>
    <w:rsid w:val="00A91346"/>
    <w:rsid w:val="00AB1428"/>
    <w:rsid w:val="00AB28DB"/>
    <w:rsid w:val="00AB4BB4"/>
    <w:rsid w:val="00AC537F"/>
    <w:rsid w:val="00AF4C28"/>
    <w:rsid w:val="00B03B9F"/>
    <w:rsid w:val="00B09506"/>
    <w:rsid w:val="00BB641B"/>
    <w:rsid w:val="00C0512E"/>
    <w:rsid w:val="00C10EB1"/>
    <w:rsid w:val="00C163C9"/>
    <w:rsid w:val="00C2231D"/>
    <w:rsid w:val="00C23BAA"/>
    <w:rsid w:val="00C32287"/>
    <w:rsid w:val="00C506B9"/>
    <w:rsid w:val="00C5707A"/>
    <w:rsid w:val="00C80136"/>
    <w:rsid w:val="00C925FA"/>
    <w:rsid w:val="00CA11AE"/>
    <w:rsid w:val="00D01235"/>
    <w:rsid w:val="00D10AF2"/>
    <w:rsid w:val="00D34B33"/>
    <w:rsid w:val="00D43314"/>
    <w:rsid w:val="00D45CE1"/>
    <w:rsid w:val="00DC61E4"/>
    <w:rsid w:val="00DE04C7"/>
    <w:rsid w:val="00DE24A8"/>
    <w:rsid w:val="00DE733E"/>
    <w:rsid w:val="00E2706B"/>
    <w:rsid w:val="00E30962"/>
    <w:rsid w:val="00E34B11"/>
    <w:rsid w:val="00E362C9"/>
    <w:rsid w:val="00E45737"/>
    <w:rsid w:val="00E56E40"/>
    <w:rsid w:val="00EC7433"/>
    <w:rsid w:val="00EC7746"/>
    <w:rsid w:val="00ED1860"/>
    <w:rsid w:val="00EE7CF2"/>
    <w:rsid w:val="00EF3F69"/>
    <w:rsid w:val="00F364E4"/>
    <w:rsid w:val="00F430EC"/>
    <w:rsid w:val="00F4685D"/>
    <w:rsid w:val="00F906BF"/>
    <w:rsid w:val="00FA3B79"/>
    <w:rsid w:val="00FE55B6"/>
    <w:rsid w:val="00FF31C6"/>
    <w:rsid w:val="00FF651E"/>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D2656133-9A29-4907-B07D-C4B9DE70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666F2-4EE8-443F-9F49-B32E9EF1E1F1}">
  <ds:schemaRefs>
    <ds:schemaRef ds:uri="http://schemas.microsoft.com/sharepoint/v3/contenttype/forms"/>
  </ds:schemaRefs>
</ds:datastoreItem>
</file>

<file path=customXml/itemProps5.xml><?xml version="1.0" encoding="utf-8"?>
<ds:datastoreItem xmlns:ds="http://schemas.openxmlformats.org/officeDocument/2006/customXml" ds:itemID="{7437D4B6-7176-4E50-90EB-217836CF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1241</Words>
  <Characters>7078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Florina.COSTICA@ec.europa.eu</dc:creator>
  <cp:lastModifiedBy>Dorothee Pinet</cp:lastModifiedBy>
  <cp:revision>29</cp:revision>
  <dcterms:created xsi:type="dcterms:W3CDTF">2021-11-21T14:19:00Z</dcterms:created>
  <dcterms:modified xsi:type="dcterms:W3CDTF">2021-12-16T09:11:00Z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