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ink/ink1.xml" ContentType="application/inkml+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BAAE5" w14:textId="456BFB83" w:rsidR="000725A2" w:rsidRPr="00767FBD" w:rsidRDefault="000725A2" w:rsidP="000725A2">
      <w:pPr>
        <w:pBdr>
          <w:top w:val="double" w:sz="4" w:space="1" w:color="auto"/>
          <w:left w:val="double" w:sz="4" w:space="4" w:color="auto"/>
          <w:bottom w:val="double" w:sz="4" w:space="1" w:color="auto"/>
          <w:right w:val="double" w:sz="4" w:space="4" w:color="auto"/>
        </w:pBdr>
        <w:spacing w:after="0"/>
        <w:rPr>
          <w:rFonts w:asciiTheme="majorHAnsi" w:hAnsiTheme="majorHAnsi"/>
          <w:b/>
          <w:bCs/>
          <w:sz w:val="20"/>
          <w:szCs w:val="20"/>
        </w:rPr>
      </w:pPr>
      <w:r w:rsidRPr="00767FBD">
        <w:rPr>
          <w:rFonts w:asciiTheme="majorHAnsi" w:hAnsiTheme="majorHAnsi"/>
          <w:b/>
          <w:bCs/>
          <w:sz w:val="20"/>
          <w:szCs w:val="20"/>
        </w:rPr>
        <w:t>21-</w:t>
      </w:r>
      <w:r w:rsidR="00A54B81" w:rsidRPr="00767FBD">
        <w:rPr>
          <w:rFonts w:asciiTheme="majorHAnsi" w:hAnsiTheme="majorHAnsi"/>
          <w:b/>
          <w:bCs/>
          <w:sz w:val="20"/>
          <w:szCs w:val="20"/>
        </w:rPr>
        <w:t>04</w:t>
      </w:r>
      <w:r w:rsidR="00A54B81" w:rsidRPr="00767FBD">
        <w:rPr>
          <w:rFonts w:asciiTheme="majorHAnsi" w:hAnsiTheme="majorHAnsi"/>
          <w:b/>
          <w:bCs/>
          <w:sz w:val="20"/>
          <w:szCs w:val="20"/>
        </w:rPr>
        <w:tab/>
      </w:r>
      <w:r w:rsidR="00A54B81" w:rsidRPr="00767FBD">
        <w:rPr>
          <w:rFonts w:asciiTheme="majorHAnsi" w:hAnsiTheme="majorHAnsi"/>
          <w:b/>
          <w:bCs/>
          <w:sz w:val="20"/>
          <w:szCs w:val="20"/>
        </w:rPr>
        <w:tab/>
      </w:r>
      <w:r w:rsidR="00A54B81" w:rsidRPr="00767FBD">
        <w:rPr>
          <w:rFonts w:asciiTheme="majorHAnsi" w:hAnsiTheme="majorHAnsi"/>
          <w:b/>
          <w:bCs/>
          <w:sz w:val="20"/>
          <w:szCs w:val="20"/>
        </w:rPr>
        <w:tab/>
      </w:r>
      <w:r w:rsidR="00A54B81" w:rsidRPr="00767FBD">
        <w:rPr>
          <w:rFonts w:asciiTheme="majorHAnsi" w:hAnsiTheme="majorHAnsi"/>
          <w:b/>
          <w:bCs/>
          <w:sz w:val="20"/>
          <w:szCs w:val="20"/>
        </w:rPr>
        <w:tab/>
      </w:r>
      <w:r w:rsidR="00A54B81" w:rsidRPr="00767FBD">
        <w:rPr>
          <w:rFonts w:asciiTheme="majorHAnsi" w:hAnsiTheme="majorHAnsi"/>
          <w:b/>
          <w:bCs/>
          <w:sz w:val="20"/>
          <w:szCs w:val="20"/>
        </w:rPr>
        <w:tab/>
      </w:r>
      <w:r w:rsidR="00A54B81" w:rsidRPr="00767FBD">
        <w:rPr>
          <w:rFonts w:asciiTheme="majorHAnsi" w:hAnsiTheme="majorHAnsi"/>
          <w:b/>
          <w:bCs/>
          <w:sz w:val="20"/>
          <w:szCs w:val="20"/>
        </w:rPr>
        <w:tab/>
      </w:r>
      <w:r w:rsidR="00A54B81" w:rsidRPr="00767FBD">
        <w:rPr>
          <w:rFonts w:asciiTheme="majorHAnsi" w:hAnsiTheme="majorHAnsi"/>
          <w:b/>
          <w:bCs/>
          <w:sz w:val="20"/>
          <w:szCs w:val="20"/>
        </w:rPr>
        <w:tab/>
      </w:r>
      <w:r w:rsidR="00A54B81" w:rsidRPr="00767FBD">
        <w:rPr>
          <w:rFonts w:asciiTheme="majorHAnsi" w:hAnsiTheme="majorHAnsi"/>
          <w:b/>
          <w:bCs/>
          <w:sz w:val="20"/>
          <w:szCs w:val="20"/>
        </w:rPr>
        <w:tab/>
      </w:r>
      <w:r w:rsidR="00A54B81" w:rsidRPr="00767FBD">
        <w:rPr>
          <w:rFonts w:asciiTheme="majorHAnsi" w:hAnsiTheme="majorHAnsi"/>
          <w:b/>
          <w:bCs/>
          <w:sz w:val="20"/>
          <w:szCs w:val="20"/>
        </w:rPr>
        <w:tab/>
      </w:r>
      <w:r w:rsidR="00A54B81" w:rsidRPr="00767FBD">
        <w:rPr>
          <w:rFonts w:asciiTheme="majorHAnsi" w:hAnsiTheme="majorHAnsi"/>
          <w:b/>
          <w:bCs/>
          <w:sz w:val="20"/>
          <w:szCs w:val="20"/>
        </w:rPr>
        <w:tab/>
      </w:r>
      <w:r w:rsidR="00A54B81" w:rsidRPr="00767FBD">
        <w:rPr>
          <w:rFonts w:asciiTheme="majorHAnsi" w:hAnsiTheme="majorHAnsi"/>
          <w:b/>
          <w:bCs/>
          <w:sz w:val="20"/>
          <w:szCs w:val="20"/>
        </w:rPr>
        <w:tab/>
      </w:r>
      <w:r w:rsidR="00A54B81" w:rsidRPr="00767FBD">
        <w:rPr>
          <w:rFonts w:asciiTheme="majorHAnsi" w:hAnsiTheme="majorHAnsi"/>
          <w:b/>
          <w:bCs/>
          <w:sz w:val="20"/>
          <w:szCs w:val="20"/>
        </w:rPr>
        <w:tab/>
        <w:t>ALB</w:t>
      </w:r>
    </w:p>
    <w:p w14:paraId="1D14818E" w14:textId="77777777" w:rsidR="00D24539" w:rsidRPr="00767FBD" w:rsidRDefault="00C55587" w:rsidP="000725A2">
      <w:pPr>
        <w:pBdr>
          <w:top w:val="double" w:sz="4" w:space="1" w:color="auto"/>
          <w:left w:val="double" w:sz="4" w:space="4" w:color="auto"/>
          <w:bottom w:val="double" w:sz="4" w:space="1" w:color="auto"/>
          <w:right w:val="double" w:sz="4" w:space="4" w:color="auto"/>
        </w:pBdr>
        <w:spacing w:after="0"/>
        <w:jc w:val="center"/>
        <w:rPr>
          <w:rFonts w:asciiTheme="majorHAnsi" w:hAnsiTheme="majorHAnsi"/>
          <w:b/>
          <w:bCs/>
          <w:sz w:val="20"/>
          <w:szCs w:val="20"/>
        </w:rPr>
      </w:pPr>
      <w:r w:rsidRPr="00767FBD">
        <w:rPr>
          <w:rFonts w:asciiTheme="majorHAnsi" w:hAnsiTheme="majorHAnsi"/>
          <w:b/>
          <w:bCs/>
          <w:sz w:val="20"/>
          <w:szCs w:val="20"/>
        </w:rPr>
        <w:t xml:space="preserve">RECOMENDACIÓN DE ICCAT SOBRE MEDIDAS DE CONSERVACIÓN Y ORDENACIÓN, </w:t>
      </w:r>
    </w:p>
    <w:p w14:paraId="324D75B8" w14:textId="4717D378" w:rsidR="00C55587" w:rsidRPr="00767FBD" w:rsidRDefault="00082527" w:rsidP="00D24539">
      <w:pPr>
        <w:pBdr>
          <w:top w:val="double" w:sz="4" w:space="1" w:color="auto"/>
          <w:left w:val="double" w:sz="4" w:space="4" w:color="auto"/>
          <w:bottom w:val="double" w:sz="4" w:space="1" w:color="auto"/>
          <w:right w:val="double" w:sz="4" w:space="4" w:color="auto"/>
        </w:pBdr>
        <w:spacing w:after="0"/>
        <w:jc w:val="center"/>
        <w:rPr>
          <w:rFonts w:asciiTheme="majorHAnsi" w:hAnsiTheme="majorHAnsi"/>
          <w:b/>
          <w:bCs/>
          <w:sz w:val="20"/>
          <w:szCs w:val="20"/>
        </w:rPr>
      </w:pPr>
      <w:r w:rsidRPr="00767FBD">
        <w:rPr>
          <w:rFonts w:asciiTheme="majorHAnsi" w:hAnsiTheme="majorHAnsi"/>
          <w:b/>
          <w:bCs/>
          <w:sz w:val="20"/>
          <w:szCs w:val="20"/>
        </w:rPr>
        <w:t>INCLUIDO</w:t>
      </w:r>
      <w:r w:rsidR="00C55587" w:rsidRPr="00767FBD">
        <w:rPr>
          <w:rFonts w:asciiTheme="majorHAnsi" w:hAnsiTheme="majorHAnsi"/>
          <w:b/>
          <w:bCs/>
          <w:sz w:val="20"/>
          <w:szCs w:val="20"/>
        </w:rPr>
        <w:t xml:space="preserve"> UN PROCEDIMIENTO DE ORDENACIÓN Y UN PROTOCOLO DE CIRCUNSTANCIAS EXCEPCIONALES, PARA EL ATÚN</w:t>
      </w:r>
      <w:r w:rsidR="00D24539" w:rsidRPr="00767FBD">
        <w:rPr>
          <w:rFonts w:asciiTheme="majorHAnsi" w:hAnsiTheme="majorHAnsi"/>
          <w:b/>
          <w:bCs/>
          <w:sz w:val="20"/>
          <w:szCs w:val="20"/>
        </w:rPr>
        <w:t xml:space="preserve"> </w:t>
      </w:r>
      <w:r w:rsidR="00C55587" w:rsidRPr="00767FBD">
        <w:rPr>
          <w:rFonts w:asciiTheme="majorHAnsi" w:hAnsiTheme="majorHAnsi"/>
          <w:b/>
          <w:bCs/>
          <w:sz w:val="20"/>
          <w:szCs w:val="20"/>
        </w:rPr>
        <w:t xml:space="preserve">BLANCO DEL ATLÁNTICO NORTE </w:t>
      </w:r>
    </w:p>
    <w:p w14:paraId="7B1AC092" w14:textId="667DB6B8" w:rsidR="00C55587" w:rsidRPr="00767FBD" w:rsidRDefault="00C55587" w:rsidP="00C55587">
      <w:pPr>
        <w:spacing w:after="0"/>
        <w:jc w:val="center"/>
        <w:rPr>
          <w:rFonts w:asciiTheme="majorHAnsi" w:hAnsiTheme="majorHAnsi"/>
          <w:sz w:val="20"/>
          <w:szCs w:val="20"/>
        </w:rPr>
      </w:pPr>
    </w:p>
    <w:p w14:paraId="11C3C494" w14:textId="34523901" w:rsidR="00A70B4C" w:rsidRPr="00767FBD" w:rsidRDefault="00A70B4C" w:rsidP="001D5660">
      <w:pPr>
        <w:pStyle w:val="Default"/>
        <w:spacing w:before="120" w:after="240"/>
        <w:ind w:firstLine="426"/>
        <w:jc w:val="both"/>
        <w:rPr>
          <w:color w:val="auto"/>
          <w:sz w:val="20"/>
          <w:szCs w:val="20"/>
        </w:rPr>
      </w:pPr>
      <w:r w:rsidRPr="00767FBD">
        <w:rPr>
          <w:i/>
          <w:iCs/>
          <w:color w:val="auto"/>
          <w:sz w:val="20"/>
          <w:szCs w:val="20"/>
        </w:rPr>
        <w:t>CONSTATANDO</w:t>
      </w:r>
      <w:r w:rsidRPr="00767FBD">
        <w:rPr>
          <w:color w:val="auto"/>
          <w:sz w:val="20"/>
          <w:szCs w:val="20"/>
        </w:rPr>
        <w:t xml:space="preserve"> que el objetivo del Convenio es mantener las poblaciones </w:t>
      </w:r>
      <w:r w:rsidR="00EA4F2C" w:rsidRPr="00767FBD">
        <w:rPr>
          <w:color w:val="auto"/>
          <w:sz w:val="20"/>
          <w:szCs w:val="20"/>
        </w:rPr>
        <w:t xml:space="preserve">de túnidos y especies afines </w:t>
      </w:r>
      <w:r w:rsidRPr="00767FBD">
        <w:rPr>
          <w:color w:val="auto"/>
          <w:sz w:val="20"/>
          <w:szCs w:val="20"/>
        </w:rPr>
        <w:t>en niveles que permitan la captura máxima sostenible (generalmente denominada rendimiento máximo sostenible</w:t>
      </w:r>
      <w:r w:rsidR="00AC5495" w:rsidRPr="00767FBD">
        <w:rPr>
          <w:color w:val="auto"/>
          <w:sz w:val="20"/>
          <w:szCs w:val="20"/>
        </w:rPr>
        <w:t xml:space="preserve"> (RMS)</w:t>
      </w:r>
      <w:r w:rsidRPr="00767FBD">
        <w:rPr>
          <w:color w:val="auto"/>
          <w:sz w:val="20"/>
          <w:szCs w:val="20"/>
        </w:rPr>
        <w:t>);</w:t>
      </w:r>
    </w:p>
    <w:p w14:paraId="776D6C4C" w14:textId="0C2C7A45" w:rsidR="006B22BF" w:rsidRPr="00767FBD" w:rsidRDefault="006B22BF" w:rsidP="001D5660">
      <w:pPr>
        <w:pStyle w:val="Default"/>
        <w:spacing w:before="120" w:after="240"/>
        <w:ind w:firstLine="426"/>
        <w:jc w:val="both"/>
        <w:rPr>
          <w:color w:val="auto"/>
          <w:sz w:val="20"/>
          <w:szCs w:val="20"/>
        </w:rPr>
      </w:pPr>
      <w:r w:rsidRPr="00767FBD">
        <w:rPr>
          <w:i/>
          <w:iCs/>
          <w:color w:val="auto"/>
          <w:sz w:val="20"/>
          <w:szCs w:val="20"/>
        </w:rPr>
        <w:t>RECONOCIENDO</w:t>
      </w:r>
      <w:r w:rsidRPr="00767FBD">
        <w:rPr>
          <w:color w:val="auto"/>
          <w:sz w:val="20"/>
          <w:szCs w:val="20"/>
        </w:rPr>
        <w:t xml:space="preserve"> la intención de la Comisión de adoptar las normas de control de capturas (HCR) y los procedimientos de ordenación </w:t>
      </w:r>
      <w:r w:rsidR="004E286A" w:rsidRPr="00767FBD">
        <w:rPr>
          <w:color w:val="auto"/>
          <w:sz w:val="20"/>
          <w:szCs w:val="20"/>
        </w:rPr>
        <w:t xml:space="preserve">(MP) </w:t>
      </w:r>
      <w:r w:rsidRPr="00767FBD">
        <w:rPr>
          <w:color w:val="auto"/>
          <w:sz w:val="20"/>
          <w:szCs w:val="20"/>
        </w:rPr>
        <w:t xml:space="preserve">desarrollados mediante la evaluación </w:t>
      </w:r>
      <w:r w:rsidR="00A32F03" w:rsidRPr="00767FBD">
        <w:rPr>
          <w:color w:val="auto"/>
          <w:sz w:val="20"/>
          <w:szCs w:val="20"/>
        </w:rPr>
        <w:t>de estrategias</w:t>
      </w:r>
      <w:r w:rsidRPr="00767FBD">
        <w:rPr>
          <w:color w:val="auto"/>
          <w:sz w:val="20"/>
          <w:szCs w:val="20"/>
        </w:rPr>
        <w:t xml:space="preserve"> de ordenación (MSE), tal y como se establece en la R</w:t>
      </w:r>
      <w:r w:rsidRPr="00767FBD">
        <w:rPr>
          <w:i/>
          <w:iCs/>
          <w:color w:val="auto"/>
          <w:sz w:val="20"/>
          <w:szCs w:val="20"/>
        </w:rPr>
        <w:t>ecomendación de ICCAT sobre el desarrollo de normas de control de la captura y de evaluación de estrategias de ordenación</w:t>
      </w:r>
      <w:r w:rsidRPr="00767FBD">
        <w:rPr>
          <w:color w:val="auto"/>
          <w:sz w:val="20"/>
          <w:szCs w:val="20"/>
        </w:rPr>
        <w:t xml:space="preserve"> </w:t>
      </w:r>
      <w:r w:rsidR="00EA4F2C" w:rsidRPr="00767FBD">
        <w:rPr>
          <w:color w:val="auto"/>
          <w:sz w:val="20"/>
          <w:szCs w:val="20"/>
        </w:rPr>
        <w:t>(</w:t>
      </w:r>
      <w:r w:rsidRPr="00767FBD">
        <w:rPr>
          <w:color w:val="auto"/>
          <w:sz w:val="20"/>
          <w:szCs w:val="20"/>
        </w:rPr>
        <w:t>Rec. 15-07</w:t>
      </w:r>
      <w:r w:rsidR="00EA4F2C" w:rsidRPr="00767FBD">
        <w:rPr>
          <w:color w:val="auto"/>
          <w:sz w:val="20"/>
          <w:szCs w:val="20"/>
        </w:rPr>
        <w:t>)</w:t>
      </w:r>
      <w:r w:rsidRPr="00767FBD">
        <w:rPr>
          <w:color w:val="auto"/>
          <w:sz w:val="20"/>
          <w:szCs w:val="20"/>
        </w:rPr>
        <w:t>;</w:t>
      </w:r>
    </w:p>
    <w:p w14:paraId="14B2629C" w14:textId="65C6AA8A" w:rsidR="003433B2" w:rsidRPr="00767FBD" w:rsidRDefault="003433B2" w:rsidP="001D5660">
      <w:pPr>
        <w:pStyle w:val="Default"/>
        <w:spacing w:before="120" w:after="240"/>
        <w:ind w:firstLine="426"/>
        <w:jc w:val="both"/>
        <w:rPr>
          <w:rFonts w:eastAsia="Calibri"/>
          <w:i/>
          <w:iCs/>
          <w:color w:val="auto"/>
          <w:sz w:val="20"/>
          <w:szCs w:val="20"/>
        </w:rPr>
      </w:pPr>
      <w:r w:rsidRPr="00767FBD">
        <w:rPr>
          <w:i/>
          <w:iCs/>
          <w:color w:val="auto"/>
          <w:sz w:val="20"/>
          <w:szCs w:val="20"/>
        </w:rPr>
        <w:t>RECORDANDO</w:t>
      </w:r>
      <w:r w:rsidRPr="00767FBD">
        <w:rPr>
          <w:iCs/>
          <w:color w:val="auto"/>
          <w:sz w:val="20"/>
          <w:szCs w:val="20"/>
        </w:rPr>
        <w:t xml:space="preserve"> que</w:t>
      </w:r>
      <w:r w:rsidR="00D81141" w:rsidRPr="00767FBD">
        <w:rPr>
          <w:iCs/>
          <w:color w:val="auto"/>
          <w:sz w:val="20"/>
          <w:szCs w:val="20"/>
        </w:rPr>
        <w:t xml:space="preserve"> en</w:t>
      </w:r>
      <w:r w:rsidRPr="00767FBD">
        <w:rPr>
          <w:iCs/>
          <w:color w:val="auto"/>
          <w:sz w:val="20"/>
          <w:szCs w:val="20"/>
        </w:rPr>
        <w:t xml:space="preserve"> el párrafo 18 de la </w:t>
      </w:r>
      <w:r w:rsidRPr="00767FBD">
        <w:rPr>
          <w:i/>
          <w:iCs/>
          <w:color w:val="auto"/>
          <w:sz w:val="20"/>
          <w:szCs w:val="20"/>
        </w:rPr>
        <w:t xml:space="preserve">Recomendación de ICCAT sobre normas de control de la captura para el atún blanco del Atlántico norte que complementa el programa plurianual de conservación y ordenación de la Rec. 16-06 </w:t>
      </w:r>
      <w:r w:rsidRPr="00767FBD">
        <w:rPr>
          <w:color w:val="auto"/>
          <w:sz w:val="20"/>
          <w:szCs w:val="20"/>
        </w:rPr>
        <w:t xml:space="preserve">(Rec. 17-04) </w:t>
      </w:r>
      <w:r w:rsidR="00D81141" w:rsidRPr="00767FBD">
        <w:rPr>
          <w:color w:val="auto"/>
          <w:sz w:val="20"/>
          <w:szCs w:val="20"/>
        </w:rPr>
        <w:t>se solicita la consolidación de sus disposiciones pertinentes con las de</w:t>
      </w:r>
      <w:r w:rsidR="00D81141" w:rsidRPr="00767FBD">
        <w:rPr>
          <w:i/>
          <w:iCs/>
          <w:color w:val="auto"/>
          <w:sz w:val="20"/>
          <w:szCs w:val="20"/>
        </w:rPr>
        <w:t xml:space="preserve"> </w:t>
      </w:r>
      <w:r w:rsidRPr="00767FBD">
        <w:rPr>
          <w:iCs/>
          <w:color w:val="auto"/>
          <w:sz w:val="20"/>
          <w:szCs w:val="20"/>
        </w:rPr>
        <w:t xml:space="preserve">la </w:t>
      </w:r>
      <w:r w:rsidRPr="00767FBD">
        <w:rPr>
          <w:i/>
          <w:iCs/>
          <w:color w:val="auto"/>
          <w:sz w:val="20"/>
          <w:szCs w:val="20"/>
        </w:rPr>
        <w:t xml:space="preserve">Recomendación de ICCAT para un programa plurianual de conservación y ordenación para el atún blanco del Atlántico norte </w:t>
      </w:r>
      <w:r w:rsidRPr="00767FBD">
        <w:rPr>
          <w:color w:val="auto"/>
          <w:sz w:val="20"/>
          <w:szCs w:val="20"/>
        </w:rPr>
        <w:t>(Rec.</w:t>
      </w:r>
      <w:r w:rsidRPr="00767FBD">
        <w:rPr>
          <w:i/>
          <w:iCs/>
          <w:color w:val="auto"/>
          <w:sz w:val="20"/>
          <w:szCs w:val="20"/>
        </w:rPr>
        <w:t xml:space="preserve"> </w:t>
      </w:r>
      <w:r w:rsidRPr="00767FBD">
        <w:rPr>
          <w:iCs/>
          <w:color w:val="auto"/>
          <w:sz w:val="20"/>
          <w:szCs w:val="20"/>
        </w:rPr>
        <w:t>16-</w:t>
      </w:r>
      <w:r w:rsidR="004E286A" w:rsidRPr="00767FBD">
        <w:rPr>
          <w:iCs/>
          <w:sz w:val="20"/>
          <w:szCs w:val="20"/>
        </w:rPr>
        <w:t>0</w:t>
      </w:r>
      <w:r w:rsidRPr="00767FBD">
        <w:rPr>
          <w:iCs/>
          <w:color w:val="auto"/>
          <w:sz w:val="20"/>
          <w:szCs w:val="20"/>
        </w:rPr>
        <w:t>6) en una sola Recomendación</w:t>
      </w:r>
      <w:r w:rsidR="00414E46" w:rsidRPr="00767FBD">
        <w:rPr>
          <w:iCs/>
          <w:sz w:val="20"/>
          <w:szCs w:val="20"/>
        </w:rPr>
        <w:t>;</w:t>
      </w:r>
    </w:p>
    <w:p w14:paraId="1A7DBC63" w14:textId="3C0CB52F" w:rsidR="003433B2" w:rsidRPr="00767FBD" w:rsidRDefault="003433B2" w:rsidP="001D5660">
      <w:pPr>
        <w:pStyle w:val="Default"/>
        <w:spacing w:before="120" w:after="240"/>
        <w:ind w:firstLine="426"/>
        <w:jc w:val="both"/>
        <w:rPr>
          <w:rFonts w:eastAsia="Calibri"/>
          <w:color w:val="auto"/>
          <w:sz w:val="20"/>
          <w:szCs w:val="20"/>
        </w:rPr>
      </w:pPr>
      <w:r w:rsidRPr="00767FBD">
        <w:rPr>
          <w:i/>
          <w:iCs/>
          <w:color w:val="auto"/>
          <w:sz w:val="20"/>
          <w:szCs w:val="20"/>
        </w:rPr>
        <w:t xml:space="preserve">RECORDANDO ADEMÁS </w:t>
      </w:r>
      <w:r w:rsidRPr="00767FBD">
        <w:rPr>
          <w:color w:val="auto"/>
          <w:sz w:val="20"/>
          <w:szCs w:val="20"/>
        </w:rPr>
        <w:t xml:space="preserve">que, en 2020, la Comisión adoptó la </w:t>
      </w:r>
      <w:r w:rsidRPr="00767FBD">
        <w:rPr>
          <w:i/>
          <w:iCs/>
          <w:color w:val="auto"/>
          <w:sz w:val="20"/>
          <w:szCs w:val="20"/>
        </w:rPr>
        <w:t xml:space="preserve">Recomendación de ICCAT que enmienda la Recomendación 16-06 para un programa plurianual de conservación y ordenación para el atún blanco del Atlántico norte </w:t>
      </w:r>
      <w:r w:rsidRPr="00767FBD">
        <w:rPr>
          <w:color w:val="auto"/>
          <w:sz w:val="20"/>
          <w:szCs w:val="20"/>
        </w:rPr>
        <w:t>(Rec. 20-03)</w:t>
      </w:r>
      <w:r w:rsidRPr="00767FBD">
        <w:rPr>
          <w:i/>
          <w:iCs/>
          <w:color w:val="auto"/>
          <w:sz w:val="20"/>
          <w:szCs w:val="20"/>
        </w:rPr>
        <w:t xml:space="preserve"> </w:t>
      </w:r>
      <w:r w:rsidRPr="00767FBD">
        <w:rPr>
          <w:color w:val="auto"/>
          <w:sz w:val="20"/>
          <w:szCs w:val="20"/>
        </w:rPr>
        <w:t xml:space="preserve">y la </w:t>
      </w:r>
      <w:r w:rsidRPr="00767FBD">
        <w:rPr>
          <w:i/>
          <w:iCs/>
          <w:color w:val="auto"/>
          <w:sz w:val="20"/>
          <w:szCs w:val="20"/>
        </w:rPr>
        <w:t>Recomendación de ICCAT que enmienda la recomendación 17-04</w:t>
      </w:r>
      <w:r w:rsidR="004348CC" w:rsidRPr="00767FBD">
        <w:rPr>
          <w:i/>
          <w:iCs/>
          <w:color w:val="auto"/>
          <w:sz w:val="20"/>
          <w:szCs w:val="20"/>
        </w:rPr>
        <w:t xml:space="preserve"> </w:t>
      </w:r>
      <w:r w:rsidRPr="00767FBD">
        <w:rPr>
          <w:i/>
          <w:iCs/>
          <w:color w:val="auto"/>
          <w:sz w:val="20"/>
          <w:szCs w:val="20"/>
        </w:rPr>
        <w:t>sobre una norma de control de la captura para el atún blanco</w:t>
      </w:r>
      <w:r w:rsidR="004348CC" w:rsidRPr="00767FBD">
        <w:rPr>
          <w:i/>
          <w:iCs/>
          <w:color w:val="auto"/>
          <w:sz w:val="20"/>
          <w:szCs w:val="20"/>
        </w:rPr>
        <w:t xml:space="preserve"> </w:t>
      </w:r>
      <w:r w:rsidRPr="00767FBD">
        <w:rPr>
          <w:i/>
          <w:iCs/>
          <w:color w:val="auto"/>
          <w:sz w:val="20"/>
          <w:szCs w:val="20"/>
        </w:rPr>
        <w:t>del Atlántico norte que complementa el programa plurianual</w:t>
      </w:r>
      <w:r w:rsidR="004348CC" w:rsidRPr="00767FBD">
        <w:rPr>
          <w:i/>
          <w:iCs/>
          <w:color w:val="auto"/>
          <w:sz w:val="20"/>
          <w:szCs w:val="20"/>
        </w:rPr>
        <w:t xml:space="preserve"> </w:t>
      </w:r>
      <w:r w:rsidRPr="00767FBD">
        <w:rPr>
          <w:i/>
          <w:iCs/>
          <w:color w:val="auto"/>
          <w:sz w:val="20"/>
          <w:szCs w:val="20"/>
        </w:rPr>
        <w:t>de conservación y ordenación de la Rec. 16-06</w:t>
      </w:r>
      <w:r w:rsidRPr="00767FBD">
        <w:rPr>
          <w:i/>
          <w:color w:val="auto"/>
          <w:sz w:val="20"/>
          <w:szCs w:val="20"/>
        </w:rPr>
        <w:t xml:space="preserve"> </w:t>
      </w:r>
      <w:r w:rsidRPr="00767FBD">
        <w:rPr>
          <w:color w:val="auto"/>
          <w:sz w:val="20"/>
          <w:szCs w:val="20"/>
        </w:rPr>
        <w:t>(Rec. 20-04)</w:t>
      </w:r>
      <w:r w:rsidR="00D24539" w:rsidRPr="00767FBD">
        <w:rPr>
          <w:sz w:val="20"/>
          <w:szCs w:val="20"/>
        </w:rPr>
        <w:t>;</w:t>
      </w:r>
      <w:r w:rsidRPr="00767FBD">
        <w:rPr>
          <w:iCs/>
          <w:color w:val="auto"/>
          <w:sz w:val="20"/>
          <w:szCs w:val="20"/>
        </w:rPr>
        <w:t xml:space="preserve"> </w:t>
      </w:r>
      <w:r w:rsidRPr="00767FBD">
        <w:rPr>
          <w:color w:val="auto"/>
          <w:sz w:val="20"/>
          <w:szCs w:val="20"/>
        </w:rPr>
        <w:t xml:space="preserve"> </w:t>
      </w:r>
    </w:p>
    <w:p w14:paraId="378CBFCA" w14:textId="38457DCA" w:rsidR="006B22BF" w:rsidRPr="00767FBD" w:rsidRDefault="006B22BF" w:rsidP="001D5660">
      <w:pPr>
        <w:pStyle w:val="Default"/>
        <w:spacing w:before="120" w:after="240"/>
        <w:ind w:firstLine="426"/>
        <w:jc w:val="both"/>
        <w:rPr>
          <w:rFonts w:eastAsia="Calibri"/>
          <w:i/>
          <w:color w:val="auto"/>
          <w:sz w:val="20"/>
          <w:szCs w:val="20"/>
        </w:rPr>
      </w:pPr>
      <w:r w:rsidRPr="00767FBD">
        <w:rPr>
          <w:i/>
          <w:iCs/>
          <w:color w:val="auto"/>
          <w:sz w:val="20"/>
          <w:szCs w:val="20"/>
        </w:rPr>
        <w:t>CONSTATANDO</w:t>
      </w:r>
      <w:r w:rsidRPr="00767FBD">
        <w:rPr>
          <w:color w:val="auto"/>
          <w:sz w:val="20"/>
          <w:szCs w:val="20"/>
        </w:rPr>
        <w:t xml:space="preserve"> que el párrafo 17 de la Rec. 16-06, fue enmendado por el párrafo 4</w:t>
      </w:r>
      <w:r w:rsidR="003B58CF" w:rsidRPr="00767FBD">
        <w:rPr>
          <w:color w:val="auto"/>
          <w:sz w:val="20"/>
          <w:szCs w:val="20"/>
        </w:rPr>
        <w:t xml:space="preserve"> de la</w:t>
      </w:r>
      <w:r w:rsidRPr="00767FBD">
        <w:rPr>
          <w:color w:val="auto"/>
          <w:sz w:val="20"/>
          <w:szCs w:val="20"/>
        </w:rPr>
        <w:t xml:space="preserve"> Rec. 20-03 y establecía la obligación para la Comisión de revisar la Rec. 16-06</w:t>
      </w:r>
      <w:r w:rsidR="00AC5495" w:rsidRPr="00767FBD">
        <w:rPr>
          <w:color w:val="auto"/>
          <w:sz w:val="20"/>
          <w:szCs w:val="20"/>
        </w:rPr>
        <w:t>,</w:t>
      </w:r>
      <w:r w:rsidRPr="00767FBD">
        <w:rPr>
          <w:color w:val="auto"/>
          <w:sz w:val="20"/>
          <w:szCs w:val="20"/>
        </w:rPr>
        <w:t xml:space="preserve"> lo que incluye la consolidación de las disposiciones pertinentes en una única Recomendación en 2021</w:t>
      </w:r>
      <w:r w:rsidR="00AC5495" w:rsidRPr="00767FBD">
        <w:rPr>
          <w:color w:val="auto"/>
          <w:sz w:val="20"/>
          <w:szCs w:val="20"/>
        </w:rPr>
        <w:t>;</w:t>
      </w:r>
    </w:p>
    <w:p w14:paraId="4EA4D8DE" w14:textId="557A387E" w:rsidR="003433B2" w:rsidRPr="00767FBD" w:rsidRDefault="003433B2" w:rsidP="001D5660">
      <w:pPr>
        <w:pStyle w:val="Default"/>
        <w:spacing w:before="120" w:after="240"/>
        <w:ind w:firstLine="426"/>
        <w:jc w:val="both"/>
        <w:rPr>
          <w:rFonts w:eastAsia="Calibri"/>
          <w:color w:val="auto"/>
          <w:sz w:val="20"/>
          <w:szCs w:val="20"/>
        </w:rPr>
      </w:pPr>
      <w:r w:rsidRPr="00767FBD">
        <w:rPr>
          <w:i/>
          <w:iCs/>
          <w:color w:val="auto"/>
          <w:sz w:val="20"/>
          <w:szCs w:val="20"/>
        </w:rPr>
        <w:t>CONSTATANDO</w:t>
      </w:r>
      <w:r w:rsidRPr="00767FBD">
        <w:rPr>
          <w:color w:val="auto"/>
          <w:sz w:val="20"/>
          <w:szCs w:val="20"/>
        </w:rPr>
        <w:t xml:space="preserve"> que el párrafo 17 de la Rec. 17-04, fue enmendado por el párrafo 3 </w:t>
      </w:r>
      <w:r w:rsidR="003B58CF" w:rsidRPr="00767FBD">
        <w:rPr>
          <w:color w:val="auto"/>
          <w:sz w:val="20"/>
          <w:szCs w:val="20"/>
        </w:rPr>
        <w:t xml:space="preserve">de la </w:t>
      </w:r>
      <w:r w:rsidRPr="00767FBD">
        <w:rPr>
          <w:color w:val="auto"/>
          <w:sz w:val="20"/>
          <w:szCs w:val="20"/>
        </w:rPr>
        <w:t>Rec. 20-04 y establecía la obligación para la Comisión de revisar las normas de control de la captura provisionales en 2021, con miras a adoptar un procedimiento de ordenación a largo plazo</w:t>
      </w:r>
      <w:r w:rsidR="00AC5495" w:rsidRPr="00767FBD">
        <w:rPr>
          <w:color w:val="auto"/>
          <w:sz w:val="20"/>
          <w:szCs w:val="20"/>
        </w:rPr>
        <w:t>;</w:t>
      </w:r>
    </w:p>
    <w:p w14:paraId="042AFEEC" w14:textId="26E5055F" w:rsidR="0031174B" w:rsidRPr="00767FBD" w:rsidRDefault="009128D6" w:rsidP="003958A3">
      <w:pPr>
        <w:tabs>
          <w:tab w:val="left" w:pos="426"/>
        </w:tabs>
        <w:autoSpaceDE w:val="0"/>
        <w:autoSpaceDN w:val="0"/>
        <w:adjustRightInd w:val="0"/>
        <w:spacing w:before="120" w:after="240" w:line="240" w:lineRule="auto"/>
        <w:jc w:val="both"/>
        <w:rPr>
          <w:rFonts w:ascii="Cambria" w:hAnsi="Cambria"/>
          <w:sz w:val="20"/>
          <w:szCs w:val="20"/>
        </w:rPr>
      </w:pPr>
      <w:r w:rsidRPr="00767FBD">
        <w:rPr>
          <w:rFonts w:ascii="Cambria" w:hAnsi="Cambria"/>
          <w:i/>
          <w:sz w:val="20"/>
          <w:szCs w:val="20"/>
        </w:rPr>
        <w:tab/>
        <w:t xml:space="preserve">RECORDANDO </w:t>
      </w:r>
      <w:r w:rsidRPr="00767FBD">
        <w:rPr>
          <w:rFonts w:ascii="Cambria" w:hAnsi="Cambria"/>
          <w:sz w:val="20"/>
          <w:szCs w:val="20"/>
        </w:rPr>
        <w:t>la importancia de que todas las flotas que participan en la pesquería de atún blanco del norte presenten los datos requeridos (captura, esfuerzo y captura por talla) de sus pesquerías para su transmisión al Comité Permanente de Investigación y Estadísticas (SCRS);</w:t>
      </w:r>
    </w:p>
    <w:p w14:paraId="218F78DB" w14:textId="39980EFB" w:rsidR="0031174B" w:rsidRPr="00767FBD" w:rsidRDefault="009128D6" w:rsidP="009128D6">
      <w:pPr>
        <w:tabs>
          <w:tab w:val="left" w:pos="426"/>
        </w:tabs>
        <w:autoSpaceDE w:val="0"/>
        <w:autoSpaceDN w:val="0"/>
        <w:adjustRightInd w:val="0"/>
        <w:spacing w:before="120" w:after="240" w:line="240" w:lineRule="auto"/>
        <w:jc w:val="both"/>
        <w:rPr>
          <w:rFonts w:ascii="Cambria" w:hAnsi="Cambria"/>
          <w:i/>
          <w:sz w:val="20"/>
          <w:szCs w:val="20"/>
        </w:rPr>
      </w:pPr>
      <w:r w:rsidRPr="00767FBD">
        <w:rPr>
          <w:rFonts w:ascii="Cambria" w:hAnsi="Cambria"/>
          <w:i/>
          <w:sz w:val="20"/>
          <w:szCs w:val="20"/>
        </w:rPr>
        <w:tab/>
      </w:r>
      <w:r w:rsidR="004348CC" w:rsidRPr="00767FBD">
        <w:rPr>
          <w:rFonts w:ascii="Cambria" w:hAnsi="Cambria"/>
          <w:i/>
          <w:iCs/>
          <w:sz w:val="20"/>
          <w:szCs w:val="20"/>
        </w:rPr>
        <w:t>RECONOCIENDO</w:t>
      </w:r>
      <w:r w:rsidR="004348CC" w:rsidRPr="00767FBD">
        <w:rPr>
          <w:rFonts w:ascii="Cambria" w:hAnsi="Cambria"/>
          <w:sz w:val="20"/>
          <w:szCs w:val="20"/>
        </w:rPr>
        <w:t xml:space="preserve"> que</w:t>
      </w:r>
      <w:r w:rsidRPr="00767FBD">
        <w:rPr>
          <w:rFonts w:ascii="Cambria" w:hAnsi="Cambria"/>
          <w:sz w:val="20"/>
          <w:szCs w:val="20"/>
        </w:rPr>
        <w:t xml:space="preserve"> es adecuado, como ya se aplica a otros stocks que recaen bajo el mandato de ICCAT, mantener un Registro ICCAT de buques autorizados a pescar atún blanco del Atlántico norte;</w:t>
      </w:r>
    </w:p>
    <w:p w14:paraId="7FD7A62E" w14:textId="48A71F4E" w:rsidR="00C55587" w:rsidRPr="00767FBD" w:rsidRDefault="001D5660" w:rsidP="001D5660">
      <w:pPr>
        <w:tabs>
          <w:tab w:val="left" w:pos="426"/>
        </w:tabs>
        <w:spacing w:before="120" w:after="240" w:line="240" w:lineRule="auto"/>
        <w:jc w:val="both"/>
        <w:rPr>
          <w:rFonts w:ascii="Cambria" w:hAnsi="Cambria"/>
          <w:sz w:val="20"/>
          <w:szCs w:val="20"/>
        </w:rPr>
      </w:pPr>
      <w:r w:rsidRPr="00767FBD">
        <w:rPr>
          <w:rFonts w:ascii="Cambria" w:hAnsi="Cambria"/>
          <w:i/>
          <w:iCs/>
          <w:sz w:val="20"/>
          <w:szCs w:val="20"/>
        </w:rPr>
        <w:tab/>
      </w:r>
      <w:r w:rsidR="00C55587" w:rsidRPr="00767FBD">
        <w:rPr>
          <w:rFonts w:ascii="Cambria" w:hAnsi="Cambria"/>
          <w:i/>
          <w:iCs/>
          <w:sz w:val="20"/>
          <w:szCs w:val="20"/>
        </w:rPr>
        <w:t>CONSIDERANDO</w:t>
      </w:r>
      <w:r w:rsidR="00C55587" w:rsidRPr="00767FBD">
        <w:rPr>
          <w:rFonts w:ascii="Cambria" w:hAnsi="Cambria"/>
          <w:sz w:val="20"/>
          <w:szCs w:val="20"/>
        </w:rPr>
        <w:t xml:space="preserve"> que la evaluación de stock del SCRS de 2020</w:t>
      </w:r>
      <w:r w:rsidR="00C55587" w:rsidRPr="00767FBD">
        <w:rPr>
          <w:rFonts w:ascii="Cambria" w:hAnsi="Cambria"/>
          <w:b/>
          <w:bCs/>
          <w:sz w:val="20"/>
          <w:szCs w:val="20"/>
        </w:rPr>
        <w:t xml:space="preserve"> </w:t>
      </w:r>
      <w:r w:rsidR="00C55587" w:rsidRPr="00767FBD">
        <w:rPr>
          <w:rFonts w:ascii="Cambria" w:hAnsi="Cambria"/>
          <w:sz w:val="20"/>
          <w:szCs w:val="20"/>
        </w:rPr>
        <w:t>concluyó que la abundancia relativa del atún blanco del norte ha seguido incrementándose durante los últimos años y que la probabilidad de que el stock se sitúe</w:t>
      </w:r>
      <w:r w:rsidR="003B58CF" w:rsidRPr="00767FBD">
        <w:rPr>
          <w:rFonts w:ascii="Cambria" w:hAnsi="Cambria"/>
          <w:sz w:val="20"/>
          <w:szCs w:val="20"/>
        </w:rPr>
        <w:t xml:space="preserve"> </w:t>
      </w:r>
      <w:r w:rsidR="00C55587" w:rsidRPr="00767FBD">
        <w:rPr>
          <w:rFonts w:ascii="Cambria" w:hAnsi="Cambria"/>
          <w:sz w:val="20"/>
          <w:szCs w:val="20"/>
        </w:rPr>
        <w:t>en el cuadrante verde del diagrama de Kobe (no sobrepescado ni experimentando sobrepesca; F&lt;F</w:t>
      </w:r>
      <w:r w:rsidR="00C55587" w:rsidRPr="00767FBD">
        <w:rPr>
          <w:rFonts w:ascii="Cambria" w:hAnsi="Cambria"/>
          <w:sz w:val="20"/>
          <w:szCs w:val="20"/>
          <w:vertAlign w:val="subscript"/>
        </w:rPr>
        <w:t>RMS</w:t>
      </w:r>
      <w:r w:rsidR="00C55587" w:rsidRPr="00767FBD">
        <w:rPr>
          <w:rFonts w:ascii="Cambria" w:hAnsi="Cambria"/>
          <w:sz w:val="20"/>
          <w:szCs w:val="20"/>
        </w:rPr>
        <w:t xml:space="preserve"> y B&gt;B</w:t>
      </w:r>
      <w:r w:rsidR="00C55587" w:rsidRPr="00767FBD">
        <w:rPr>
          <w:rFonts w:ascii="Cambria" w:hAnsi="Cambria"/>
          <w:sz w:val="20"/>
          <w:szCs w:val="20"/>
          <w:vertAlign w:val="subscript"/>
        </w:rPr>
        <w:t>RMS</w:t>
      </w:r>
      <w:r w:rsidR="00C55587" w:rsidRPr="00767FBD">
        <w:rPr>
          <w:rFonts w:ascii="Cambria" w:hAnsi="Cambria"/>
          <w:sz w:val="20"/>
          <w:szCs w:val="20"/>
        </w:rPr>
        <w:t xml:space="preserve">) es </w:t>
      </w:r>
      <w:r w:rsidR="00AC5495" w:rsidRPr="00767FBD">
        <w:rPr>
          <w:rFonts w:ascii="Cambria" w:hAnsi="Cambria"/>
          <w:sz w:val="20"/>
          <w:szCs w:val="20"/>
        </w:rPr>
        <w:t xml:space="preserve">del </w:t>
      </w:r>
      <w:r w:rsidR="00C55587" w:rsidRPr="00767FBD">
        <w:rPr>
          <w:rFonts w:ascii="Cambria" w:hAnsi="Cambria"/>
          <w:sz w:val="20"/>
          <w:szCs w:val="20"/>
        </w:rPr>
        <w:t>98,4 %</w:t>
      </w:r>
      <w:r w:rsidR="00AC5495" w:rsidRPr="00767FBD">
        <w:rPr>
          <w:rFonts w:ascii="Cambria" w:hAnsi="Cambria"/>
          <w:sz w:val="20"/>
          <w:szCs w:val="20"/>
        </w:rPr>
        <w:t>;</w:t>
      </w:r>
    </w:p>
    <w:p w14:paraId="4C4533AF" w14:textId="25E547A2" w:rsidR="009128D6" w:rsidRPr="00767FBD" w:rsidRDefault="00BF459A" w:rsidP="001D5660">
      <w:pPr>
        <w:pStyle w:val="Default"/>
        <w:spacing w:before="120" w:after="240"/>
        <w:ind w:firstLine="426"/>
        <w:jc w:val="both"/>
        <w:rPr>
          <w:rFonts w:eastAsia="Times New Roman" w:cs="Times New Roman"/>
          <w:color w:val="auto"/>
          <w:sz w:val="20"/>
          <w:szCs w:val="20"/>
        </w:rPr>
      </w:pPr>
      <w:r w:rsidRPr="00767FBD">
        <w:rPr>
          <w:i/>
          <w:iCs/>
          <w:color w:val="auto"/>
          <w:sz w:val="20"/>
          <w:szCs w:val="20"/>
        </w:rPr>
        <w:t>RECONOCIENDO</w:t>
      </w:r>
      <w:r w:rsidRPr="00767FBD">
        <w:rPr>
          <w:color w:val="auto"/>
          <w:sz w:val="20"/>
          <w:szCs w:val="20"/>
        </w:rPr>
        <w:t xml:space="preserve"> la positiva revisión externa de la MSE y que las simulaciones realizadas en 2017 y años posteriores permiten al SCRS proporcionar un asesoramiento sólido para una amplia gama de incertidumbres y cumplir los objetivos de que el stock de atún blanco del Atlántico norte se sitúe en el cuadrante verde del diagrama de Kobe con una probabilidad superior al 60 %;</w:t>
      </w:r>
    </w:p>
    <w:p w14:paraId="79F23284" w14:textId="5C6DF46E" w:rsidR="009128D6" w:rsidRPr="00767FBD" w:rsidRDefault="00B70F96" w:rsidP="00AA3AC4">
      <w:pPr>
        <w:pStyle w:val="Default"/>
        <w:spacing w:before="120" w:after="240"/>
        <w:ind w:firstLine="426"/>
        <w:jc w:val="both"/>
        <w:rPr>
          <w:rFonts w:eastAsia="Times New Roman" w:cs="Times New Roman"/>
          <w:color w:val="auto"/>
          <w:sz w:val="20"/>
          <w:szCs w:val="20"/>
        </w:rPr>
      </w:pPr>
      <w:r w:rsidRPr="00767FBD">
        <w:rPr>
          <w:i/>
          <w:iCs/>
          <w:color w:val="auto"/>
          <w:sz w:val="20"/>
          <w:szCs w:val="20"/>
        </w:rPr>
        <w:t>CONSTATANDO</w:t>
      </w:r>
      <w:r w:rsidRPr="00767FBD">
        <w:rPr>
          <w:color w:val="auto"/>
          <w:sz w:val="20"/>
          <w:szCs w:val="20"/>
        </w:rPr>
        <w:t xml:space="preserve"> que la</w:t>
      </w:r>
      <w:r w:rsidR="003B58CF" w:rsidRPr="00767FBD">
        <w:rPr>
          <w:color w:val="auto"/>
          <w:sz w:val="20"/>
          <w:szCs w:val="20"/>
        </w:rPr>
        <w:t>s normas de control de la captura</w:t>
      </w:r>
      <w:r w:rsidRPr="00767FBD">
        <w:rPr>
          <w:color w:val="auto"/>
          <w:sz w:val="20"/>
          <w:szCs w:val="20"/>
        </w:rPr>
        <w:t xml:space="preserve"> con mortalidades por pesca objetivo más elevadas (</w:t>
      </w:r>
      <w:proofErr w:type="spellStart"/>
      <w:r w:rsidRPr="00767FBD">
        <w:rPr>
          <w:color w:val="auto"/>
          <w:sz w:val="20"/>
          <w:szCs w:val="20"/>
        </w:rPr>
        <w:t>F</w:t>
      </w:r>
      <w:r w:rsidRPr="00767FBD">
        <w:rPr>
          <w:color w:val="auto"/>
          <w:sz w:val="20"/>
          <w:szCs w:val="20"/>
          <w:vertAlign w:val="subscript"/>
        </w:rPr>
        <w:t>objetivo</w:t>
      </w:r>
      <w:proofErr w:type="spellEnd"/>
      <w:r w:rsidRPr="00767FBD">
        <w:rPr>
          <w:color w:val="auto"/>
          <w:sz w:val="20"/>
          <w:szCs w:val="20"/>
        </w:rPr>
        <w:t xml:space="preserve"> = F</w:t>
      </w:r>
      <w:r w:rsidRPr="00767FBD">
        <w:rPr>
          <w:color w:val="auto"/>
          <w:sz w:val="20"/>
          <w:szCs w:val="20"/>
          <w:vertAlign w:val="subscript"/>
        </w:rPr>
        <w:t>RMS</w:t>
      </w:r>
      <w:r w:rsidRPr="00767FBD">
        <w:rPr>
          <w:color w:val="auto"/>
          <w:sz w:val="20"/>
          <w:szCs w:val="20"/>
        </w:rPr>
        <w:t>) se asociaron con probabilidades inferiores, aunque superiores al 60</w:t>
      </w:r>
      <w:r w:rsidR="0035444C" w:rsidRPr="00767FBD">
        <w:rPr>
          <w:sz w:val="20"/>
          <w:szCs w:val="20"/>
        </w:rPr>
        <w:t xml:space="preserve"> </w:t>
      </w:r>
      <w:r w:rsidRPr="00767FBD">
        <w:rPr>
          <w:color w:val="auto"/>
          <w:sz w:val="20"/>
          <w:szCs w:val="20"/>
        </w:rPr>
        <w:t>%, de situarse en el cuadrante verde del diagrama de Kobe, y se asociaron con probabilidades más elevadas de situar al stock entre B</w:t>
      </w:r>
      <w:r w:rsidRPr="00767FBD">
        <w:rPr>
          <w:color w:val="auto"/>
          <w:sz w:val="20"/>
          <w:szCs w:val="20"/>
          <w:vertAlign w:val="subscript"/>
        </w:rPr>
        <w:t xml:space="preserve">lim </w:t>
      </w:r>
      <w:r w:rsidRPr="00767FBD">
        <w:rPr>
          <w:color w:val="auto"/>
          <w:sz w:val="20"/>
          <w:szCs w:val="20"/>
        </w:rPr>
        <w:t xml:space="preserve">y </w:t>
      </w:r>
      <w:proofErr w:type="spellStart"/>
      <w:r w:rsidRPr="00767FBD">
        <w:rPr>
          <w:color w:val="auto"/>
          <w:sz w:val="20"/>
          <w:szCs w:val="20"/>
        </w:rPr>
        <w:t>B</w:t>
      </w:r>
      <w:r w:rsidRPr="00767FBD">
        <w:rPr>
          <w:color w:val="auto"/>
          <w:sz w:val="20"/>
          <w:szCs w:val="20"/>
          <w:vertAlign w:val="subscript"/>
        </w:rPr>
        <w:t>umbral</w:t>
      </w:r>
      <w:proofErr w:type="spellEnd"/>
      <w:r w:rsidRPr="00767FBD">
        <w:rPr>
          <w:color w:val="auto"/>
          <w:sz w:val="20"/>
          <w:szCs w:val="20"/>
          <w:vertAlign w:val="subscript"/>
        </w:rPr>
        <w:t xml:space="preserve"> </w:t>
      </w:r>
      <w:r w:rsidRPr="00767FBD">
        <w:rPr>
          <w:color w:val="auto"/>
          <w:sz w:val="20"/>
          <w:szCs w:val="20"/>
        </w:rPr>
        <w:t>solo con rendimientos a largo plazo ligeramente superiores;</w:t>
      </w:r>
    </w:p>
    <w:p w14:paraId="2F6E3DE7" w14:textId="42EC3B6A" w:rsidR="009128D6" w:rsidRPr="00767FBD" w:rsidRDefault="00BF459A" w:rsidP="00AA3AC4">
      <w:pPr>
        <w:pStyle w:val="Default"/>
        <w:spacing w:before="120" w:after="240"/>
        <w:ind w:firstLine="426"/>
        <w:jc w:val="both"/>
        <w:rPr>
          <w:rFonts w:eastAsia="Times New Roman" w:cs="Times New Roman"/>
          <w:color w:val="auto"/>
          <w:sz w:val="20"/>
          <w:szCs w:val="20"/>
        </w:rPr>
      </w:pPr>
      <w:r w:rsidRPr="00767FBD">
        <w:rPr>
          <w:i/>
          <w:iCs/>
          <w:color w:val="auto"/>
          <w:sz w:val="20"/>
          <w:szCs w:val="20"/>
        </w:rPr>
        <w:t>CONSTATANDO ADEMÁS</w:t>
      </w:r>
      <w:r w:rsidRPr="00767FBD">
        <w:rPr>
          <w:color w:val="auto"/>
          <w:sz w:val="20"/>
          <w:szCs w:val="20"/>
        </w:rPr>
        <w:t xml:space="preserve"> el deseo de estabilidad en la pesquería;</w:t>
      </w:r>
    </w:p>
    <w:p w14:paraId="25EEDA99" w14:textId="49F98B75" w:rsidR="009128D6" w:rsidRPr="00767FBD" w:rsidRDefault="00BF459A" w:rsidP="00AA3AC4">
      <w:pPr>
        <w:pStyle w:val="Default"/>
        <w:spacing w:before="120" w:after="240"/>
        <w:ind w:firstLine="426"/>
        <w:jc w:val="both"/>
        <w:rPr>
          <w:rFonts w:eastAsia="Times New Roman" w:cs="Times New Roman"/>
          <w:color w:val="auto"/>
          <w:sz w:val="20"/>
          <w:szCs w:val="20"/>
        </w:rPr>
      </w:pPr>
      <w:r w:rsidRPr="00767FBD">
        <w:rPr>
          <w:i/>
          <w:iCs/>
          <w:color w:val="auto"/>
          <w:sz w:val="20"/>
          <w:szCs w:val="20"/>
        </w:rPr>
        <w:lastRenderedPageBreak/>
        <w:t>CONSIDERANDO</w:t>
      </w:r>
      <w:r w:rsidRPr="00767FBD">
        <w:rPr>
          <w:color w:val="auto"/>
          <w:sz w:val="20"/>
          <w:szCs w:val="20"/>
        </w:rPr>
        <w:t xml:space="preserve"> que el SCRS probó una mortalidad por pesca mínima (F</w:t>
      </w:r>
      <w:r w:rsidR="003B58CF" w:rsidRPr="00767FBD">
        <w:rPr>
          <w:color w:val="auto"/>
          <w:sz w:val="20"/>
          <w:szCs w:val="20"/>
          <w:vertAlign w:val="subscript"/>
        </w:rPr>
        <w:t>MIN</w:t>
      </w:r>
      <w:r w:rsidRPr="00767FBD">
        <w:rPr>
          <w:color w:val="auto"/>
          <w:sz w:val="20"/>
          <w:szCs w:val="20"/>
        </w:rPr>
        <w:t xml:space="preserve">) si el estado del stock se sitúa por debajo de los límites biológicos seguros;  </w:t>
      </w:r>
    </w:p>
    <w:p w14:paraId="4089A114" w14:textId="7B06B4E4" w:rsidR="00DF04B6" w:rsidRPr="00767FBD" w:rsidRDefault="00CF7709" w:rsidP="00AA3AC4">
      <w:pPr>
        <w:pStyle w:val="Default"/>
        <w:spacing w:before="120" w:after="240"/>
        <w:ind w:firstLine="426"/>
        <w:jc w:val="both"/>
        <w:rPr>
          <w:color w:val="auto"/>
          <w:sz w:val="20"/>
          <w:szCs w:val="20"/>
        </w:rPr>
      </w:pPr>
      <w:r w:rsidRPr="00767FBD">
        <w:rPr>
          <w:i/>
          <w:iCs/>
          <w:color w:val="auto"/>
          <w:sz w:val="20"/>
          <w:szCs w:val="20"/>
        </w:rPr>
        <w:t>CONSIDERANDO ADEMÁS</w:t>
      </w:r>
      <w:r w:rsidRPr="00767FBD">
        <w:rPr>
          <w:color w:val="auto"/>
          <w:sz w:val="20"/>
          <w:szCs w:val="20"/>
        </w:rPr>
        <w:t xml:space="preserve"> </w:t>
      </w:r>
      <w:r w:rsidR="009A52F3" w:rsidRPr="00767FBD">
        <w:rPr>
          <w:color w:val="auto"/>
          <w:sz w:val="20"/>
          <w:szCs w:val="20"/>
        </w:rPr>
        <w:t xml:space="preserve">el trabajo del SCRS en 2018 y 2019 para probar a través de la MSE varias variantes de HCR y el asesoramiento del SCRS en 2019 </w:t>
      </w:r>
      <w:r w:rsidR="00AA3AC4" w:rsidRPr="00767FBD">
        <w:rPr>
          <w:color w:val="auto"/>
          <w:sz w:val="20"/>
          <w:szCs w:val="20"/>
        </w:rPr>
        <w:t xml:space="preserve">según el cual </w:t>
      </w:r>
      <w:r w:rsidR="009A52F3" w:rsidRPr="00767FBD">
        <w:rPr>
          <w:color w:val="auto"/>
          <w:sz w:val="20"/>
          <w:szCs w:val="20"/>
        </w:rPr>
        <w:t>la Comisión podría adoptar normas alternativas de control de las capturas para proporcionar estabilidad adicional a las pesquerías al tiempo que se cumplen los objetivos de ordenación. Estas alternativas incluyen, entre otras, la aplicación de la restricción del 20 % de reducción máxima del</w:t>
      </w:r>
      <w:r w:rsidR="000D058C" w:rsidRPr="00767FBD">
        <w:rPr>
          <w:color w:val="auto"/>
          <w:sz w:val="20"/>
          <w:szCs w:val="20"/>
        </w:rPr>
        <w:t xml:space="preserve"> total admisible de captura</w:t>
      </w:r>
      <w:r w:rsidR="009A52F3" w:rsidRPr="00767FBD">
        <w:rPr>
          <w:color w:val="auto"/>
          <w:sz w:val="20"/>
          <w:szCs w:val="20"/>
        </w:rPr>
        <w:t xml:space="preserve"> </w:t>
      </w:r>
      <w:r w:rsidR="000D058C" w:rsidRPr="00767FBD">
        <w:rPr>
          <w:color w:val="auto"/>
          <w:sz w:val="20"/>
          <w:szCs w:val="20"/>
        </w:rPr>
        <w:t>(</w:t>
      </w:r>
      <w:r w:rsidR="009A52F3" w:rsidRPr="00767FBD">
        <w:rPr>
          <w:color w:val="auto"/>
          <w:sz w:val="20"/>
          <w:szCs w:val="20"/>
        </w:rPr>
        <w:t>TAC</w:t>
      </w:r>
      <w:r w:rsidR="000D058C" w:rsidRPr="00767FBD">
        <w:rPr>
          <w:color w:val="auto"/>
          <w:sz w:val="20"/>
          <w:szCs w:val="20"/>
        </w:rPr>
        <w:t>)</w:t>
      </w:r>
      <w:r w:rsidR="009A52F3" w:rsidRPr="00767FBD">
        <w:rPr>
          <w:color w:val="auto"/>
          <w:sz w:val="20"/>
          <w:szCs w:val="20"/>
        </w:rPr>
        <w:t xml:space="preserve"> y del 25 % de aumento máximo del TAC cuando se estima que B es superior a Blim.</w:t>
      </w:r>
    </w:p>
    <w:p w14:paraId="131DA23E" w14:textId="2071C16C" w:rsidR="00CF7709" w:rsidRPr="00767FBD" w:rsidRDefault="00FB20C1" w:rsidP="00AA3AC4">
      <w:pPr>
        <w:pStyle w:val="Default"/>
        <w:spacing w:before="120" w:after="240"/>
        <w:ind w:firstLine="426"/>
        <w:jc w:val="both"/>
        <w:rPr>
          <w:bCs/>
          <w:color w:val="auto"/>
          <w:sz w:val="20"/>
          <w:szCs w:val="20"/>
        </w:rPr>
      </w:pPr>
      <w:r w:rsidRPr="00767FBD">
        <w:rPr>
          <w:i/>
          <w:iCs/>
          <w:color w:val="auto"/>
          <w:sz w:val="20"/>
          <w:szCs w:val="20"/>
        </w:rPr>
        <w:t>RECONOCIENDO</w:t>
      </w:r>
      <w:r w:rsidRPr="00767FBD">
        <w:rPr>
          <w:color w:val="auto"/>
          <w:sz w:val="20"/>
          <w:szCs w:val="20"/>
        </w:rPr>
        <w:t xml:space="preserve"> que después de 5 años de implementación de la norma provisional de control de las capturas es aconsejable </w:t>
      </w:r>
      <w:r w:rsidR="00CF7709" w:rsidRPr="00767FBD">
        <w:rPr>
          <w:color w:val="auto"/>
          <w:sz w:val="20"/>
          <w:szCs w:val="20"/>
        </w:rPr>
        <w:t>promover la prueba de nuevos perfeccionamientos que permit</w:t>
      </w:r>
      <w:r w:rsidR="00AA3AC4" w:rsidRPr="00767FBD">
        <w:rPr>
          <w:color w:val="auto"/>
          <w:sz w:val="20"/>
          <w:szCs w:val="20"/>
        </w:rPr>
        <w:t>irá</w:t>
      </w:r>
      <w:r w:rsidR="00CF7709" w:rsidRPr="00767FBD">
        <w:rPr>
          <w:color w:val="auto"/>
          <w:sz w:val="20"/>
          <w:szCs w:val="20"/>
        </w:rPr>
        <w:t>n probar l</w:t>
      </w:r>
      <w:r w:rsidR="003B58CF" w:rsidRPr="00767FBD">
        <w:rPr>
          <w:color w:val="auto"/>
          <w:sz w:val="20"/>
          <w:szCs w:val="20"/>
        </w:rPr>
        <w:t xml:space="preserve">as </w:t>
      </w:r>
      <w:r w:rsidR="00AA3AC4" w:rsidRPr="00767FBD">
        <w:rPr>
          <w:color w:val="auto"/>
          <w:sz w:val="20"/>
          <w:szCs w:val="20"/>
        </w:rPr>
        <w:t xml:space="preserve">compensaciones </w:t>
      </w:r>
      <w:r w:rsidR="003B58CF" w:rsidRPr="00767FBD">
        <w:rPr>
          <w:color w:val="auto"/>
          <w:sz w:val="20"/>
          <w:szCs w:val="20"/>
        </w:rPr>
        <w:t>de los</w:t>
      </w:r>
      <w:r w:rsidR="00CF7709" w:rsidRPr="00767FBD">
        <w:rPr>
          <w:color w:val="auto"/>
          <w:sz w:val="20"/>
          <w:szCs w:val="20"/>
        </w:rPr>
        <w:t xml:space="preserve"> procedimientos de </w:t>
      </w:r>
      <w:r w:rsidR="003B58CF" w:rsidRPr="00767FBD">
        <w:rPr>
          <w:color w:val="auto"/>
          <w:sz w:val="20"/>
          <w:szCs w:val="20"/>
        </w:rPr>
        <w:t>ordenación</w:t>
      </w:r>
      <w:r w:rsidR="00CF7709" w:rsidRPr="00767FBD">
        <w:rPr>
          <w:color w:val="auto"/>
          <w:sz w:val="20"/>
          <w:szCs w:val="20"/>
        </w:rPr>
        <w:t xml:space="preserve"> alternativos con pasos más finos tanto para la mortalidad por pesca como para la biomasa, incluyendo también niveles superiores a los que </w:t>
      </w:r>
      <w:r w:rsidR="00FC5D81" w:rsidRPr="00767FBD">
        <w:rPr>
          <w:color w:val="auto"/>
          <w:sz w:val="20"/>
          <w:szCs w:val="20"/>
        </w:rPr>
        <w:t xml:space="preserve">aseguran </w:t>
      </w:r>
      <w:r w:rsidR="00CF7709" w:rsidRPr="00767FBD">
        <w:rPr>
          <w:color w:val="auto"/>
          <w:sz w:val="20"/>
          <w:szCs w:val="20"/>
        </w:rPr>
        <w:t>el RMS;</w:t>
      </w:r>
    </w:p>
    <w:p w14:paraId="6338BEE2" w14:textId="3AA2723E" w:rsidR="007245D4" w:rsidRPr="00767FBD" w:rsidRDefault="007245D4" w:rsidP="00AA3AC4">
      <w:pPr>
        <w:pStyle w:val="Default"/>
        <w:spacing w:before="120" w:after="240"/>
        <w:ind w:firstLine="426"/>
        <w:jc w:val="both"/>
        <w:rPr>
          <w:color w:val="auto"/>
          <w:sz w:val="20"/>
          <w:szCs w:val="20"/>
        </w:rPr>
      </w:pPr>
      <w:r w:rsidRPr="00767FBD">
        <w:rPr>
          <w:i/>
          <w:iCs/>
          <w:color w:val="auto"/>
          <w:sz w:val="20"/>
          <w:szCs w:val="20"/>
        </w:rPr>
        <w:t>OBSERVANDO</w:t>
      </w:r>
      <w:r w:rsidRPr="00767FBD">
        <w:rPr>
          <w:color w:val="auto"/>
          <w:sz w:val="20"/>
          <w:szCs w:val="20"/>
        </w:rPr>
        <w:t xml:space="preserve"> la importancia de determinar las circunstancias excepcionales que darían lugar a la suspensión o modificación de la aplicación de</w:t>
      </w:r>
      <w:r w:rsidR="003B58CF" w:rsidRPr="00767FBD">
        <w:rPr>
          <w:color w:val="auto"/>
          <w:sz w:val="20"/>
          <w:szCs w:val="20"/>
        </w:rPr>
        <w:t xml:space="preserve"> la</w:t>
      </w:r>
      <w:r w:rsidRPr="00767FBD">
        <w:rPr>
          <w:color w:val="auto"/>
          <w:sz w:val="20"/>
          <w:szCs w:val="20"/>
        </w:rPr>
        <w:t xml:space="preserve"> </w:t>
      </w:r>
      <w:r w:rsidR="003B58CF" w:rsidRPr="00767FBD">
        <w:rPr>
          <w:color w:val="auto"/>
          <w:sz w:val="20"/>
          <w:szCs w:val="20"/>
        </w:rPr>
        <w:t>HCR</w:t>
      </w:r>
      <w:r w:rsidRPr="00767FBD">
        <w:rPr>
          <w:color w:val="auto"/>
          <w:sz w:val="20"/>
          <w:szCs w:val="20"/>
        </w:rPr>
        <w:t>;</w:t>
      </w:r>
    </w:p>
    <w:p w14:paraId="63C18D1E" w14:textId="34EDF909" w:rsidR="0031174B" w:rsidRPr="00767FBD" w:rsidRDefault="0031174B" w:rsidP="00AA3AC4">
      <w:pPr>
        <w:pStyle w:val="Default"/>
        <w:spacing w:before="120" w:after="240"/>
        <w:ind w:firstLine="426"/>
        <w:jc w:val="both"/>
        <w:rPr>
          <w:color w:val="auto"/>
          <w:sz w:val="20"/>
          <w:szCs w:val="20"/>
        </w:rPr>
      </w:pPr>
      <w:r w:rsidRPr="00767FBD">
        <w:rPr>
          <w:i/>
          <w:iCs/>
          <w:color w:val="auto"/>
          <w:sz w:val="20"/>
          <w:szCs w:val="20"/>
        </w:rPr>
        <w:t xml:space="preserve">OBSERVANDO ADEMÁS </w:t>
      </w:r>
      <w:r w:rsidRPr="00767FBD">
        <w:rPr>
          <w:color w:val="auto"/>
          <w:sz w:val="20"/>
          <w:szCs w:val="20"/>
        </w:rPr>
        <w:t xml:space="preserve">que el SCRS está desarrollando otro marco de </w:t>
      </w:r>
      <w:r w:rsidR="003B58CF" w:rsidRPr="00767FBD">
        <w:rPr>
          <w:color w:val="auto"/>
          <w:sz w:val="20"/>
          <w:szCs w:val="20"/>
        </w:rPr>
        <w:t>MSE</w:t>
      </w:r>
      <w:r w:rsidR="00D537BB" w:rsidRPr="00767FBD">
        <w:rPr>
          <w:color w:val="auto"/>
          <w:sz w:val="20"/>
          <w:szCs w:val="20"/>
        </w:rPr>
        <w:t xml:space="preserve"> que podría no estar disponible antes de 20</w:t>
      </w:r>
      <w:r w:rsidR="00FC5D81" w:rsidRPr="00767FBD">
        <w:rPr>
          <w:color w:val="auto"/>
          <w:sz w:val="20"/>
          <w:szCs w:val="20"/>
        </w:rPr>
        <w:t>2</w:t>
      </w:r>
      <w:r w:rsidR="00D537BB" w:rsidRPr="00767FBD">
        <w:rPr>
          <w:color w:val="auto"/>
          <w:sz w:val="20"/>
          <w:szCs w:val="20"/>
        </w:rPr>
        <w:t>6;</w:t>
      </w:r>
    </w:p>
    <w:p w14:paraId="6E6044C8" w14:textId="54DC485D" w:rsidR="001E6606" w:rsidRPr="00767FBD" w:rsidRDefault="001E6606" w:rsidP="00AA3AC4">
      <w:pPr>
        <w:pStyle w:val="Default"/>
        <w:spacing w:before="120" w:after="240"/>
        <w:ind w:firstLine="426"/>
        <w:jc w:val="both"/>
        <w:rPr>
          <w:color w:val="auto"/>
          <w:sz w:val="20"/>
          <w:szCs w:val="20"/>
        </w:rPr>
      </w:pPr>
      <w:r w:rsidRPr="00767FBD">
        <w:rPr>
          <w:i/>
          <w:iCs/>
          <w:color w:val="auto"/>
          <w:sz w:val="20"/>
          <w:szCs w:val="20"/>
        </w:rPr>
        <w:t>CONSCIENTE</w:t>
      </w:r>
      <w:r w:rsidRPr="00767FBD">
        <w:rPr>
          <w:rFonts w:asciiTheme="majorHAnsi" w:hAnsiTheme="majorHAnsi"/>
          <w:color w:val="auto"/>
          <w:sz w:val="20"/>
          <w:szCs w:val="20"/>
        </w:rPr>
        <w:t xml:space="preserve"> de que la aplicación de</w:t>
      </w:r>
      <w:r w:rsidR="003B58CF" w:rsidRPr="00767FBD">
        <w:rPr>
          <w:rFonts w:asciiTheme="majorHAnsi" w:hAnsiTheme="majorHAnsi"/>
          <w:color w:val="auto"/>
          <w:sz w:val="20"/>
          <w:szCs w:val="20"/>
        </w:rPr>
        <w:t xml:space="preserve"> la</w:t>
      </w:r>
      <w:r w:rsidRPr="00767FBD">
        <w:rPr>
          <w:rFonts w:asciiTheme="majorHAnsi" w:hAnsiTheme="majorHAnsi"/>
          <w:color w:val="auto"/>
          <w:sz w:val="20"/>
          <w:szCs w:val="20"/>
        </w:rPr>
        <w:t xml:space="preserve"> HCR en 2020 dio lugar a un aumento del TAC y que, en las difíciles circunstancias a las que se enfrentó la organización el año pasado, se acordó aplicar el aumento de forma proporcional a los límites de capturas y de otro tipo, pero que este enfoque no sentó precedente;</w:t>
      </w:r>
    </w:p>
    <w:p w14:paraId="00A29E45" w14:textId="77777777" w:rsidR="00FC5D81" w:rsidRPr="00767FBD" w:rsidRDefault="00FC5D81" w:rsidP="007245D4">
      <w:pPr>
        <w:autoSpaceDE w:val="0"/>
        <w:autoSpaceDN w:val="0"/>
        <w:adjustRightInd w:val="0"/>
        <w:spacing w:after="0" w:line="240" w:lineRule="auto"/>
        <w:jc w:val="center"/>
        <w:rPr>
          <w:rFonts w:ascii="Cambria" w:hAnsi="Cambria"/>
          <w:sz w:val="20"/>
          <w:szCs w:val="20"/>
        </w:rPr>
      </w:pPr>
    </w:p>
    <w:p w14:paraId="2F5A8381" w14:textId="5A72C955" w:rsidR="007245D4" w:rsidRPr="00767FBD" w:rsidRDefault="007245D4" w:rsidP="007245D4">
      <w:pPr>
        <w:autoSpaceDE w:val="0"/>
        <w:autoSpaceDN w:val="0"/>
        <w:adjustRightInd w:val="0"/>
        <w:spacing w:after="0" w:line="240" w:lineRule="auto"/>
        <w:jc w:val="center"/>
        <w:rPr>
          <w:rFonts w:ascii="Cambria" w:hAnsi="Cambria" w:cs="Cambria"/>
          <w:sz w:val="20"/>
          <w:szCs w:val="20"/>
        </w:rPr>
      </w:pPr>
      <w:r w:rsidRPr="00767FBD">
        <w:rPr>
          <w:rFonts w:ascii="Cambria" w:hAnsi="Cambria"/>
          <w:sz w:val="20"/>
          <w:szCs w:val="20"/>
        </w:rPr>
        <w:t>LA COMISIÓN INTERNACIONAL PARA LA CONSERVACIÓN</w:t>
      </w:r>
    </w:p>
    <w:p w14:paraId="3E73B931" w14:textId="21778D53" w:rsidR="007245D4" w:rsidRPr="00767FBD" w:rsidRDefault="007245D4" w:rsidP="007245D4">
      <w:pPr>
        <w:autoSpaceDE w:val="0"/>
        <w:autoSpaceDN w:val="0"/>
        <w:adjustRightInd w:val="0"/>
        <w:spacing w:after="0" w:line="240" w:lineRule="auto"/>
        <w:jc w:val="center"/>
        <w:rPr>
          <w:rFonts w:ascii="Cambria" w:hAnsi="Cambria" w:cs="Cambria"/>
          <w:sz w:val="20"/>
          <w:szCs w:val="20"/>
        </w:rPr>
      </w:pPr>
      <w:r w:rsidRPr="00767FBD">
        <w:rPr>
          <w:rFonts w:ascii="Cambria" w:hAnsi="Cambria"/>
          <w:sz w:val="20"/>
          <w:szCs w:val="20"/>
        </w:rPr>
        <w:t>DEL ATÚN ATLANTICO (ICCAT) RECOMIENDA LO SIGUIENTE:</w:t>
      </w:r>
    </w:p>
    <w:p w14:paraId="2CA73673" w14:textId="049E060B" w:rsidR="00D537BB" w:rsidRPr="00767FBD" w:rsidRDefault="00D537BB" w:rsidP="007245D4">
      <w:pPr>
        <w:autoSpaceDE w:val="0"/>
        <w:autoSpaceDN w:val="0"/>
        <w:adjustRightInd w:val="0"/>
        <w:spacing w:after="0" w:line="240" w:lineRule="auto"/>
        <w:jc w:val="center"/>
        <w:rPr>
          <w:rFonts w:ascii="Cambria" w:hAnsi="Cambria" w:cs="Cambria"/>
          <w:sz w:val="20"/>
          <w:szCs w:val="20"/>
        </w:rPr>
      </w:pPr>
    </w:p>
    <w:p w14:paraId="3D5A994E" w14:textId="77777777" w:rsidR="000725A2" w:rsidRPr="00767FBD" w:rsidRDefault="000725A2" w:rsidP="007245D4">
      <w:pPr>
        <w:autoSpaceDE w:val="0"/>
        <w:autoSpaceDN w:val="0"/>
        <w:adjustRightInd w:val="0"/>
        <w:spacing w:after="0" w:line="240" w:lineRule="auto"/>
        <w:jc w:val="center"/>
        <w:rPr>
          <w:rFonts w:ascii="Cambria" w:hAnsi="Cambria" w:cs="Cambria"/>
          <w:sz w:val="20"/>
          <w:szCs w:val="20"/>
        </w:rPr>
      </w:pPr>
    </w:p>
    <w:p w14:paraId="3DA29694" w14:textId="77777777" w:rsidR="007245D4" w:rsidRPr="00767FBD" w:rsidRDefault="007245D4" w:rsidP="007245D4">
      <w:pPr>
        <w:autoSpaceDE w:val="0"/>
        <w:autoSpaceDN w:val="0"/>
        <w:adjustRightInd w:val="0"/>
        <w:spacing w:after="0" w:line="240" w:lineRule="auto"/>
        <w:jc w:val="center"/>
        <w:rPr>
          <w:rFonts w:ascii="Cambria" w:hAnsi="Cambria" w:cs="Cambria"/>
          <w:sz w:val="20"/>
          <w:szCs w:val="20"/>
        </w:rPr>
      </w:pPr>
      <w:r w:rsidRPr="00767FBD">
        <w:rPr>
          <w:rFonts w:ascii="Cambria" w:hAnsi="Cambria"/>
          <w:b/>
          <w:bCs/>
          <w:sz w:val="20"/>
          <w:szCs w:val="20"/>
        </w:rPr>
        <w:t>PARTE I</w:t>
      </w:r>
    </w:p>
    <w:p w14:paraId="2458238C" w14:textId="72291F73" w:rsidR="007245D4" w:rsidRPr="00767FBD" w:rsidRDefault="007245D4" w:rsidP="007245D4">
      <w:pPr>
        <w:autoSpaceDE w:val="0"/>
        <w:autoSpaceDN w:val="0"/>
        <w:adjustRightInd w:val="0"/>
        <w:spacing w:after="0" w:line="240" w:lineRule="auto"/>
        <w:jc w:val="center"/>
        <w:rPr>
          <w:rFonts w:ascii="Cambria" w:hAnsi="Cambria"/>
          <w:b/>
          <w:bCs/>
          <w:sz w:val="20"/>
          <w:szCs w:val="20"/>
        </w:rPr>
      </w:pPr>
      <w:r w:rsidRPr="00767FBD">
        <w:rPr>
          <w:rFonts w:ascii="Cambria" w:hAnsi="Cambria"/>
          <w:b/>
          <w:bCs/>
          <w:sz w:val="20"/>
          <w:szCs w:val="20"/>
        </w:rPr>
        <w:t>DISPOSICIONES GENERALES</w:t>
      </w:r>
    </w:p>
    <w:p w14:paraId="14593485" w14:textId="3D407D40" w:rsidR="007245D4" w:rsidRPr="00767FBD" w:rsidRDefault="007245D4" w:rsidP="007245D4">
      <w:pPr>
        <w:autoSpaceDE w:val="0"/>
        <w:autoSpaceDN w:val="0"/>
        <w:adjustRightInd w:val="0"/>
        <w:spacing w:after="0" w:line="240" w:lineRule="auto"/>
        <w:jc w:val="center"/>
        <w:rPr>
          <w:rFonts w:ascii="Cambria" w:hAnsi="Cambria" w:cs="Cambria"/>
          <w:b/>
          <w:bCs/>
          <w:sz w:val="20"/>
          <w:szCs w:val="20"/>
        </w:rPr>
      </w:pPr>
    </w:p>
    <w:p w14:paraId="0827A299" w14:textId="46FA15C2" w:rsidR="004E55E4" w:rsidRPr="00767FBD" w:rsidRDefault="004348CC" w:rsidP="00331235">
      <w:pPr>
        <w:pStyle w:val="ListParagraph"/>
        <w:numPr>
          <w:ilvl w:val="0"/>
          <w:numId w:val="30"/>
        </w:numPr>
        <w:autoSpaceDE w:val="0"/>
        <w:autoSpaceDN w:val="0"/>
        <w:adjustRightInd w:val="0"/>
        <w:spacing w:after="0" w:line="240" w:lineRule="auto"/>
        <w:ind w:left="567" w:hanging="567"/>
        <w:jc w:val="both"/>
        <w:rPr>
          <w:rFonts w:asciiTheme="majorHAnsi" w:hAnsiTheme="majorHAnsi"/>
          <w:sz w:val="20"/>
          <w:szCs w:val="20"/>
        </w:rPr>
      </w:pPr>
      <w:r w:rsidRPr="00767FBD">
        <w:rPr>
          <w:rFonts w:asciiTheme="majorHAnsi" w:hAnsiTheme="majorHAnsi" w:cs="Cambria"/>
          <w:sz w:val="20"/>
          <w:szCs w:val="20"/>
        </w:rPr>
        <w:t>L</w:t>
      </w:r>
      <w:r w:rsidRPr="00767FBD">
        <w:rPr>
          <w:rFonts w:ascii="Cambria" w:hAnsi="Cambria"/>
          <w:sz w:val="20"/>
          <w:szCs w:val="20"/>
        </w:rPr>
        <w:t xml:space="preserve">as Partes contratantes y Partes, entidades o entidades de pesca no contratantes colaboradoras (CPC) cuyos buques pesquen atún blanco del norte en la zona del Convenio </w:t>
      </w:r>
      <w:r w:rsidR="000B2ECB" w:rsidRPr="00767FBD">
        <w:rPr>
          <w:rFonts w:ascii="Cambria" w:hAnsi="Cambria"/>
          <w:sz w:val="20"/>
          <w:szCs w:val="20"/>
        </w:rPr>
        <w:t>implementarán</w:t>
      </w:r>
      <w:r w:rsidR="000B2ECB" w:rsidRPr="00767FBD">
        <w:rPr>
          <w:rFonts w:asciiTheme="majorHAnsi" w:hAnsiTheme="majorHAnsi"/>
          <w:sz w:val="20"/>
          <w:szCs w:val="20"/>
        </w:rPr>
        <w:t xml:space="preserve"> </w:t>
      </w:r>
      <w:r w:rsidRPr="00767FBD">
        <w:rPr>
          <w:rFonts w:asciiTheme="majorHAnsi" w:hAnsiTheme="majorHAnsi"/>
          <w:sz w:val="20"/>
          <w:szCs w:val="20"/>
        </w:rPr>
        <w:t xml:space="preserve">las siguientes medidas de conservación y </w:t>
      </w:r>
      <w:r w:rsidR="000B2ECB" w:rsidRPr="00767FBD">
        <w:rPr>
          <w:rFonts w:asciiTheme="majorHAnsi" w:hAnsiTheme="majorHAnsi"/>
          <w:sz w:val="20"/>
          <w:szCs w:val="20"/>
        </w:rPr>
        <w:t>ordenación</w:t>
      </w:r>
      <w:r w:rsidRPr="00767FBD">
        <w:rPr>
          <w:rFonts w:asciiTheme="majorHAnsi" w:hAnsiTheme="majorHAnsi"/>
          <w:sz w:val="20"/>
          <w:szCs w:val="20"/>
        </w:rPr>
        <w:t xml:space="preserve"> </w:t>
      </w:r>
      <w:r w:rsidR="000D058C" w:rsidRPr="00767FBD">
        <w:rPr>
          <w:rFonts w:asciiTheme="majorHAnsi" w:hAnsiTheme="majorHAnsi"/>
          <w:sz w:val="20"/>
          <w:szCs w:val="20"/>
        </w:rPr>
        <w:t>para la pesquería d</w:t>
      </w:r>
      <w:r w:rsidR="000B2ECB" w:rsidRPr="00767FBD">
        <w:rPr>
          <w:rFonts w:asciiTheme="majorHAnsi" w:hAnsiTheme="majorHAnsi"/>
          <w:sz w:val="20"/>
          <w:szCs w:val="20"/>
        </w:rPr>
        <w:t>e</w:t>
      </w:r>
      <w:r w:rsidRPr="00767FBD">
        <w:rPr>
          <w:rFonts w:asciiTheme="majorHAnsi" w:hAnsiTheme="majorHAnsi"/>
          <w:sz w:val="20"/>
          <w:szCs w:val="20"/>
        </w:rPr>
        <w:t xml:space="preserve"> atún blanco del Atlántico </w:t>
      </w:r>
      <w:r w:rsidR="000B2ECB" w:rsidRPr="00767FBD">
        <w:rPr>
          <w:rFonts w:asciiTheme="majorHAnsi" w:hAnsiTheme="majorHAnsi"/>
          <w:sz w:val="20"/>
          <w:szCs w:val="20"/>
        </w:rPr>
        <w:t>norte</w:t>
      </w:r>
      <w:r w:rsidRPr="00767FBD">
        <w:rPr>
          <w:rFonts w:asciiTheme="majorHAnsi" w:hAnsiTheme="majorHAnsi"/>
          <w:sz w:val="20"/>
          <w:szCs w:val="20"/>
        </w:rPr>
        <w:t xml:space="preserve">, que incluyen el procedimiento de </w:t>
      </w:r>
      <w:r w:rsidR="000B2ECB" w:rsidRPr="00767FBD">
        <w:rPr>
          <w:rFonts w:asciiTheme="majorHAnsi" w:hAnsiTheme="majorHAnsi"/>
          <w:sz w:val="20"/>
          <w:szCs w:val="20"/>
        </w:rPr>
        <w:t>ordenación</w:t>
      </w:r>
      <w:r w:rsidR="00284821">
        <w:rPr>
          <w:rFonts w:asciiTheme="majorHAnsi" w:hAnsiTheme="majorHAnsi"/>
          <w:sz w:val="20"/>
          <w:szCs w:val="20"/>
        </w:rPr>
        <w:t xml:space="preserve"> (MP)</w:t>
      </w:r>
      <w:r w:rsidRPr="00767FBD">
        <w:rPr>
          <w:rFonts w:asciiTheme="majorHAnsi" w:hAnsiTheme="majorHAnsi"/>
          <w:sz w:val="20"/>
          <w:szCs w:val="20"/>
        </w:rPr>
        <w:t xml:space="preserve"> que figura en el </w:t>
      </w:r>
      <w:r w:rsidR="003B58CF" w:rsidRPr="00767FBD">
        <w:rPr>
          <w:rFonts w:asciiTheme="majorHAnsi" w:hAnsiTheme="majorHAnsi"/>
          <w:b/>
          <w:bCs/>
          <w:sz w:val="20"/>
          <w:szCs w:val="20"/>
        </w:rPr>
        <w:t xml:space="preserve">Anexo </w:t>
      </w:r>
      <w:r w:rsidR="000D058C" w:rsidRPr="00767FBD">
        <w:rPr>
          <w:rFonts w:asciiTheme="majorHAnsi" w:hAnsiTheme="majorHAnsi"/>
          <w:b/>
          <w:bCs/>
          <w:sz w:val="20"/>
          <w:szCs w:val="20"/>
        </w:rPr>
        <w:t>1</w:t>
      </w:r>
      <w:r w:rsidRPr="00767FBD">
        <w:rPr>
          <w:rFonts w:asciiTheme="majorHAnsi" w:hAnsiTheme="majorHAnsi"/>
          <w:sz w:val="20"/>
          <w:szCs w:val="20"/>
        </w:rPr>
        <w:t xml:space="preserve"> para establecer los totales admisibles de capturas anuales.</w:t>
      </w:r>
    </w:p>
    <w:p w14:paraId="50CB9C3C" w14:textId="73332F85" w:rsidR="00A561B5" w:rsidRPr="00767FBD" w:rsidRDefault="00A561B5" w:rsidP="00F15765">
      <w:pPr>
        <w:autoSpaceDE w:val="0"/>
        <w:autoSpaceDN w:val="0"/>
        <w:adjustRightInd w:val="0"/>
        <w:spacing w:after="0"/>
        <w:jc w:val="both"/>
        <w:rPr>
          <w:rFonts w:asciiTheme="majorHAnsi" w:hAnsiTheme="majorHAnsi"/>
          <w:sz w:val="20"/>
          <w:szCs w:val="20"/>
        </w:rPr>
      </w:pPr>
    </w:p>
    <w:p w14:paraId="10223962" w14:textId="6AC2DE00" w:rsidR="00F7392D" w:rsidRPr="00767FBD" w:rsidRDefault="00A561B5" w:rsidP="0021193F">
      <w:pPr>
        <w:autoSpaceDE w:val="0"/>
        <w:autoSpaceDN w:val="0"/>
        <w:adjustRightInd w:val="0"/>
        <w:spacing w:after="0"/>
        <w:jc w:val="both"/>
        <w:rPr>
          <w:rFonts w:asciiTheme="majorHAnsi" w:hAnsiTheme="majorHAnsi" w:cs="Cambria"/>
          <w:b/>
          <w:i/>
          <w:iCs/>
          <w:sz w:val="20"/>
          <w:szCs w:val="20"/>
        </w:rPr>
      </w:pPr>
      <w:r w:rsidRPr="00767FBD">
        <w:rPr>
          <w:rFonts w:asciiTheme="majorHAnsi" w:hAnsiTheme="majorHAnsi"/>
          <w:b/>
          <w:i/>
          <w:iCs/>
          <w:sz w:val="20"/>
          <w:szCs w:val="20"/>
        </w:rPr>
        <w:t>Objetivos de ordenación</w:t>
      </w:r>
    </w:p>
    <w:p w14:paraId="65C5A7CA" w14:textId="77777777" w:rsidR="00A561B5" w:rsidRPr="00767FBD" w:rsidRDefault="00A561B5" w:rsidP="0021193F">
      <w:pPr>
        <w:autoSpaceDE w:val="0"/>
        <w:autoSpaceDN w:val="0"/>
        <w:adjustRightInd w:val="0"/>
        <w:spacing w:after="0"/>
        <w:jc w:val="both"/>
        <w:rPr>
          <w:rFonts w:asciiTheme="majorHAnsi" w:hAnsiTheme="majorHAnsi" w:cs="Cambria"/>
          <w:sz w:val="20"/>
          <w:szCs w:val="20"/>
        </w:rPr>
      </w:pPr>
    </w:p>
    <w:p w14:paraId="1BBE068D" w14:textId="7BBF18AF" w:rsidR="007245D4" w:rsidRPr="00767FBD" w:rsidRDefault="007245D4" w:rsidP="00331235">
      <w:pPr>
        <w:pStyle w:val="ListParagraph"/>
        <w:numPr>
          <w:ilvl w:val="0"/>
          <w:numId w:val="30"/>
        </w:numPr>
        <w:autoSpaceDE w:val="0"/>
        <w:autoSpaceDN w:val="0"/>
        <w:adjustRightInd w:val="0"/>
        <w:spacing w:after="0"/>
        <w:ind w:left="567" w:hanging="567"/>
        <w:jc w:val="both"/>
        <w:rPr>
          <w:rFonts w:ascii="Cambria" w:hAnsi="Cambria"/>
          <w:sz w:val="20"/>
          <w:szCs w:val="20"/>
        </w:rPr>
      </w:pPr>
      <w:r w:rsidRPr="00767FBD">
        <w:rPr>
          <w:rFonts w:ascii="Cambria" w:hAnsi="Cambria"/>
          <w:sz w:val="20"/>
          <w:szCs w:val="20"/>
        </w:rPr>
        <w:t xml:space="preserve">Los objetivos de </w:t>
      </w:r>
      <w:r w:rsidR="004348CC" w:rsidRPr="00767FBD">
        <w:rPr>
          <w:rFonts w:ascii="Cambria" w:hAnsi="Cambria"/>
          <w:sz w:val="20"/>
          <w:szCs w:val="20"/>
        </w:rPr>
        <w:t>ordenación para</w:t>
      </w:r>
      <w:r w:rsidRPr="00767FBD">
        <w:rPr>
          <w:rFonts w:ascii="Cambria" w:hAnsi="Cambria"/>
          <w:sz w:val="20"/>
          <w:szCs w:val="20"/>
        </w:rPr>
        <w:t xml:space="preserve"> el stock de atún blanco del Atlántico norte son:</w:t>
      </w:r>
    </w:p>
    <w:p w14:paraId="147D37C1" w14:textId="77777777" w:rsidR="007245D4" w:rsidRPr="00767FBD" w:rsidRDefault="007245D4" w:rsidP="00156F6F">
      <w:pPr>
        <w:pStyle w:val="ListParagraph"/>
        <w:autoSpaceDE w:val="0"/>
        <w:autoSpaceDN w:val="0"/>
        <w:adjustRightInd w:val="0"/>
        <w:spacing w:after="0"/>
        <w:jc w:val="both"/>
        <w:rPr>
          <w:rFonts w:asciiTheme="majorHAnsi" w:hAnsiTheme="majorHAnsi" w:cs="Cambria"/>
          <w:sz w:val="20"/>
          <w:szCs w:val="20"/>
        </w:rPr>
      </w:pPr>
    </w:p>
    <w:p w14:paraId="3859D163" w14:textId="376CAC2C" w:rsidR="007245D4" w:rsidRPr="00767FBD" w:rsidRDefault="007245D4" w:rsidP="00331235">
      <w:pPr>
        <w:pStyle w:val="ListParagraph"/>
        <w:numPr>
          <w:ilvl w:val="0"/>
          <w:numId w:val="2"/>
        </w:numPr>
        <w:autoSpaceDE w:val="0"/>
        <w:autoSpaceDN w:val="0"/>
        <w:adjustRightInd w:val="0"/>
        <w:spacing w:after="0" w:line="240" w:lineRule="auto"/>
        <w:ind w:left="993" w:hanging="426"/>
        <w:jc w:val="both"/>
        <w:rPr>
          <w:rFonts w:asciiTheme="majorHAnsi" w:hAnsiTheme="majorHAnsi" w:cs="Cambria"/>
          <w:sz w:val="20"/>
          <w:szCs w:val="20"/>
        </w:rPr>
      </w:pPr>
      <w:r w:rsidRPr="00767FBD">
        <w:rPr>
          <w:rFonts w:asciiTheme="majorHAnsi" w:hAnsiTheme="majorHAnsi" w:cs="Cambria"/>
          <w:sz w:val="20"/>
          <w:szCs w:val="20"/>
        </w:rPr>
        <w:t xml:space="preserve">mantener el stock en </w:t>
      </w:r>
      <w:r w:rsidR="000D058C" w:rsidRPr="00767FBD">
        <w:rPr>
          <w:rFonts w:asciiTheme="majorHAnsi" w:hAnsiTheme="majorHAnsi" w:cs="Cambria"/>
          <w:sz w:val="20"/>
          <w:szCs w:val="20"/>
        </w:rPr>
        <w:t>e</w:t>
      </w:r>
      <w:r w:rsidRPr="00767FBD">
        <w:rPr>
          <w:rFonts w:asciiTheme="majorHAnsi" w:hAnsiTheme="majorHAnsi" w:cs="Cambria"/>
          <w:sz w:val="20"/>
          <w:szCs w:val="20"/>
        </w:rPr>
        <w:t xml:space="preserve">l cuadrante verde del diagrama de Kobe, con una probabilidad de al menos el 60 %, maximizando el rendimiento de la pesquería </w:t>
      </w:r>
      <w:r w:rsidR="000B2ECB" w:rsidRPr="00767FBD">
        <w:rPr>
          <w:rFonts w:asciiTheme="majorHAnsi" w:hAnsiTheme="majorHAnsi" w:cs="Cambria"/>
          <w:sz w:val="20"/>
          <w:szCs w:val="20"/>
        </w:rPr>
        <w:t xml:space="preserve">a largo plazo </w:t>
      </w:r>
      <w:r w:rsidRPr="00767FBD">
        <w:rPr>
          <w:rFonts w:asciiTheme="majorHAnsi" w:hAnsiTheme="majorHAnsi" w:cs="Cambria"/>
          <w:sz w:val="20"/>
          <w:szCs w:val="20"/>
        </w:rPr>
        <w:t>y</w:t>
      </w:r>
    </w:p>
    <w:p w14:paraId="0BCFEA7A" w14:textId="77777777" w:rsidR="007245D4" w:rsidRPr="00767FBD" w:rsidRDefault="007245D4" w:rsidP="00156F6F">
      <w:pPr>
        <w:pStyle w:val="ListParagraph"/>
        <w:autoSpaceDE w:val="0"/>
        <w:autoSpaceDN w:val="0"/>
        <w:adjustRightInd w:val="0"/>
        <w:spacing w:after="0"/>
        <w:ind w:left="1440"/>
        <w:jc w:val="both"/>
        <w:rPr>
          <w:rFonts w:asciiTheme="majorHAnsi" w:hAnsiTheme="majorHAnsi" w:cs="Cambria"/>
          <w:sz w:val="20"/>
          <w:szCs w:val="20"/>
        </w:rPr>
      </w:pPr>
    </w:p>
    <w:p w14:paraId="19062CCE" w14:textId="403FB7EE" w:rsidR="007245D4" w:rsidRPr="00767FBD" w:rsidRDefault="007245D4" w:rsidP="00331235">
      <w:pPr>
        <w:pStyle w:val="ListParagraph"/>
        <w:numPr>
          <w:ilvl w:val="0"/>
          <w:numId w:val="2"/>
        </w:numPr>
        <w:autoSpaceDE w:val="0"/>
        <w:autoSpaceDN w:val="0"/>
        <w:adjustRightInd w:val="0"/>
        <w:spacing w:after="0" w:line="240" w:lineRule="auto"/>
        <w:ind w:left="993" w:hanging="426"/>
        <w:jc w:val="both"/>
        <w:rPr>
          <w:rFonts w:asciiTheme="majorHAnsi" w:hAnsiTheme="majorHAnsi" w:cs="Cambria"/>
          <w:sz w:val="20"/>
          <w:szCs w:val="20"/>
        </w:rPr>
      </w:pPr>
      <w:r w:rsidRPr="00767FBD">
        <w:rPr>
          <w:rFonts w:asciiTheme="majorHAnsi" w:hAnsiTheme="majorHAnsi" w:cs="Cambria"/>
          <w:sz w:val="20"/>
          <w:szCs w:val="20"/>
        </w:rPr>
        <w:t>cuando el SCRS evalúe que el nivel de biomasa reproductora del stock (SSB) se sitúa por debajo del nivel capaz de producir el RMS (SSB</w:t>
      </w:r>
      <w:r w:rsidRPr="00767FBD">
        <w:rPr>
          <w:rFonts w:asciiTheme="majorHAnsi" w:hAnsiTheme="majorHAnsi" w:cs="Cambria"/>
          <w:sz w:val="20"/>
          <w:szCs w:val="20"/>
          <w:vertAlign w:val="subscript"/>
        </w:rPr>
        <w:t>RMS</w:t>
      </w:r>
      <w:r w:rsidRPr="00767FBD">
        <w:rPr>
          <w:rFonts w:asciiTheme="majorHAnsi" w:hAnsiTheme="majorHAnsi" w:cs="Cambria"/>
          <w:sz w:val="20"/>
          <w:szCs w:val="20"/>
        </w:rPr>
        <w:t>), recuperar la SSB hasta o por encima del nivel de SSB</w:t>
      </w:r>
      <w:r w:rsidR="000B2ECB" w:rsidRPr="00767FBD">
        <w:rPr>
          <w:rFonts w:asciiTheme="majorHAnsi" w:hAnsiTheme="majorHAnsi" w:cs="Cambria"/>
          <w:sz w:val="20"/>
          <w:szCs w:val="20"/>
          <w:vertAlign w:val="subscript"/>
        </w:rPr>
        <w:t>RMS</w:t>
      </w:r>
      <w:r w:rsidRPr="00767FBD">
        <w:rPr>
          <w:rFonts w:asciiTheme="majorHAnsi" w:hAnsiTheme="majorHAnsi" w:cs="Cambria"/>
          <w:sz w:val="20"/>
          <w:szCs w:val="20"/>
        </w:rPr>
        <w:t>, con una probabilidad de al menos el 60</w:t>
      </w:r>
      <w:r w:rsidR="00382C32" w:rsidRPr="00767FBD">
        <w:rPr>
          <w:rFonts w:asciiTheme="majorHAnsi" w:hAnsiTheme="majorHAnsi" w:cs="Cambria"/>
          <w:sz w:val="20"/>
          <w:szCs w:val="20"/>
        </w:rPr>
        <w:t xml:space="preserve"> </w:t>
      </w:r>
      <w:r w:rsidRPr="00767FBD">
        <w:rPr>
          <w:rFonts w:asciiTheme="majorHAnsi" w:hAnsiTheme="majorHAnsi" w:cs="Cambria"/>
          <w:sz w:val="20"/>
          <w:szCs w:val="20"/>
        </w:rPr>
        <w:t>%, en el periodo de tiempo más breve posible, maximizando la captura media y minimizando las fluctuaciones interanuales en los niveles de TAC.</w:t>
      </w:r>
    </w:p>
    <w:p w14:paraId="611B6A20" w14:textId="57B81FD9" w:rsidR="00780A6D" w:rsidRPr="00767FBD" w:rsidRDefault="00780A6D" w:rsidP="00780A6D">
      <w:pPr>
        <w:pStyle w:val="ListParagraph"/>
        <w:autoSpaceDE w:val="0"/>
        <w:autoSpaceDN w:val="0"/>
        <w:adjustRightInd w:val="0"/>
        <w:spacing w:after="0"/>
        <w:ind w:left="1440"/>
        <w:rPr>
          <w:rFonts w:asciiTheme="majorHAnsi" w:hAnsiTheme="majorHAnsi" w:cs="Cambria"/>
          <w:sz w:val="20"/>
          <w:szCs w:val="20"/>
        </w:rPr>
      </w:pPr>
    </w:p>
    <w:p w14:paraId="51C4C4D6" w14:textId="77777777" w:rsidR="001640D5" w:rsidRPr="00767FBD" w:rsidRDefault="001640D5">
      <w:pPr>
        <w:rPr>
          <w:rFonts w:asciiTheme="majorHAnsi" w:hAnsiTheme="majorHAnsi"/>
          <w:b/>
          <w:bCs/>
          <w:sz w:val="20"/>
          <w:szCs w:val="20"/>
        </w:rPr>
      </w:pPr>
      <w:r w:rsidRPr="00767FBD">
        <w:rPr>
          <w:rFonts w:asciiTheme="majorHAnsi" w:hAnsiTheme="majorHAnsi"/>
          <w:b/>
          <w:bCs/>
          <w:sz w:val="20"/>
          <w:szCs w:val="20"/>
        </w:rPr>
        <w:br w:type="page"/>
      </w:r>
    </w:p>
    <w:p w14:paraId="5D43C5A6" w14:textId="6A76270B" w:rsidR="00DB3EBE" w:rsidRPr="00767FBD" w:rsidRDefault="00DB3EBE" w:rsidP="00DB3EBE">
      <w:pPr>
        <w:autoSpaceDE w:val="0"/>
        <w:autoSpaceDN w:val="0"/>
        <w:adjustRightInd w:val="0"/>
        <w:spacing w:after="0"/>
        <w:jc w:val="center"/>
        <w:rPr>
          <w:rFonts w:asciiTheme="majorHAnsi" w:hAnsiTheme="majorHAnsi" w:cs="Cambria"/>
          <w:sz w:val="20"/>
          <w:szCs w:val="20"/>
        </w:rPr>
      </w:pPr>
      <w:r w:rsidRPr="00767FBD">
        <w:rPr>
          <w:rFonts w:asciiTheme="majorHAnsi" w:hAnsiTheme="majorHAnsi"/>
          <w:b/>
          <w:bCs/>
          <w:sz w:val="20"/>
          <w:szCs w:val="20"/>
        </w:rPr>
        <w:lastRenderedPageBreak/>
        <w:t>PARTE II</w:t>
      </w:r>
    </w:p>
    <w:p w14:paraId="0C024A79" w14:textId="189D7477" w:rsidR="00DB3EBE" w:rsidRPr="00767FBD" w:rsidRDefault="00027C7B" w:rsidP="00DB3EBE">
      <w:pPr>
        <w:autoSpaceDE w:val="0"/>
        <w:autoSpaceDN w:val="0"/>
        <w:adjustRightInd w:val="0"/>
        <w:spacing w:after="0"/>
        <w:jc w:val="center"/>
        <w:rPr>
          <w:rFonts w:ascii="Cambria" w:hAnsi="Cambria"/>
          <w:b/>
          <w:bCs/>
          <w:sz w:val="20"/>
          <w:szCs w:val="20"/>
        </w:rPr>
      </w:pPr>
      <w:r w:rsidRPr="00767FBD">
        <w:rPr>
          <w:rFonts w:ascii="Cambria" w:hAnsi="Cambria"/>
          <w:b/>
          <w:bCs/>
          <w:sz w:val="20"/>
          <w:szCs w:val="20"/>
        </w:rPr>
        <w:t xml:space="preserve">PROCEDIMIENTO DE ORDENACIÓN Y CIRCUNSTANCIAS EXCPECIONALES </w:t>
      </w:r>
    </w:p>
    <w:p w14:paraId="6B89C3EF" w14:textId="77777777" w:rsidR="000B2ECB" w:rsidRPr="00767FBD" w:rsidRDefault="000B2ECB" w:rsidP="00DB3EBE">
      <w:pPr>
        <w:autoSpaceDE w:val="0"/>
        <w:autoSpaceDN w:val="0"/>
        <w:adjustRightInd w:val="0"/>
        <w:spacing w:after="0"/>
        <w:jc w:val="center"/>
        <w:rPr>
          <w:rFonts w:ascii="Cambria" w:hAnsi="Cambria" w:cs="Cambria"/>
          <w:b/>
          <w:bCs/>
          <w:sz w:val="20"/>
          <w:szCs w:val="20"/>
        </w:rPr>
      </w:pPr>
    </w:p>
    <w:p w14:paraId="3283B1AA" w14:textId="7DB83850" w:rsidR="000B2ECB" w:rsidRPr="00767FBD" w:rsidRDefault="000B2ECB" w:rsidP="00331235">
      <w:pPr>
        <w:pStyle w:val="ListParagraph"/>
        <w:numPr>
          <w:ilvl w:val="0"/>
          <w:numId w:val="30"/>
        </w:numPr>
        <w:autoSpaceDE w:val="0"/>
        <w:autoSpaceDN w:val="0"/>
        <w:adjustRightInd w:val="0"/>
        <w:spacing w:after="76"/>
        <w:ind w:left="567" w:hanging="567"/>
        <w:jc w:val="both"/>
        <w:rPr>
          <w:rFonts w:ascii="Cambria" w:hAnsi="Cambria" w:cs="Cambria"/>
          <w:sz w:val="20"/>
          <w:szCs w:val="20"/>
        </w:rPr>
      </w:pPr>
      <w:r w:rsidRPr="00767FBD">
        <w:rPr>
          <w:rFonts w:ascii="Cambria" w:hAnsi="Cambria" w:cs="Cambria"/>
          <w:sz w:val="20"/>
          <w:szCs w:val="20"/>
        </w:rPr>
        <w:t xml:space="preserve">Los componentes del MP se establecen en el </w:t>
      </w:r>
      <w:r w:rsidR="00382C32" w:rsidRPr="00767FBD">
        <w:rPr>
          <w:rFonts w:ascii="Cambria" w:hAnsi="Cambria" w:cs="Cambria"/>
          <w:b/>
          <w:bCs/>
          <w:sz w:val="20"/>
          <w:szCs w:val="20"/>
        </w:rPr>
        <w:t xml:space="preserve">Anexo </w:t>
      </w:r>
      <w:r w:rsidR="00B9292F" w:rsidRPr="00767FBD">
        <w:rPr>
          <w:rFonts w:ascii="Cambria" w:hAnsi="Cambria" w:cs="Cambria"/>
          <w:b/>
          <w:bCs/>
          <w:sz w:val="20"/>
          <w:szCs w:val="20"/>
        </w:rPr>
        <w:t>1</w:t>
      </w:r>
      <w:r w:rsidRPr="00767FBD">
        <w:rPr>
          <w:rFonts w:ascii="Cambria" w:hAnsi="Cambria" w:cs="Cambria"/>
          <w:sz w:val="20"/>
          <w:szCs w:val="20"/>
        </w:rPr>
        <w:t xml:space="preserve"> y en los </w:t>
      </w:r>
      <w:r w:rsidRPr="00767FBD">
        <w:rPr>
          <w:rFonts w:ascii="Cambria" w:hAnsi="Cambria" w:cs="Cambria"/>
          <w:b/>
          <w:bCs/>
          <w:sz w:val="20"/>
          <w:szCs w:val="20"/>
        </w:rPr>
        <w:t>Apéndices</w:t>
      </w:r>
      <w:r w:rsidRPr="00767FBD">
        <w:rPr>
          <w:rFonts w:ascii="Cambria" w:hAnsi="Cambria" w:cs="Cambria"/>
          <w:sz w:val="20"/>
          <w:szCs w:val="20"/>
        </w:rPr>
        <w:t xml:space="preserve"> relacionados.</w:t>
      </w:r>
    </w:p>
    <w:p w14:paraId="719D1024" w14:textId="77777777" w:rsidR="000B2ECB" w:rsidRPr="00767FBD" w:rsidRDefault="000B2ECB" w:rsidP="000B2ECB">
      <w:pPr>
        <w:pStyle w:val="ListParagraph"/>
        <w:autoSpaceDE w:val="0"/>
        <w:autoSpaceDN w:val="0"/>
        <w:adjustRightInd w:val="0"/>
        <w:spacing w:after="76"/>
        <w:ind w:left="360"/>
        <w:jc w:val="both"/>
        <w:rPr>
          <w:rFonts w:ascii="Cambria" w:hAnsi="Cambria" w:cs="Cambria"/>
          <w:sz w:val="20"/>
          <w:szCs w:val="20"/>
        </w:rPr>
      </w:pPr>
    </w:p>
    <w:p w14:paraId="03160A3A" w14:textId="3CAA6ADF" w:rsidR="00A5323E" w:rsidRPr="00767FBD" w:rsidRDefault="000B2ECB" w:rsidP="00331235">
      <w:pPr>
        <w:pStyle w:val="ListParagraph"/>
        <w:numPr>
          <w:ilvl w:val="0"/>
          <w:numId w:val="30"/>
        </w:numPr>
        <w:autoSpaceDE w:val="0"/>
        <w:autoSpaceDN w:val="0"/>
        <w:adjustRightInd w:val="0"/>
        <w:spacing w:after="76"/>
        <w:ind w:left="567" w:hanging="567"/>
        <w:jc w:val="both"/>
        <w:rPr>
          <w:rFonts w:ascii="Cambria" w:hAnsi="Cambria" w:cs="Cambria"/>
          <w:sz w:val="20"/>
          <w:szCs w:val="20"/>
        </w:rPr>
      </w:pPr>
      <w:r w:rsidRPr="00767FBD">
        <w:rPr>
          <w:rFonts w:ascii="Cambria" w:hAnsi="Cambria" w:cs="Cambria"/>
          <w:sz w:val="20"/>
          <w:szCs w:val="20"/>
        </w:rPr>
        <w:t xml:space="preserve">El SCRS evaluará la aparición de circunstancias excepcionales (EC) y la Comisión actuará de acuerdo con el Protocolo sobre circunstancias excepcionales que figura en el </w:t>
      </w:r>
      <w:r w:rsidR="00382C32" w:rsidRPr="00767FBD">
        <w:rPr>
          <w:rFonts w:ascii="Cambria" w:hAnsi="Cambria" w:cs="Cambria"/>
          <w:b/>
          <w:bCs/>
          <w:sz w:val="20"/>
          <w:szCs w:val="20"/>
        </w:rPr>
        <w:t xml:space="preserve">Anexo </w:t>
      </w:r>
      <w:r w:rsidR="00B9292F" w:rsidRPr="00767FBD">
        <w:rPr>
          <w:rFonts w:ascii="Cambria" w:hAnsi="Cambria" w:cs="Cambria"/>
          <w:b/>
          <w:bCs/>
          <w:sz w:val="20"/>
          <w:szCs w:val="20"/>
        </w:rPr>
        <w:t>2</w:t>
      </w:r>
      <w:r w:rsidRPr="00767FBD">
        <w:rPr>
          <w:rFonts w:ascii="Cambria" w:hAnsi="Cambria" w:cs="Cambria"/>
          <w:b/>
          <w:bCs/>
          <w:sz w:val="20"/>
          <w:szCs w:val="20"/>
        </w:rPr>
        <w:t>.</w:t>
      </w:r>
      <w:r w:rsidR="00A5323E" w:rsidRPr="00767FBD">
        <w:rPr>
          <w:rFonts w:ascii="Cambria" w:hAnsi="Cambria"/>
          <w:sz w:val="20"/>
          <w:szCs w:val="20"/>
        </w:rPr>
        <w:t xml:space="preserve"> </w:t>
      </w:r>
    </w:p>
    <w:p w14:paraId="14ABF00C" w14:textId="77777777" w:rsidR="00F10DA9" w:rsidRPr="00767FBD" w:rsidRDefault="00F10DA9" w:rsidP="00F10DA9">
      <w:pPr>
        <w:pStyle w:val="ListParagraph"/>
        <w:autoSpaceDE w:val="0"/>
        <w:autoSpaceDN w:val="0"/>
        <w:adjustRightInd w:val="0"/>
        <w:spacing w:after="0"/>
        <w:rPr>
          <w:rFonts w:asciiTheme="majorHAnsi" w:hAnsiTheme="majorHAnsi" w:cs="Cambria"/>
          <w:sz w:val="20"/>
          <w:szCs w:val="20"/>
        </w:rPr>
      </w:pPr>
    </w:p>
    <w:p w14:paraId="5546B882" w14:textId="6FFFA766" w:rsidR="00F10DA9" w:rsidRPr="00767FBD" w:rsidRDefault="00F10DA9" w:rsidP="00F10DA9">
      <w:pPr>
        <w:autoSpaceDE w:val="0"/>
        <w:autoSpaceDN w:val="0"/>
        <w:adjustRightInd w:val="0"/>
        <w:spacing w:after="0" w:line="240" w:lineRule="auto"/>
        <w:jc w:val="center"/>
        <w:rPr>
          <w:rFonts w:ascii="Cambria" w:hAnsi="Cambria" w:cs="Cambria"/>
          <w:sz w:val="20"/>
          <w:szCs w:val="20"/>
        </w:rPr>
      </w:pPr>
      <w:r w:rsidRPr="00767FBD">
        <w:rPr>
          <w:rFonts w:ascii="Cambria" w:hAnsi="Cambria"/>
          <w:b/>
          <w:bCs/>
          <w:sz w:val="20"/>
          <w:szCs w:val="20"/>
        </w:rPr>
        <w:t>PART</w:t>
      </w:r>
      <w:r w:rsidR="00382C32" w:rsidRPr="00767FBD">
        <w:rPr>
          <w:rFonts w:ascii="Cambria" w:hAnsi="Cambria"/>
          <w:b/>
          <w:bCs/>
          <w:sz w:val="20"/>
          <w:szCs w:val="20"/>
        </w:rPr>
        <w:t>E</w:t>
      </w:r>
      <w:r w:rsidRPr="00767FBD">
        <w:rPr>
          <w:rFonts w:ascii="Cambria" w:hAnsi="Cambria"/>
          <w:b/>
          <w:bCs/>
          <w:sz w:val="20"/>
          <w:szCs w:val="20"/>
        </w:rPr>
        <w:t xml:space="preserve"> III</w:t>
      </w:r>
    </w:p>
    <w:p w14:paraId="15212979" w14:textId="7B57D06A" w:rsidR="00F10DA9" w:rsidRPr="00767FBD" w:rsidRDefault="00382C32" w:rsidP="00F10DA9">
      <w:pPr>
        <w:autoSpaceDE w:val="0"/>
        <w:autoSpaceDN w:val="0"/>
        <w:adjustRightInd w:val="0"/>
        <w:spacing w:after="0" w:line="240" w:lineRule="auto"/>
        <w:jc w:val="center"/>
        <w:rPr>
          <w:rFonts w:ascii="Cambria" w:hAnsi="Cambria" w:cs="Cambria"/>
          <w:b/>
          <w:bCs/>
          <w:sz w:val="20"/>
          <w:szCs w:val="20"/>
        </w:rPr>
      </w:pPr>
      <w:r w:rsidRPr="00767FBD">
        <w:rPr>
          <w:rFonts w:ascii="Cambria" w:hAnsi="Cambria"/>
          <w:b/>
          <w:bCs/>
          <w:sz w:val="20"/>
          <w:szCs w:val="20"/>
        </w:rPr>
        <w:t>LÍMITES DE CAPTURA</w:t>
      </w:r>
    </w:p>
    <w:p w14:paraId="61FC217F" w14:textId="77777777" w:rsidR="00F10DA9" w:rsidRPr="00767FBD" w:rsidRDefault="00F10DA9" w:rsidP="00F10DA9">
      <w:pPr>
        <w:autoSpaceDE w:val="0"/>
        <w:autoSpaceDN w:val="0"/>
        <w:adjustRightInd w:val="0"/>
        <w:spacing w:after="0" w:line="240" w:lineRule="auto"/>
        <w:jc w:val="center"/>
        <w:rPr>
          <w:rFonts w:ascii="Cambria" w:hAnsi="Cambria" w:cs="Cambria"/>
          <w:sz w:val="20"/>
          <w:szCs w:val="20"/>
        </w:rPr>
      </w:pPr>
    </w:p>
    <w:p w14:paraId="3440BD0E" w14:textId="70D2C653" w:rsidR="00F10DA9" w:rsidRPr="00767FBD" w:rsidRDefault="00F10DA9" w:rsidP="00F10DA9">
      <w:pPr>
        <w:autoSpaceDE w:val="0"/>
        <w:autoSpaceDN w:val="0"/>
        <w:adjustRightInd w:val="0"/>
        <w:spacing w:after="0" w:line="240" w:lineRule="auto"/>
        <w:rPr>
          <w:rFonts w:ascii="Cambria" w:hAnsi="Cambria" w:cs="Cambria"/>
          <w:b/>
          <w:bCs/>
          <w:i/>
          <w:iCs/>
          <w:sz w:val="20"/>
          <w:szCs w:val="20"/>
        </w:rPr>
      </w:pPr>
      <w:r w:rsidRPr="00767FBD">
        <w:rPr>
          <w:rFonts w:ascii="Cambria" w:hAnsi="Cambria"/>
          <w:b/>
          <w:bCs/>
          <w:i/>
          <w:iCs/>
          <w:sz w:val="20"/>
          <w:szCs w:val="20"/>
        </w:rPr>
        <w:t xml:space="preserve">Total </w:t>
      </w:r>
      <w:r w:rsidR="00382C32" w:rsidRPr="00767FBD">
        <w:rPr>
          <w:rFonts w:ascii="Cambria" w:hAnsi="Cambria"/>
          <w:b/>
          <w:bCs/>
          <w:i/>
          <w:iCs/>
          <w:sz w:val="20"/>
          <w:szCs w:val="20"/>
        </w:rPr>
        <w:t>admisible</w:t>
      </w:r>
      <w:r w:rsidR="000B2ECB" w:rsidRPr="00767FBD">
        <w:rPr>
          <w:rFonts w:ascii="Cambria" w:hAnsi="Cambria"/>
          <w:b/>
          <w:bCs/>
          <w:i/>
          <w:iCs/>
          <w:sz w:val="20"/>
          <w:szCs w:val="20"/>
        </w:rPr>
        <w:t xml:space="preserve"> de captura</w:t>
      </w:r>
      <w:r w:rsidRPr="00767FBD">
        <w:rPr>
          <w:rFonts w:ascii="Cambria" w:hAnsi="Cambria"/>
          <w:b/>
          <w:bCs/>
          <w:i/>
          <w:iCs/>
          <w:sz w:val="20"/>
          <w:szCs w:val="20"/>
        </w:rPr>
        <w:t xml:space="preserve"> </w:t>
      </w:r>
      <w:r w:rsidR="000B2ECB" w:rsidRPr="00767FBD">
        <w:rPr>
          <w:rFonts w:ascii="Cambria" w:hAnsi="Cambria"/>
          <w:b/>
          <w:bCs/>
          <w:i/>
          <w:iCs/>
          <w:sz w:val="20"/>
          <w:szCs w:val="20"/>
        </w:rPr>
        <w:t>y límites de captura</w:t>
      </w:r>
      <w:r w:rsidRPr="00767FBD">
        <w:rPr>
          <w:rFonts w:ascii="Cambria" w:hAnsi="Cambria"/>
          <w:b/>
          <w:bCs/>
          <w:i/>
          <w:iCs/>
          <w:sz w:val="20"/>
          <w:szCs w:val="20"/>
        </w:rPr>
        <w:t xml:space="preserve"> </w:t>
      </w:r>
    </w:p>
    <w:p w14:paraId="148EAA3C" w14:textId="77777777" w:rsidR="00F10DA9" w:rsidRPr="00767FBD" w:rsidRDefault="00F10DA9" w:rsidP="00F10DA9">
      <w:pPr>
        <w:autoSpaceDE w:val="0"/>
        <w:autoSpaceDN w:val="0"/>
        <w:adjustRightInd w:val="0"/>
        <w:spacing w:after="0" w:line="240" w:lineRule="auto"/>
        <w:rPr>
          <w:rFonts w:ascii="Cambria" w:hAnsi="Cambria" w:cs="Cambria"/>
          <w:sz w:val="20"/>
          <w:szCs w:val="20"/>
        </w:rPr>
      </w:pPr>
    </w:p>
    <w:p w14:paraId="3B1E7AC4" w14:textId="028AE2FC" w:rsidR="00A85F6E" w:rsidRPr="00767FBD" w:rsidRDefault="000B2ECB" w:rsidP="00331235">
      <w:pPr>
        <w:pStyle w:val="ListParagraph"/>
        <w:numPr>
          <w:ilvl w:val="0"/>
          <w:numId w:val="30"/>
        </w:numPr>
        <w:autoSpaceDE w:val="0"/>
        <w:autoSpaceDN w:val="0"/>
        <w:adjustRightInd w:val="0"/>
        <w:spacing w:after="76"/>
        <w:ind w:left="567" w:hanging="567"/>
        <w:jc w:val="both"/>
        <w:rPr>
          <w:rFonts w:ascii="Cambria" w:hAnsi="Cambria" w:cs="Cambria"/>
          <w:sz w:val="20"/>
          <w:szCs w:val="20"/>
        </w:rPr>
      </w:pPr>
      <w:r w:rsidRPr="00767FBD">
        <w:rPr>
          <w:rFonts w:ascii="Cambria" w:hAnsi="Cambria" w:cs="Cambria"/>
          <w:sz w:val="20"/>
          <w:szCs w:val="20"/>
        </w:rPr>
        <w:t xml:space="preserve">El procedimiento para el establecimiento del TAC anual constante de tres años figura en el </w:t>
      </w:r>
      <w:r w:rsidR="00382C32" w:rsidRPr="00767FBD">
        <w:rPr>
          <w:rFonts w:ascii="Cambria" w:hAnsi="Cambria" w:cs="Cambria"/>
          <w:b/>
          <w:bCs/>
          <w:sz w:val="20"/>
          <w:szCs w:val="20"/>
        </w:rPr>
        <w:t xml:space="preserve">Anexo </w:t>
      </w:r>
      <w:r w:rsidR="00B9292F" w:rsidRPr="00767FBD">
        <w:rPr>
          <w:rFonts w:ascii="Cambria" w:hAnsi="Cambria" w:cs="Cambria"/>
          <w:b/>
          <w:bCs/>
          <w:sz w:val="20"/>
          <w:szCs w:val="20"/>
        </w:rPr>
        <w:t>3</w:t>
      </w:r>
      <w:r w:rsidRPr="00767FBD">
        <w:rPr>
          <w:rFonts w:ascii="Cambria" w:hAnsi="Cambria" w:cs="Cambria"/>
          <w:b/>
          <w:bCs/>
          <w:sz w:val="20"/>
          <w:szCs w:val="20"/>
        </w:rPr>
        <w:t>.</w:t>
      </w:r>
      <w:r w:rsidR="00780A6D" w:rsidRPr="00767FBD">
        <w:rPr>
          <w:rFonts w:ascii="Cambria" w:hAnsi="Cambria" w:cs="Cambria"/>
          <w:sz w:val="20"/>
          <w:szCs w:val="20"/>
        </w:rPr>
        <w:t xml:space="preserve"> </w:t>
      </w:r>
    </w:p>
    <w:p w14:paraId="52E45DC1" w14:textId="77777777" w:rsidR="000B2ECB" w:rsidRPr="00767FBD" w:rsidRDefault="000B2ECB" w:rsidP="000B2ECB">
      <w:pPr>
        <w:pStyle w:val="ListParagraph"/>
        <w:autoSpaceDE w:val="0"/>
        <w:autoSpaceDN w:val="0"/>
        <w:adjustRightInd w:val="0"/>
        <w:spacing w:after="76"/>
        <w:ind w:left="360"/>
        <w:jc w:val="both"/>
        <w:rPr>
          <w:rFonts w:ascii="Cambria" w:hAnsi="Cambria" w:cs="Cambria"/>
          <w:sz w:val="20"/>
          <w:szCs w:val="20"/>
        </w:rPr>
      </w:pPr>
    </w:p>
    <w:p w14:paraId="11165CA8" w14:textId="0322B48F" w:rsidR="00A85F6E" w:rsidRPr="00767FBD" w:rsidRDefault="00FA79C5" w:rsidP="00331235">
      <w:pPr>
        <w:pStyle w:val="ListParagraph"/>
        <w:numPr>
          <w:ilvl w:val="0"/>
          <w:numId w:val="30"/>
        </w:numPr>
        <w:autoSpaceDE w:val="0"/>
        <w:autoSpaceDN w:val="0"/>
        <w:adjustRightInd w:val="0"/>
        <w:spacing w:after="76"/>
        <w:ind w:left="567" w:hanging="567"/>
        <w:jc w:val="both"/>
        <w:rPr>
          <w:rFonts w:ascii="Cambria" w:hAnsi="Cambria" w:cs="Cambria"/>
          <w:sz w:val="20"/>
          <w:szCs w:val="20"/>
        </w:rPr>
      </w:pPr>
      <w:r w:rsidRPr="00767FBD">
        <w:rPr>
          <w:rFonts w:ascii="Cambria" w:hAnsi="Cambria"/>
          <w:sz w:val="20"/>
          <w:szCs w:val="20"/>
        </w:rPr>
        <w:t xml:space="preserve">De acuerdo con la aplicación de los procedimientos establecidos en el </w:t>
      </w:r>
      <w:r w:rsidR="00382C32" w:rsidRPr="00767FBD">
        <w:rPr>
          <w:rFonts w:ascii="Cambria" w:hAnsi="Cambria"/>
          <w:b/>
          <w:bCs/>
          <w:sz w:val="20"/>
          <w:szCs w:val="20"/>
        </w:rPr>
        <w:t xml:space="preserve">Anexo </w:t>
      </w:r>
      <w:r w:rsidR="00B9292F" w:rsidRPr="00767FBD">
        <w:rPr>
          <w:rFonts w:ascii="Cambria" w:hAnsi="Cambria"/>
          <w:b/>
          <w:bCs/>
          <w:sz w:val="20"/>
          <w:szCs w:val="20"/>
        </w:rPr>
        <w:t>1</w:t>
      </w:r>
      <w:r w:rsidRPr="00767FBD">
        <w:rPr>
          <w:rFonts w:ascii="Cambria" w:hAnsi="Cambria"/>
          <w:b/>
          <w:bCs/>
          <w:sz w:val="20"/>
          <w:szCs w:val="20"/>
        </w:rPr>
        <w:t xml:space="preserve"> </w:t>
      </w:r>
      <w:r w:rsidRPr="00767FBD">
        <w:rPr>
          <w:rFonts w:ascii="Cambria" w:hAnsi="Cambria"/>
          <w:sz w:val="20"/>
          <w:szCs w:val="20"/>
        </w:rPr>
        <w:t xml:space="preserve">y </w:t>
      </w:r>
      <w:r w:rsidRPr="00767FBD">
        <w:rPr>
          <w:rFonts w:ascii="Cambria" w:hAnsi="Cambria"/>
          <w:b/>
          <w:bCs/>
          <w:sz w:val="20"/>
          <w:szCs w:val="20"/>
        </w:rPr>
        <w:t xml:space="preserve">el </w:t>
      </w:r>
      <w:r w:rsidR="00382C32" w:rsidRPr="00767FBD">
        <w:rPr>
          <w:rFonts w:ascii="Cambria" w:hAnsi="Cambria"/>
          <w:b/>
          <w:bCs/>
          <w:sz w:val="20"/>
          <w:szCs w:val="20"/>
        </w:rPr>
        <w:t xml:space="preserve">Anexo </w:t>
      </w:r>
      <w:r w:rsidR="00B9292F" w:rsidRPr="00767FBD">
        <w:rPr>
          <w:rFonts w:ascii="Cambria" w:hAnsi="Cambria"/>
          <w:b/>
          <w:bCs/>
          <w:sz w:val="20"/>
          <w:szCs w:val="20"/>
        </w:rPr>
        <w:t>3</w:t>
      </w:r>
      <w:r w:rsidRPr="00767FBD">
        <w:rPr>
          <w:rFonts w:ascii="Cambria" w:hAnsi="Cambria"/>
          <w:b/>
          <w:bCs/>
          <w:sz w:val="20"/>
          <w:szCs w:val="20"/>
        </w:rPr>
        <w:t>,</w:t>
      </w:r>
      <w:r w:rsidRPr="00767FBD">
        <w:rPr>
          <w:rFonts w:ascii="Cambria" w:hAnsi="Cambria"/>
          <w:sz w:val="20"/>
          <w:szCs w:val="20"/>
        </w:rPr>
        <w:t xml:space="preserve"> se establece un TAC anual constante de 37.801 t para el periodo </w:t>
      </w:r>
      <w:r w:rsidR="00B9292F" w:rsidRPr="00767FBD">
        <w:rPr>
          <w:rFonts w:ascii="Cambria" w:hAnsi="Cambria"/>
          <w:sz w:val="20"/>
          <w:szCs w:val="20"/>
        </w:rPr>
        <w:t xml:space="preserve">de </w:t>
      </w:r>
      <w:r w:rsidRPr="00767FBD">
        <w:rPr>
          <w:rFonts w:ascii="Cambria" w:hAnsi="Cambria"/>
          <w:sz w:val="20"/>
          <w:szCs w:val="20"/>
        </w:rPr>
        <w:t xml:space="preserve">ordenación </w:t>
      </w:r>
      <w:r w:rsidR="00B9292F" w:rsidRPr="00767FBD">
        <w:rPr>
          <w:rFonts w:ascii="Cambria" w:hAnsi="Cambria"/>
          <w:sz w:val="20"/>
          <w:szCs w:val="20"/>
        </w:rPr>
        <w:t xml:space="preserve">de </w:t>
      </w:r>
      <w:r w:rsidRPr="00767FBD">
        <w:rPr>
          <w:rFonts w:ascii="Cambria" w:hAnsi="Cambria"/>
          <w:sz w:val="20"/>
          <w:szCs w:val="20"/>
        </w:rPr>
        <w:t>2022-2023. Este TAC anual se asignará del siguiente modo:</w:t>
      </w:r>
      <w:r w:rsidR="009C4F7F" w:rsidRPr="00767FBD">
        <w:rPr>
          <w:rFonts w:ascii="Cambria" w:hAnsi="Cambria"/>
          <w:sz w:val="20"/>
          <w:szCs w:val="20"/>
        </w:rPr>
        <w:t xml:space="preserve"> </w:t>
      </w:r>
    </w:p>
    <w:p w14:paraId="6ECAFA73" w14:textId="77777777" w:rsidR="00A85F6E" w:rsidRPr="00767FBD" w:rsidRDefault="00A85F6E" w:rsidP="00A85F6E">
      <w:pPr>
        <w:autoSpaceDE w:val="0"/>
        <w:autoSpaceDN w:val="0"/>
        <w:adjustRightInd w:val="0"/>
        <w:spacing w:after="0" w:line="240" w:lineRule="auto"/>
        <w:rPr>
          <w:rFonts w:ascii="Cambria" w:hAnsi="Cambria" w:cs="Cambria"/>
          <w:sz w:val="20"/>
          <w:szCs w:val="20"/>
        </w:rPr>
      </w:pPr>
    </w:p>
    <w:tbl>
      <w:tblPr>
        <w:tblStyle w:val="TableGrid"/>
        <w:tblW w:w="0" w:type="auto"/>
        <w:jc w:val="center"/>
        <w:tblLook w:val="04A0" w:firstRow="1" w:lastRow="0" w:firstColumn="1" w:lastColumn="0" w:noHBand="0" w:noVBand="1"/>
      </w:tblPr>
      <w:tblGrid>
        <w:gridCol w:w="1850"/>
        <w:gridCol w:w="2037"/>
      </w:tblGrid>
      <w:tr w:rsidR="0035444C" w:rsidRPr="00767FBD" w14:paraId="73AB04B5" w14:textId="0D7352FC" w:rsidTr="00B9292F">
        <w:trPr>
          <w:jc w:val="center"/>
        </w:trPr>
        <w:tc>
          <w:tcPr>
            <w:tcW w:w="1850" w:type="dxa"/>
          </w:tcPr>
          <w:p w14:paraId="26F70C1F" w14:textId="3EC786C6" w:rsidR="00BB5EAF" w:rsidRPr="00767FBD" w:rsidRDefault="00BB5EAF" w:rsidP="00A85F6E">
            <w:pPr>
              <w:autoSpaceDE w:val="0"/>
              <w:autoSpaceDN w:val="0"/>
              <w:adjustRightInd w:val="0"/>
              <w:rPr>
                <w:rFonts w:ascii="Cambria" w:hAnsi="Cambria" w:cs="Cambria"/>
                <w:i/>
                <w:iCs/>
                <w:sz w:val="20"/>
                <w:szCs w:val="20"/>
              </w:rPr>
            </w:pPr>
            <w:r w:rsidRPr="00767FBD">
              <w:rPr>
                <w:rFonts w:ascii="Cambria" w:hAnsi="Cambria"/>
                <w:i/>
                <w:iCs/>
                <w:sz w:val="20"/>
                <w:szCs w:val="20"/>
              </w:rPr>
              <w:t>CPC</w:t>
            </w:r>
          </w:p>
        </w:tc>
        <w:tc>
          <w:tcPr>
            <w:tcW w:w="2037" w:type="dxa"/>
          </w:tcPr>
          <w:p w14:paraId="6E98B6D5" w14:textId="3FF7C7A4" w:rsidR="00BB5EAF" w:rsidRPr="00767FBD" w:rsidRDefault="00BB5EAF" w:rsidP="0021193F">
            <w:pPr>
              <w:autoSpaceDE w:val="0"/>
              <w:autoSpaceDN w:val="0"/>
              <w:adjustRightInd w:val="0"/>
              <w:jc w:val="center"/>
              <w:rPr>
                <w:rFonts w:ascii="Cambria" w:hAnsi="Cambria" w:cs="Cambria"/>
                <w:i/>
                <w:iCs/>
                <w:sz w:val="20"/>
                <w:szCs w:val="20"/>
              </w:rPr>
            </w:pPr>
            <w:r w:rsidRPr="00767FBD">
              <w:rPr>
                <w:rFonts w:ascii="Cambria" w:hAnsi="Cambria"/>
                <w:i/>
                <w:iCs/>
                <w:sz w:val="20"/>
                <w:szCs w:val="20"/>
              </w:rPr>
              <w:t>Cuota (t) para el período 2022-2023</w:t>
            </w:r>
          </w:p>
        </w:tc>
      </w:tr>
      <w:tr w:rsidR="0035444C" w:rsidRPr="00767FBD" w14:paraId="1FFF29FD" w14:textId="5B4D72E9" w:rsidTr="00B9292F">
        <w:trPr>
          <w:jc w:val="center"/>
        </w:trPr>
        <w:tc>
          <w:tcPr>
            <w:tcW w:w="1850" w:type="dxa"/>
          </w:tcPr>
          <w:p w14:paraId="02E0935C" w14:textId="26FA2FB9" w:rsidR="00BB5EAF" w:rsidRPr="00767FBD" w:rsidRDefault="00BB5EAF" w:rsidP="00FA79C5">
            <w:pPr>
              <w:autoSpaceDE w:val="0"/>
              <w:autoSpaceDN w:val="0"/>
              <w:adjustRightInd w:val="0"/>
              <w:rPr>
                <w:rFonts w:asciiTheme="majorHAnsi" w:hAnsiTheme="majorHAnsi" w:cs="Cambria"/>
                <w:sz w:val="20"/>
                <w:szCs w:val="20"/>
              </w:rPr>
            </w:pPr>
            <w:r w:rsidRPr="00767FBD">
              <w:rPr>
                <w:rFonts w:asciiTheme="majorHAnsi" w:hAnsiTheme="majorHAnsi"/>
                <w:sz w:val="20"/>
                <w:szCs w:val="20"/>
              </w:rPr>
              <w:t>Unión Europea</w:t>
            </w:r>
          </w:p>
        </w:tc>
        <w:tc>
          <w:tcPr>
            <w:tcW w:w="2037" w:type="dxa"/>
          </w:tcPr>
          <w:p w14:paraId="7C81F0C8" w14:textId="5DFDCFE4" w:rsidR="00BB5EAF" w:rsidRPr="00767FBD" w:rsidRDefault="00BB5EAF" w:rsidP="00FA79C5">
            <w:pPr>
              <w:autoSpaceDE w:val="0"/>
              <w:autoSpaceDN w:val="0"/>
              <w:adjustRightInd w:val="0"/>
              <w:jc w:val="center"/>
              <w:rPr>
                <w:rFonts w:ascii="Cambria" w:hAnsi="Cambria" w:cs="Cambria"/>
                <w:sz w:val="20"/>
                <w:szCs w:val="20"/>
              </w:rPr>
            </w:pPr>
            <w:r w:rsidRPr="00767FBD">
              <w:rPr>
                <w:rFonts w:ascii="Cambria" w:hAnsi="Cambria"/>
                <w:sz w:val="20"/>
                <w:szCs w:val="20"/>
              </w:rPr>
              <w:t>29.095,1</w:t>
            </w:r>
          </w:p>
        </w:tc>
      </w:tr>
      <w:tr w:rsidR="0035444C" w:rsidRPr="00767FBD" w14:paraId="29990144" w14:textId="7FB4E3C1" w:rsidTr="00B9292F">
        <w:trPr>
          <w:jc w:val="center"/>
        </w:trPr>
        <w:tc>
          <w:tcPr>
            <w:tcW w:w="1850" w:type="dxa"/>
          </w:tcPr>
          <w:p w14:paraId="1AFA86BC" w14:textId="5936CBCA" w:rsidR="00BB5EAF" w:rsidRPr="00767FBD" w:rsidRDefault="00BB5EAF" w:rsidP="00FA79C5">
            <w:pPr>
              <w:autoSpaceDE w:val="0"/>
              <w:autoSpaceDN w:val="0"/>
              <w:adjustRightInd w:val="0"/>
              <w:rPr>
                <w:rFonts w:asciiTheme="majorHAnsi" w:hAnsiTheme="majorHAnsi" w:cs="Cambria"/>
                <w:sz w:val="20"/>
                <w:szCs w:val="20"/>
              </w:rPr>
            </w:pPr>
            <w:r w:rsidRPr="00767FBD">
              <w:rPr>
                <w:rFonts w:asciiTheme="majorHAnsi" w:hAnsiTheme="majorHAnsi"/>
                <w:sz w:val="20"/>
                <w:szCs w:val="20"/>
              </w:rPr>
              <w:t>Taipei Chino</w:t>
            </w:r>
          </w:p>
        </w:tc>
        <w:tc>
          <w:tcPr>
            <w:tcW w:w="2037" w:type="dxa"/>
          </w:tcPr>
          <w:p w14:paraId="180F9A23" w14:textId="537745BE" w:rsidR="00BB5EAF" w:rsidRPr="00767FBD" w:rsidRDefault="00BB5EAF" w:rsidP="00FA79C5">
            <w:pPr>
              <w:autoSpaceDE w:val="0"/>
              <w:autoSpaceDN w:val="0"/>
              <w:adjustRightInd w:val="0"/>
              <w:jc w:val="center"/>
              <w:rPr>
                <w:rFonts w:ascii="Cambria" w:hAnsi="Cambria" w:cs="Cambria"/>
                <w:sz w:val="20"/>
                <w:szCs w:val="20"/>
              </w:rPr>
            </w:pPr>
            <w:r w:rsidRPr="00767FBD">
              <w:rPr>
                <w:rFonts w:ascii="Cambria" w:hAnsi="Cambria"/>
                <w:sz w:val="20"/>
                <w:szCs w:val="20"/>
              </w:rPr>
              <w:t>4.416,9</w:t>
            </w:r>
          </w:p>
        </w:tc>
      </w:tr>
      <w:tr w:rsidR="0035444C" w:rsidRPr="00767FBD" w14:paraId="787C874D" w14:textId="61717B4E" w:rsidTr="00B9292F">
        <w:trPr>
          <w:jc w:val="center"/>
        </w:trPr>
        <w:tc>
          <w:tcPr>
            <w:tcW w:w="1850" w:type="dxa"/>
          </w:tcPr>
          <w:p w14:paraId="6DD24B4B" w14:textId="54F065DF" w:rsidR="00BB5EAF" w:rsidRPr="00767FBD" w:rsidRDefault="00BB5EAF" w:rsidP="00FA79C5">
            <w:pPr>
              <w:autoSpaceDE w:val="0"/>
              <w:autoSpaceDN w:val="0"/>
              <w:adjustRightInd w:val="0"/>
              <w:rPr>
                <w:rFonts w:asciiTheme="majorHAnsi" w:hAnsiTheme="majorHAnsi" w:cs="Cambria"/>
                <w:sz w:val="20"/>
                <w:szCs w:val="20"/>
              </w:rPr>
            </w:pPr>
            <w:r w:rsidRPr="00767FBD">
              <w:rPr>
                <w:rFonts w:asciiTheme="majorHAnsi" w:hAnsiTheme="majorHAnsi"/>
                <w:sz w:val="20"/>
                <w:szCs w:val="20"/>
              </w:rPr>
              <w:t>Estados Unidos</w:t>
            </w:r>
          </w:p>
        </w:tc>
        <w:tc>
          <w:tcPr>
            <w:tcW w:w="2037" w:type="dxa"/>
          </w:tcPr>
          <w:p w14:paraId="379F61ED" w14:textId="75D41DBA" w:rsidR="00BB5EAF" w:rsidRPr="00767FBD" w:rsidRDefault="00BB5EAF" w:rsidP="00FA79C5">
            <w:pPr>
              <w:autoSpaceDE w:val="0"/>
              <w:autoSpaceDN w:val="0"/>
              <w:adjustRightInd w:val="0"/>
              <w:jc w:val="center"/>
              <w:rPr>
                <w:rFonts w:ascii="Cambria" w:hAnsi="Cambria"/>
                <w:sz w:val="20"/>
                <w:szCs w:val="20"/>
              </w:rPr>
            </w:pPr>
            <w:r w:rsidRPr="00767FBD">
              <w:rPr>
                <w:rFonts w:ascii="Cambria" w:hAnsi="Cambria"/>
                <w:sz w:val="20"/>
                <w:szCs w:val="20"/>
              </w:rPr>
              <w:t>711,5</w:t>
            </w:r>
          </w:p>
        </w:tc>
      </w:tr>
      <w:tr w:rsidR="00B9292F" w:rsidRPr="00767FBD" w14:paraId="1D5DAD2A" w14:textId="27FD5287" w:rsidTr="00B9292F">
        <w:trPr>
          <w:jc w:val="center"/>
        </w:trPr>
        <w:tc>
          <w:tcPr>
            <w:tcW w:w="1850" w:type="dxa"/>
          </w:tcPr>
          <w:p w14:paraId="5C5F9CBE" w14:textId="5EC0A53D" w:rsidR="00BB5EAF" w:rsidRPr="00767FBD" w:rsidRDefault="00BB5EAF" w:rsidP="00FA79C5">
            <w:pPr>
              <w:autoSpaceDE w:val="0"/>
              <w:autoSpaceDN w:val="0"/>
              <w:adjustRightInd w:val="0"/>
              <w:rPr>
                <w:rFonts w:asciiTheme="majorHAnsi" w:hAnsiTheme="majorHAnsi" w:cs="Cambria"/>
                <w:sz w:val="20"/>
                <w:szCs w:val="20"/>
              </w:rPr>
            </w:pPr>
            <w:r w:rsidRPr="00767FBD">
              <w:rPr>
                <w:rFonts w:asciiTheme="majorHAnsi" w:hAnsiTheme="majorHAnsi"/>
                <w:sz w:val="20"/>
                <w:szCs w:val="20"/>
              </w:rPr>
              <w:t>Venezuela</w:t>
            </w:r>
          </w:p>
        </w:tc>
        <w:tc>
          <w:tcPr>
            <w:tcW w:w="2037" w:type="dxa"/>
          </w:tcPr>
          <w:p w14:paraId="5B0D03F5" w14:textId="46C42BB3" w:rsidR="00BB5EAF" w:rsidRPr="00767FBD" w:rsidRDefault="00BB5EAF" w:rsidP="00FA79C5">
            <w:pPr>
              <w:autoSpaceDE w:val="0"/>
              <w:autoSpaceDN w:val="0"/>
              <w:adjustRightInd w:val="0"/>
              <w:jc w:val="center"/>
              <w:rPr>
                <w:rFonts w:ascii="Cambria" w:hAnsi="Cambria" w:cs="Cambria"/>
                <w:sz w:val="20"/>
                <w:szCs w:val="20"/>
              </w:rPr>
            </w:pPr>
            <w:r w:rsidRPr="00767FBD">
              <w:rPr>
                <w:rFonts w:ascii="Cambria" w:hAnsi="Cambria"/>
                <w:sz w:val="20"/>
                <w:szCs w:val="20"/>
              </w:rPr>
              <w:t>337,5</w:t>
            </w:r>
          </w:p>
        </w:tc>
      </w:tr>
    </w:tbl>
    <w:p w14:paraId="38936656" w14:textId="77777777" w:rsidR="00D821EA" w:rsidRPr="00767FBD" w:rsidRDefault="00D821EA" w:rsidP="00A35C04">
      <w:pPr>
        <w:pStyle w:val="Default"/>
        <w:jc w:val="both"/>
        <w:rPr>
          <w:color w:val="auto"/>
          <w:sz w:val="20"/>
          <w:szCs w:val="20"/>
        </w:rPr>
      </w:pPr>
    </w:p>
    <w:p w14:paraId="02D0D125" w14:textId="65E8F6A9" w:rsidR="00497764" w:rsidRPr="00767FBD" w:rsidRDefault="00CE6736" w:rsidP="00331235">
      <w:pPr>
        <w:pStyle w:val="Default"/>
        <w:ind w:firstLine="567"/>
        <w:jc w:val="both"/>
        <w:rPr>
          <w:color w:val="auto"/>
          <w:sz w:val="18"/>
          <w:szCs w:val="18"/>
        </w:rPr>
      </w:pPr>
      <w:r w:rsidRPr="00767FBD">
        <w:rPr>
          <w:color w:val="auto"/>
          <w:sz w:val="18"/>
          <w:szCs w:val="18"/>
        </w:rPr>
        <w:t>* Transfer</w:t>
      </w:r>
      <w:r w:rsidR="00FA79C5" w:rsidRPr="00767FBD">
        <w:rPr>
          <w:color w:val="auto"/>
          <w:sz w:val="18"/>
          <w:szCs w:val="18"/>
        </w:rPr>
        <w:t>encia</w:t>
      </w:r>
      <w:r w:rsidRPr="00767FBD">
        <w:rPr>
          <w:color w:val="auto"/>
          <w:sz w:val="18"/>
          <w:szCs w:val="18"/>
        </w:rPr>
        <w:t>s:</w:t>
      </w:r>
    </w:p>
    <w:p w14:paraId="4957D7B8" w14:textId="3B0FC3B9" w:rsidR="009C36A7" w:rsidRPr="00767FBD" w:rsidRDefault="00497764" w:rsidP="00331235">
      <w:pPr>
        <w:pStyle w:val="Default"/>
        <w:ind w:firstLine="567"/>
        <w:jc w:val="both"/>
        <w:rPr>
          <w:rFonts w:cstheme="minorBidi"/>
          <w:color w:val="auto"/>
          <w:sz w:val="18"/>
          <w:szCs w:val="18"/>
        </w:rPr>
      </w:pPr>
      <w:r w:rsidRPr="00767FBD">
        <w:rPr>
          <w:color w:val="auto"/>
          <w:sz w:val="18"/>
          <w:szCs w:val="18"/>
        </w:rPr>
        <w:t xml:space="preserve">- </w:t>
      </w:r>
      <w:r w:rsidRPr="00767FBD">
        <w:rPr>
          <w:color w:val="auto"/>
          <w:sz w:val="18"/>
          <w:szCs w:val="18"/>
        </w:rPr>
        <w:tab/>
      </w:r>
      <w:r w:rsidR="000819C6" w:rsidRPr="00767FBD">
        <w:rPr>
          <w:rFonts w:cstheme="minorBidi"/>
          <w:color w:val="auto"/>
          <w:sz w:val="18"/>
          <w:szCs w:val="18"/>
        </w:rPr>
        <w:t>Se autoriza a la Unión Europea a transferir 442,25 t de su cuota de 2022</w:t>
      </w:r>
      <w:r w:rsidR="00565435" w:rsidRPr="00767FBD">
        <w:rPr>
          <w:rFonts w:cstheme="minorBidi"/>
          <w:color w:val="auto"/>
          <w:sz w:val="18"/>
          <w:szCs w:val="18"/>
        </w:rPr>
        <w:t xml:space="preserve"> y 2023</w:t>
      </w:r>
      <w:r w:rsidR="000819C6" w:rsidRPr="00767FBD">
        <w:rPr>
          <w:rFonts w:cstheme="minorBidi"/>
          <w:color w:val="auto"/>
          <w:sz w:val="18"/>
          <w:szCs w:val="18"/>
        </w:rPr>
        <w:t xml:space="preserve"> al Reino Unido.</w:t>
      </w:r>
    </w:p>
    <w:p w14:paraId="124D3F6E" w14:textId="07FC6998" w:rsidR="00A85F6E" w:rsidRPr="00767FBD" w:rsidRDefault="00331235" w:rsidP="00331235">
      <w:pPr>
        <w:pStyle w:val="Default"/>
        <w:ind w:firstLine="567"/>
        <w:jc w:val="both"/>
        <w:rPr>
          <w:color w:val="auto"/>
          <w:sz w:val="18"/>
          <w:szCs w:val="18"/>
        </w:rPr>
      </w:pPr>
      <w:r w:rsidRPr="00767FBD">
        <w:rPr>
          <w:rFonts w:cstheme="minorBidi"/>
          <w:color w:val="auto"/>
          <w:sz w:val="18"/>
          <w:szCs w:val="18"/>
        </w:rPr>
        <w:t xml:space="preserve">-  </w:t>
      </w:r>
      <w:r w:rsidR="00FA79C5" w:rsidRPr="00767FBD">
        <w:rPr>
          <w:rFonts w:cstheme="minorBidi"/>
          <w:color w:val="auto"/>
          <w:sz w:val="18"/>
          <w:szCs w:val="18"/>
        </w:rPr>
        <w:t xml:space="preserve">Se autoriza a Taipei Chino a transferir a Belice 200 t de atún blanco del Atlántico norte para </w:t>
      </w:r>
      <w:r w:rsidR="00FA79C5" w:rsidRPr="00767FBD">
        <w:rPr>
          <w:color w:val="auto"/>
          <w:sz w:val="18"/>
          <w:szCs w:val="18"/>
        </w:rPr>
        <w:t xml:space="preserve">2022 </w:t>
      </w:r>
      <w:r w:rsidR="00A4397F" w:rsidRPr="00767FBD">
        <w:rPr>
          <w:color w:val="auto"/>
          <w:sz w:val="18"/>
          <w:szCs w:val="18"/>
        </w:rPr>
        <w:t xml:space="preserve">y </w:t>
      </w:r>
      <w:r w:rsidR="00FA79C5" w:rsidRPr="00767FBD">
        <w:rPr>
          <w:color w:val="auto"/>
          <w:sz w:val="18"/>
          <w:szCs w:val="18"/>
        </w:rPr>
        <w:t>2023.</w:t>
      </w:r>
    </w:p>
    <w:p w14:paraId="227289D3" w14:textId="77777777" w:rsidR="00672480" w:rsidRPr="00767FBD" w:rsidRDefault="00672480" w:rsidP="00672480">
      <w:pPr>
        <w:pStyle w:val="Default"/>
        <w:ind w:left="720"/>
        <w:jc w:val="both"/>
        <w:rPr>
          <w:color w:val="auto"/>
          <w:sz w:val="18"/>
          <w:szCs w:val="18"/>
        </w:rPr>
      </w:pPr>
    </w:p>
    <w:p w14:paraId="79E6F40A" w14:textId="74CF151E" w:rsidR="00CE6736" w:rsidRPr="00767FBD" w:rsidRDefault="00FA79C5" w:rsidP="00331235">
      <w:pPr>
        <w:pStyle w:val="ListParagraph"/>
        <w:numPr>
          <w:ilvl w:val="0"/>
          <w:numId w:val="30"/>
        </w:numPr>
        <w:autoSpaceDE w:val="0"/>
        <w:autoSpaceDN w:val="0"/>
        <w:adjustRightInd w:val="0"/>
        <w:spacing w:after="0" w:line="240" w:lineRule="auto"/>
        <w:ind w:left="567" w:hanging="567"/>
        <w:rPr>
          <w:rFonts w:ascii="Cambria" w:hAnsi="Cambria" w:cs="Cambria"/>
          <w:sz w:val="20"/>
          <w:szCs w:val="20"/>
        </w:rPr>
      </w:pPr>
      <w:r w:rsidRPr="00767FBD">
        <w:rPr>
          <w:rFonts w:ascii="Cambria" w:hAnsi="Cambria"/>
          <w:sz w:val="20"/>
          <w:szCs w:val="20"/>
        </w:rPr>
        <w:t>Las CPC no mencionadas en el párrafo 6 limitarán sus capturas anuales a 242 t.</w:t>
      </w:r>
    </w:p>
    <w:p w14:paraId="476A0B32" w14:textId="2129DFB1" w:rsidR="00307F00" w:rsidRPr="00767FBD" w:rsidRDefault="00307F00" w:rsidP="00307F00">
      <w:pPr>
        <w:autoSpaceDE w:val="0"/>
        <w:autoSpaceDN w:val="0"/>
        <w:adjustRightInd w:val="0"/>
        <w:spacing w:after="0" w:line="240" w:lineRule="auto"/>
        <w:rPr>
          <w:rFonts w:ascii="Cambria" w:hAnsi="Cambria" w:cs="Cambria"/>
          <w:sz w:val="20"/>
          <w:szCs w:val="20"/>
        </w:rPr>
      </w:pPr>
    </w:p>
    <w:p w14:paraId="379DA3A9" w14:textId="77BD4D77" w:rsidR="00307F00" w:rsidRPr="00767FBD" w:rsidRDefault="00307F00" w:rsidP="00331235">
      <w:pPr>
        <w:pStyle w:val="ListParagraph"/>
        <w:numPr>
          <w:ilvl w:val="0"/>
          <w:numId w:val="30"/>
        </w:numPr>
        <w:autoSpaceDE w:val="0"/>
        <w:autoSpaceDN w:val="0"/>
        <w:adjustRightInd w:val="0"/>
        <w:spacing w:after="0" w:line="240" w:lineRule="auto"/>
        <w:ind w:left="567" w:hanging="567"/>
        <w:jc w:val="both"/>
        <w:rPr>
          <w:rFonts w:ascii="Cambria" w:hAnsi="Cambria"/>
          <w:sz w:val="20"/>
          <w:szCs w:val="20"/>
        </w:rPr>
      </w:pPr>
      <w:r w:rsidRPr="00767FBD">
        <w:rPr>
          <w:rFonts w:ascii="Cambria" w:hAnsi="Cambria"/>
          <w:sz w:val="20"/>
          <w:szCs w:val="20"/>
        </w:rPr>
        <w:t>Mediante derogación de los párrafos 6 y 7, Japón se esforzará por limitar el peso total de sus capturas anuales de atún blanco del Atlántico norte a un máximo del 4,5 % del peso de su captura palangrera total de patudo en el océano Atlántico en 2022 y 2023.</w:t>
      </w:r>
    </w:p>
    <w:p w14:paraId="10A26D39" w14:textId="77777777" w:rsidR="00307F00" w:rsidRPr="00767FBD" w:rsidRDefault="00307F00" w:rsidP="00307F00">
      <w:pPr>
        <w:autoSpaceDE w:val="0"/>
        <w:autoSpaceDN w:val="0"/>
        <w:adjustRightInd w:val="0"/>
        <w:spacing w:after="0" w:line="240" w:lineRule="auto"/>
        <w:jc w:val="both"/>
        <w:rPr>
          <w:rFonts w:ascii="Cambria" w:hAnsi="Cambria" w:cs="Cambria"/>
          <w:sz w:val="20"/>
          <w:szCs w:val="20"/>
        </w:rPr>
      </w:pPr>
    </w:p>
    <w:p w14:paraId="4764575F" w14:textId="77777777" w:rsidR="00307F00" w:rsidRPr="00767FBD" w:rsidRDefault="00307F00" w:rsidP="00307F00">
      <w:pPr>
        <w:tabs>
          <w:tab w:val="left" w:pos="426"/>
          <w:tab w:val="left" w:pos="709"/>
          <w:tab w:val="left" w:pos="993"/>
          <w:tab w:val="left" w:pos="1418"/>
        </w:tabs>
        <w:autoSpaceDE w:val="0"/>
        <w:autoSpaceDN w:val="0"/>
        <w:adjustRightInd w:val="0"/>
        <w:jc w:val="both"/>
        <w:rPr>
          <w:rFonts w:ascii="Cambria" w:hAnsi="Cambria"/>
          <w:b/>
          <w:bCs/>
          <w:i/>
          <w:iCs/>
          <w:sz w:val="20"/>
          <w:szCs w:val="20"/>
        </w:rPr>
      </w:pPr>
      <w:r w:rsidRPr="00767FBD">
        <w:rPr>
          <w:rFonts w:ascii="Cambria" w:hAnsi="Cambria"/>
          <w:b/>
          <w:bCs/>
          <w:i/>
          <w:iCs/>
          <w:sz w:val="20"/>
          <w:szCs w:val="20"/>
        </w:rPr>
        <w:t xml:space="preserve">Remanente o exceso de captura </w:t>
      </w:r>
    </w:p>
    <w:p w14:paraId="035E2533" w14:textId="13F9AD87" w:rsidR="00307F00" w:rsidRPr="00767FBD" w:rsidRDefault="00307F00" w:rsidP="00331235">
      <w:pPr>
        <w:pStyle w:val="ListParagraph"/>
        <w:numPr>
          <w:ilvl w:val="0"/>
          <w:numId w:val="30"/>
        </w:numPr>
        <w:autoSpaceDE w:val="0"/>
        <w:autoSpaceDN w:val="0"/>
        <w:adjustRightInd w:val="0"/>
        <w:spacing w:after="0" w:line="240" w:lineRule="auto"/>
        <w:ind w:left="567" w:hanging="567"/>
        <w:rPr>
          <w:rFonts w:ascii="Cambria" w:hAnsi="Cambria"/>
          <w:sz w:val="20"/>
          <w:szCs w:val="20"/>
        </w:rPr>
      </w:pPr>
      <w:r w:rsidRPr="00767FBD">
        <w:rPr>
          <w:rFonts w:ascii="Cambria" w:hAnsi="Cambria"/>
          <w:sz w:val="20"/>
          <w:szCs w:val="20"/>
        </w:rPr>
        <w:t>Cualquier parte no utilizada o exceso de captura de la cuota/límite de captura anual de una CPC podrá añadirse a/se deducirá de, según el caso, la cuota/límite de captura respectivo antes o durante el año de ajuste, de la siguiente manera:</w:t>
      </w:r>
    </w:p>
    <w:p w14:paraId="6C82D980" w14:textId="77777777" w:rsidR="0035444C" w:rsidRPr="00767FBD" w:rsidRDefault="0035444C" w:rsidP="0035444C">
      <w:pPr>
        <w:pStyle w:val="ListParagraph"/>
        <w:autoSpaceDE w:val="0"/>
        <w:autoSpaceDN w:val="0"/>
        <w:adjustRightInd w:val="0"/>
        <w:spacing w:after="0" w:line="240" w:lineRule="auto"/>
        <w:ind w:left="360"/>
        <w:rPr>
          <w:rFonts w:ascii="Cambria" w:hAnsi="Cambria"/>
          <w:sz w:val="20"/>
          <w:szCs w:val="20"/>
        </w:rPr>
      </w:pPr>
    </w:p>
    <w:tbl>
      <w:tblPr>
        <w:tblStyle w:val="TableauNorm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2"/>
        <w:gridCol w:w="3240"/>
      </w:tblGrid>
      <w:tr w:rsidR="0035444C" w:rsidRPr="00767FBD" w14:paraId="1FBF00D8" w14:textId="77777777" w:rsidTr="00C93B01">
        <w:trPr>
          <w:jc w:val="center"/>
        </w:trPr>
        <w:tc>
          <w:tcPr>
            <w:tcW w:w="1572" w:type="dxa"/>
          </w:tcPr>
          <w:p w14:paraId="38A2F2B1" w14:textId="77777777" w:rsidR="00307F00" w:rsidRPr="00767FBD" w:rsidRDefault="00307F00" w:rsidP="00C93B01">
            <w:pPr>
              <w:tabs>
                <w:tab w:val="left" w:pos="284"/>
                <w:tab w:val="left" w:pos="567"/>
              </w:tabs>
              <w:jc w:val="center"/>
              <w:rPr>
                <w:rFonts w:ascii="Cambria" w:eastAsiaTheme="minorHAnsi" w:hAnsi="Cambria" w:cstheme="minorBidi"/>
                <w:i/>
                <w:iCs/>
                <w:lang w:eastAsia="en-US" w:bidi="ar-SA"/>
              </w:rPr>
            </w:pPr>
            <w:r w:rsidRPr="00767FBD">
              <w:rPr>
                <w:rFonts w:ascii="Cambria" w:eastAsiaTheme="minorHAnsi" w:hAnsi="Cambria" w:cstheme="minorBidi"/>
                <w:i/>
                <w:iCs/>
                <w:lang w:eastAsia="en-US" w:bidi="ar-SA"/>
              </w:rPr>
              <w:t>Año de captura</w:t>
            </w:r>
          </w:p>
        </w:tc>
        <w:tc>
          <w:tcPr>
            <w:tcW w:w="3240" w:type="dxa"/>
          </w:tcPr>
          <w:p w14:paraId="5E4532E9" w14:textId="77777777" w:rsidR="00307F00" w:rsidRPr="00767FBD" w:rsidRDefault="00307F00" w:rsidP="00C93B01">
            <w:pPr>
              <w:tabs>
                <w:tab w:val="left" w:pos="284"/>
                <w:tab w:val="left" w:pos="567"/>
              </w:tabs>
              <w:jc w:val="center"/>
              <w:rPr>
                <w:rFonts w:ascii="Cambria" w:eastAsiaTheme="minorHAnsi" w:hAnsi="Cambria" w:cstheme="minorBidi"/>
                <w:i/>
                <w:iCs/>
                <w:lang w:eastAsia="en-US" w:bidi="ar-SA"/>
              </w:rPr>
            </w:pPr>
            <w:r w:rsidRPr="00767FBD">
              <w:rPr>
                <w:rFonts w:ascii="Cambria" w:eastAsiaTheme="minorHAnsi" w:hAnsi="Cambria" w:cstheme="minorBidi"/>
                <w:i/>
                <w:iCs/>
                <w:lang w:eastAsia="en-US" w:bidi="ar-SA"/>
              </w:rPr>
              <w:t>Año de ajuste</w:t>
            </w:r>
          </w:p>
        </w:tc>
      </w:tr>
      <w:tr w:rsidR="0035444C" w:rsidRPr="00767FBD" w14:paraId="0300ED4F" w14:textId="77777777" w:rsidTr="008C1758">
        <w:trPr>
          <w:jc w:val="center"/>
        </w:trPr>
        <w:tc>
          <w:tcPr>
            <w:tcW w:w="1572" w:type="dxa"/>
          </w:tcPr>
          <w:p w14:paraId="06185DB4" w14:textId="7A279B8D" w:rsidR="00307F00" w:rsidRPr="00767FBD" w:rsidRDefault="00307F00" w:rsidP="00307F00">
            <w:pPr>
              <w:tabs>
                <w:tab w:val="left" w:pos="284"/>
                <w:tab w:val="left" w:pos="567"/>
              </w:tabs>
              <w:jc w:val="center"/>
              <w:rPr>
                <w:rFonts w:ascii="Cambria" w:eastAsiaTheme="minorHAnsi" w:hAnsi="Cambria" w:cstheme="minorBidi"/>
                <w:lang w:eastAsia="en-US" w:bidi="ar-SA"/>
              </w:rPr>
            </w:pPr>
            <w:r w:rsidRPr="00767FBD">
              <w:rPr>
                <w:rFonts w:ascii="Cambria" w:hAnsi="Cambria" w:cs="Cambria"/>
              </w:rPr>
              <w:t>2019</w:t>
            </w:r>
          </w:p>
        </w:tc>
        <w:tc>
          <w:tcPr>
            <w:tcW w:w="3240" w:type="dxa"/>
          </w:tcPr>
          <w:p w14:paraId="6FCF6920" w14:textId="54BFA272" w:rsidR="00307F00" w:rsidRPr="00767FBD" w:rsidRDefault="00307F00" w:rsidP="00307F00">
            <w:pPr>
              <w:tabs>
                <w:tab w:val="left" w:pos="284"/>
                <w:tab w:val="left" w:pos="567"/>
              </w:tabs>
              <w:jc w:val="center"/>
              <w:rPr>
                <w:rFonts w:ascii="Cambria" w:eastAsiaTheme="minorHAnsi" w:hAnsi="Cambria" w:cstheme="minorBidi"/>
                <w:lang w:eastAsia="en-US" w:bidi="ar-SA"/>
              </w:rPr>
            </w:pPr>
            <w:r w:rsidRPr="00767FBD">
              <w:rPr>
                <w:rFonts w:ascii="Cambria" w:hAnsi="Cambria" w:cs="Cambria"/>
              </w:rPr>
              <w:t>2021</w:t>
            </w:r>
          </w:p>
        </w:tc>
      </w:tr>
      <w:tr w:rsidR="0035444C" w:rsidRPr="00767FBD" w14:paraId="7510ED36" w14:textId="77777777" w:rsidTr="008C1758">
        <w:trPr>
          <w:jc w:val="center"/>
        </w:trPr>
        <w:tc>
          <w:tcPr>
            <w:tcW w:w="1572" w:type="dxa"/>
          </w:tcPr>
          <w:p w14:paraId="559CACC4" w14:textId="4D7D0660" w:rsidR="00307F00" w:rsidRPr="00767FBD" w:rsidRDefault="00307F00" w:rsidP="00307F00">
            <w:pPr>
              <w:tabs>
                <w:tab w:val="left" w:pos="284"/>
                <w:tab w:val="left" w:pos="567"/>
              </w:tabs>
              <w:jc w:val="center"/>
              <w:rPr>
                <w:rFonts w:ascii="Cambria" w:eastAsiaTheme="minorHAnsi" w:hAnsi="Cambria" w:cstheme="minorBidi"/>
                <w:lang w:eastAsia="en-US" w:bidi="ar-SA"/>
              </w:rPr>
            </w:pPr>
            <w:r w:rsidRPr="00767FBD">
              <w:rPr>
                <w:rFonts w:ascii="Cambria" w:hAnsi="Cambria" w:cs="Cambria"/>
              </w:rPr>
              <w:t>2020</w:t>
            </w:r>
          </w:p>
        </w:tc>
        <w:tc>
          <w:tcPr>
            <w:tcW w:w="3240" w:type="dxa"/>
          </w:tcPr>
          <w:p w14:paraId="769CB677" w14:textId="1CB529DB" w:rsidR="00307F00" w:rsidRPr="00767FBD" w:rsidRDefault="00307F00" w:rsidP="00307F00">
            <w:pPr>
              <w:tabs>
                <w:tab w:val="left" w:pos="284"/>
                <w:tab w:val="left" w:pos="567"/>
              </w:tabs>
              <w:jc w:val="center"/>
              <w:rPr>
                <w:rFonts w:ascii="Cambria" w:eastAsiaTheme="minorHAnsi" w:hAnsi="Cambria" w:cstheme="minorBidi"/>
                <w:lang w:eastAsia="en-US" w:bidi="ar-SA"/>
              </w:rPr>
            </w:pPr>
            <w:r w:rsidRPr="00767FBD">
              <w:rPr>
                <w:rFonts w:ascii="Cambria" w:hAnsi="Cambria" w:cs="Cambria"/>
              </w:rPr>
              <w:t>2022</w:t>
            </w:r>
          </w:p>
        </w:tc>
      </w:tr>
      <w:tr w:rsidR="0035444C" w:rsidRPr="00767FBD" w14:paraId="16A3E163" w14:textId="77777777" w:rsidTr="008C1758">
        <w:trPr>
          <w:jc w:val="center"/>
        </w:trPr>
        <w:tc>
          <w:tcPr>
            <w:tcW w:w="1572" w:type="dxa"/>
          </w:tcPr>
          <w:p w14:paraId="7C19C566" w14:textId="6D136BC1" w:rsidR="00307F00" w:rsidRPr="00767FBD" w:rsidRDefault="00307F00" w:rsidP="00307F00">
            <w:pPr>
              <w:tabs>
                <w:tab w:val="left" w:pos="284"/>
                <w:tab w:val="left" w:pos="567"/>
              </w:tabs>
              <w:jc w:val="center"/>
              <w:rPr>
                <w:rFonts w:ascii="Cambria" w:hAnsi="Cambria"/>
              </w:rPr>
            </w:pPr>
            <w:r w:rsidRPr="00767FBD">
              <w:rPr>
                <w:rFonts w:ascii="Cambria" w:hAnsi="Cambria" w:cs="Cambria"/>
              </w:rPr>
              <w:t>2021</w:t>
            </w:r>
          </w:p>
        </w:tc>
        <w:tc>
          <w:tcPr>
            <w:tcW w:w="3240" w:type="dxa"/>
          </w:tcPr>
          <w:p w14:paraId="03B6CB5A" w14:textId="1D19C9F8" w:rsidR="00307F00" w:rsidRPr="00767FBD" w:rsidRDefault="00307F00" w:rsidP="00307F00">
            <w:pPr>
              <w:tabs>
                <w:tab w:val="left" w:pos="284"/>
                <w:tab w:val="left" w:pos="567"/>
              </w:tabs>
              <w:jc w:val="center"/>
              <w:rPr>
                <w:rFonts w:ascii="Cambria" w:hAnsi="Cambria"/>
              </w:rPr>
            </w:pPr>
            <w:r w:rsidRPr="00767FBD">
              <w:rPr>
                <w:rFonts w:ascii="Cambria" w:hAnsi="Cambria" w:cs="Cambria"/>
              </w:rPr>
              <w:t>2023</w:t>
            </w:r>
          </w:p>
        </w:tc>
      </w:tr>
      <w:tr w:rsidR="0035444C" w:rsidRPr="00767FBD" w14:paraId="692C99F4" w14:textId="77777777" w:rsidTr="008C1758">
        <w:trPr>
          <w:jc w:val="center"/>
        </w:trPr>
        <w:tc>
          <w:tcPr>
            <w:tcW w:w="1572" w:type="dxa"/>
          </w:tcPr>
          <w:p w14:paraId="2CA5A227" w14:textId="0165F681" w:rsidR="00307F00" w:rsidRPr="00767FBD" w:rsidRDefault="00307F00" w:rsidP="00307F00">
            <w:pPr>
              <w:tabs>
                <w:tab w:val="left" w:pos="284"/>
                <w:tab w:val="left" w:pos="567"/>
              </w:tabs>
              <w:jc w:val="center"/>
              <w:rPr>
                <w:rFonts w:ascii="Cambria" w:hAnsi="Cambria"/>
              </w:rPr>
            </w:pPr>
            <w:r w:rsidRPr="00767FBD">
              <w:rPr>
                <w:rFonts w:ascii="Cambria" w:hAnsi="Cambria" w:cs="Cambria"/>
              </w:rPr>
              <w:t>2022</w:t>
            </w:r>
          </w:p>
        </w:tc>
        <w:tc>
          <w:tcPr>
            <w:tcW w:w="3240" w:type="dxa"/>
          </w:tcPr>
          <w:p w14:paraId="694A79B9" w14:textId="3FAE6A50" w:rsidR="00307F00" w:rsidRPr="00767FBD" w:rsidRDefault="00307F00" w:rsidP="00307F00">
            <w:pPr>
              <w:tabs>
                <w:tab w:val="left" w:pos="284"/>
                <w:tab w:val="left" w:pos="567"/>
              </w:tabs>
              <w:jc w:val="center"/>
              <w:rPr>
                <w:rFonts w:ascii="Cambria" w:hAnsi="Cambria"/>
              </w:rPr>
            </w:pPr>
            <w:r w:rsidRPr="00767FBD">
              <w:rPr>
                <w:rFonts w:ascii="Cambria" w:hAnsi="Cambria" w:cs="Cambria"/>
              </w:rPr>
              <w:t>2024</w:t>
            </w:r>
          </w:p>
        </w:tc>
      </w:tr>
      <w:tr w:rsidR="00382C32" w:rsidRPr="00767FBD" w14:paraId="0B220EB4" w14:textId="77777777" w:rsidTr="008C1758">
        <w:trPr>
          <w:jc w:val="center"/>
        </w:trPr>
        <w:tc>
          <w:tcPr>
            <w:tcW w:w="1572" w:type="dxa"/>
          </w:tcPr>
          <w:p w14:paraId="7478244B" w14:textId="2131426D" w:rsidR="00307F00" w:rsidRPr="00767FBD" w:rsidRDefault="00307F00" w:rsidP="00307F00">
            <w:pPr>
              <w:tabs>
                <w:tab w:val="left" w:pos="284"/>
                <w:tab w:val="left" w:pos="567"/>
              </w:tabs>
              <w:jc w:val="center"/>
              <w:rPr>
                <w:rFonts w:ascii="Cambria" w:hAnsi="Cambria"/>
              </w:rPr>
            </w:pPr>
            <w:r w:rsidRPr="00767FBD">
              <w:rPr>
                <w:rFonts w:ascii="Cambria" w:hAnsi="Cambria" w:cs="Cambria"/>
              </w:rPr>
              <w:t>2023</w:t>
            </w:r>
          </w:p>
        </w:tc>
        <w:tc>
          <w:tcPr>
            <w:tcW w:w="3240" w:type="dxa"/>
          </w:tcPr>
          <w:p w14:paraId="401545C3" w14:textId="79CE19D9" w:rsidR="00307F00" w:rsidRPr="00767FBD" w:rsidRDefault="00307F00" w:rsidP="00307F00">
            <w:pPr>
              <w:tabs>
                <w:tab w:val="left" w:pos="284"/>
                <w:tab w:val="left" w:pos="567"/>
              </w:tabs>
              <w:jc w:val="center"/>
              <w:rPr>
                <w:rFonts w:ascii="Cambria" w:hAnsi="Cambria"/>
              </w:rPr>
            </w:pPr>
            <w:r w:rsidRPr="00767FBD">
              <w:rPr>
                <w:rFonts w:ascii="Cambria" w:hAnsi="Cambria" w:cs="Cambria"/>
              </w:rPr>
              <w:t>2025</w:t>
            </w:r>
          </w:p>
        </w:tc>
      </w:tr>
    </w:tbl>
    <w:p w14:paraId="256925BB" w14:textId="77777777" w:rsidR="00307F00" w:rsidRPr="00767FBD" w:rsidRDefault="00307F00" w:rsidP="00307F00">
      <w:pPr>
        <w:tabs>
          <w:tab w:val="left" w:pos="284"/>
          <w:tab w:val="left" w:pos="567"/>
        </w:tabs>
        <w:rPr>
          <w:rFonts w:ascii="Cambria" w:hAnsi="Cambria"/>
          <w:sz w:val="20"/>
          <w:szCs w:val="20"/>
        </w:rPr>
      </w:pPr>
    </w:p>
    <w:p w14:paraId="4DD94D2D" w14:textId="72DEEBF3" w:rsidR="00307F00" w:rsidRPr="00767FBD" w:rsidRDefault="00307F00" w:rsidP="00331235">
      <w:pPr>
        <w:ind w:left="567"/>
        <w:jc w:val="both"/>
        <w:rPr>
          <w:rFonts w:ascii="Cambria" w:hAnsi="Cambria"/>
          <w:sz w:val="20"/>
          <w:szCs w:val="20"/>
        </w:rPr>
      </w:pPr>
      <w:r w:rsidRPr="00767FBD">
        <w:rPr>
          <w:rFonts w:ascii="Cambria" w:hAnsi="Cambria"/>
          <w:sz w:val="20"/>
          <w:szCs w:val="20"/>
        </w:rPr>
        <w:t>Sin embargo, el máximo remanente que una CPC puede traspasar en un año determinado no podrá sobrepasar el 25</w:t>
      </w:r>
      <w:r w:rsidR="0035444C" w:rsidRPr="00767FBD">
        <w:rPr>
          <w:rFonts w:ascii="Cambria" w:hAnsi="Cambria"/>
          <w:sz w:val="20"/>
          <w:szCs w:val="20"/>
        </w:rPr>
        <w:t xml:space="preserve"> </w:t>
      </w:r>
      <w:r w:rsidRPr="00767FBD">
        <w:rPr>
          <w:rFonts w:ascii="Cambria" w:hAnsi="Cambria"/>
          <w:sz w:val="20"/>
          <w:szCs w:val="20"/>
        </w:rPr>
        <w:t>% de su cuota de captura inicial.</w:t>
      </w:r>
    </w:p>
    <w:p w14:paraId="7CE78BD5" w14:textId="4CBE00A9" w:rsidR="00307F00" w:rsidRPr="00767FBD" w:rsidRDefault="00307F00" w:rsidP="00B1297C">
      <w:pPr>
        <w:spacing w:line="240" w:lineRule="auto"/>
        <w:ind w:left="567"/>
        <w:jc w:val="both"/>
        <w:rPr>
          <w:rFonts w:ascii="Cambria" w:hAnsi="Cambria"/>
          <w:sz w:val="20"/>
          <w:szCs w:val="20"/>
        </w:rPr>
      </w:pPr>
      <w:r w:rsidRPr="00767FBD">
        <w:rPr>
          <w:rFonts w:ascii="Cambria" w:hAnsi="Cambria"/>
          <w:sz w:val="20"/>
          <w:szCs w:val="20"/>
        </w:rPr>
        <w:t>Si en un año cualquiera los desembarques combinados de las CPC superan el TAC en más de un 20</w:t>
      </w:r>
      <w:r w:rsidR="006A6B93" w:rsidRPr="00767FBD">
        <w:rPr>
          <w:rFonts w:ascii="Cambria" w:hAnsi="Cambria"/>
          <w:sz w:val="20"/>
          <w:szCs w:val="20"/>
        </w:rPr>
        <w:t xml:space="preserve"> </w:t>
      </w:r>
      <w:r w:rsidRPr="00767FBD">
        <w:rPr>
          <w:rFonts w:ascii="Cambria" w:hAnsi="Cambria"/>
          <w:sz w:val="20"/>
          <w:szCs w:val="20"/>
        </w:rPr>
        <w:t xml:space="preserve">% la Comisión volverá a evaluar esta Recomendación en su próxima reunión, lo que incluirá la consideración de cualquier asesoramiento del SCRS en virtud de su evaluación de la existencia de </w:t>
      </w:r>
      <w:r w:rsidRPr="00767FBD">
        <w:rPr>
          <w:rFonts w:ascii="Cambria" w:hAnsi="Cambria"/>
          <w:sz w:val="20"/>
          <w:szCs w:val="20"/>
        </w:rPr>
        <w:lastRenderedPageBreak/>
        <w:t xml:space="preserve">circunstancias excepcionales, tal y como se refleja en el </w:t>
      </w:r>
      <w:r w:rsidR="00382C32" w:rsidRPr="00767FBD">
        <w:rPr>
          <w:rFonts w:ascii="Cambria" w:hAnsi="Cambria"/>
          <w:b/>
          <w:bCs/>
          <w:sz w:val="20"/>
          <w:szCs w:val="20"/>
        </w:rPr>
        <w:t xml:space="preserve">Anexo </w:t>
      </w:r>
      <w:r w:rsidR="00E6365D" w:rsidRPr="00767FBD">
        <w:rPr>
          <w:rFonts w:ascii="Cambria" w:hAnsi="Cambria"/>
          <w:b/>
          <w:bCs/>
          <w:sz w:val="20"/>
          <w:szCs w:val="20"/>
        </w:rPr>
        <w:t>2</w:t>
      </w:r>
      <w:r w:rsidRPr="00767FBD">
        <w:rPr>
          <w:rFonts w:ascii="Cambria" w:hAnsi="Cambria"/>
          <w:b/>
          <w:bCs/>
          <w:sz w:val="20"/>
          <w:szCs w:val="20"/>
        </w:rPr>
        <w:t>,</w:t>
      </w:r>
      <w:r w:rsidRPr="00767FBD">
        <w:rPr>
          <w:rFonts w:ascii="Cambria" w:hAnsi="Cambria"/>
          <w:sz w:val="20"/>
          <w:szCs w:val="20"/>
        </w:rPr>
        <w:t xml:space="preserve"> y podrá, </w:t>
      </w:r>
      <w:r w:rsidR="00382C32" w:rsidRPr="00767FBD">
        <w:rPr>
          <w:rFonts w:ascii="Cambria" w:hAnsi="Cambria"/>
          <w:sz w:val="20"/>
          <w:szCs w:val="20"/>
        </w:rPr>
        <w:t>si procede</w:t>
      </w:r>
      <w:r w:rsidRPr="00767FBD">
        <w:rPr>
          <w:rFonts w:ascii="Cambria" w:hAnsi="Cambria"/>
          <w:sz w:val="20"/>
          <w:szCs w:val="20"/>
        </w:rPr>
        <w:t>, recomendar nuevas medida</w:t>
      </w:r>
      <w:r w:rsidR="0035444C" w:rsidRPr="00767FBD">
        <w:rPr>
          <w:rFonts w:ascii="Cambria" w:hAnsi="Cambria"/>
          <w:sz w:val="20"/>
          <w:szCs w:val="20"/>
        </w:rPr>
        <w:t>s</w:t>
      </w:r>
      <w:r w:rsidRPr="00767FBD">
        <w:rPr>
          <w:rFonts w:ascii="Cambria" w:hAnsi="Cambria"/>
          <w:sz w:val="20"/>
          <w:szCs w:val="20"/>
        </w:rPr>
        <w:t>.</w:t>
      </w:r>
    </w:p>
    <w:p w14:paraId="0087F991" w14:textId="36A808A9" w:rsidR="00307F00" w:rsidRPr="00767FBD" w:rsidRDefault="0035444C" w:rsidP="00307F00">
      <w:pPr>
        <w:tabs>
          <w:tab w:val="left" w:pos="426"/>
          <w:tab w:val="left" w:pos="709"/>
          <w:tab w:val="left" w:pos="993"/>
          <w:tab w:val="left" w:pos="1418"/>
          <w:tab w:val="left" w:pos="3690"/>
        </w:tabs>
        <w:autoSpaceDE w:val="0"/>
        <w:autoSpaceDN w:val="0"/>
        <w:adjustRightInd w:val="0"/>
        <w:spacing w:after="0" w:line="240" w:lineRule="auto"/>
        <w:jc w:val="center"/>
        <w:rPr>
          <w:rFonts w:ascii="Cambria" w:hAnsi="Cambria"/>
          <w:b/>
          <w:bCs/>
          <w:sz w:val="20"/>
          <w:szCs w:val="20"/>
        </w:rPr>
      </w:pPr>
      <w:r w:rsidRPr="00767FBD">
        <w:rPr>
          <w:rFonts w:ascii="Cambria" w:hAnsi="Cambria"/>
          <w:b/>
          <w:bCs/>
          <w:sz w:val="20"/>
          <w:szCs w:val="20"/>
        </w:rPr>
        <w:t xml:space="preserve">PARTE </w:t>
      </w:r>
      <w:r w:rsidR="00307F00" w:rsidRPr="00767FBD">
        <w:rPr>
          <w:rFonts w:ascii="Cambria" w:hAnsi="Cambria"/>
          <w:b/>
          <w:bCs/>
          <w:sz w:val="20"/>
          <w:szCs w:val="20"/>
        </w:rPr>
        <w:t>IV</w:t>
      </w:r>
    </w:p>
    <w:p w14:paraId="7B7DCF4B" w14:textId="77777777" w:rsidR="00307F00" w:rsidRPr="00767FBD" w:rsidRDefault="00307F00" w:rsidP="00307F00">
      <w:pPr>
        <w:tabs>
          <w:tab w:val="left" w:pos="426"/>
          <w:tab w:val="left" w:pos="709"/>
          <w:tab w:val="left" w:pos="993"/>
          <w:tab w:val="left" w:pos="1418"/>
          <w:tab w:val="left" w:pos="3690"/>
        </w:tabs>
        <w:autoSpaceDE w:val="0"/>
        <w:autoSpaceDN w:val="0"/>
        <w:adjustRightInd w:val="0"/>
        <w:spacing w:after="0" w:line="240" w:lineRule="auto"/>
        <w:jc w:val="center"/>
        <w:rPr>
          <w:rFonts w:ascii="Cambria" w:hAnsi="Cambria"/>
          <w:b/>
          <w:bCs/>
          <w:sz w:val="20"/>
          <w:szCs w:val="20"/>
        </w:rPr>
      </w:pPr>
      <w:r w:rsidRPr="00767FBD">
        <w:rPr>
          <w:rFonts w:ascii="Cambria" w:hAnsi="Cambria"/>
          <w:b/>
          <w:bCs/>
          <w:sz w:val="20"/>
          <w:szCs w:val="20"/>
        </w:rPr>
        <w:t xml:space="preserve">MEDIDAS DE ORDENACIÓN DE LA CAPACIDAD </w:t>
      </w:r>
    </w:p>
    <w:p w14:paraId="2486631D" w14:textId="77777777" w:rsidR="00307F00" w:rsidRPr="00767FBD" w:rsidRDefault="00307F00" w:rsidP="00307F00">
      <w:pPr>
        <w:tabs>
          <w:tab w:val="left" w:pos="284"/>
          <w:tab w:val="left" w:pos="567"/>
        </w:tabs>
        <w:spacing w:after="0" w:line="240" w:lineRule="auto"/>
        <w:jc w:val="both"/>
        <w:rPr>
          <w:rFonts w:ascii="Cambria" w:hAnsi="Cambria"/>
          <w:sz w:val="20"/>
          <w:szCs w:val="20"/>
        </w:rPr>
      </w:pPr>
    </w:p>
    <w:p w14:paraId="52952015" w14:textId="2EC048FC" w:rsidR="00307F00" w:rsidRPr="00767FBD" w:rsidRDefault="00307F00" w:rsidP="000F142B">
      <w:pPr>
        <w:pStyle w:val="ListParagraph"/>
        <w:numPr>
          <w:ilvl w:val="0"/>
          <w:numId w:val="30"/>
        </w:numPr>
        <w:autoSpaceDE w:val="0"/>
        <w:autoSpaceDN w:val="0"/>
        <w:adjustRightInd w:val="0"/>
        <w:spacing w:after="0" w:line="240" w:lineRule="auto"/>
        <w:ind w:left="567" w:hanging="567"/>
        <w:jc w:val="both"/>
        <w:rPr>
          <w:rFonts w:ascii="Cambria" w:hAnsi="Cambria"/>
          <w:sz w:val="20"/>
          <w:szCs w:val="20"/>
        </w:rPr>
      </w:pPr>
      <w:r w:rsidRPr="00767FBD">
        <w:rPr>
          <w:rFonts w:ascii="Cambria" w:hAnsi="Cambria"/>
          <w:sz w:val="20"/>
          <w:szCs w:val="20"/>
        </w:rPr>
        <w:t xml:space="preserve">Las CPC que pescan atún blanco del Atlántico norte </w:t>
      </w:r>
      <w:r w:rsidR="00E6365D" w:rsidRPr="00767FBD">
        <w:rPr>
          <w:rFonts w:ascii="Cambria" w:hAnsi="Cambria"/>
          <w:sz w:val="20"/>
          <w:szCs w:val="20"/>
        </w:rPr>
        <w:t xml:space="preserve">limitarán </w:t>
      </w:r>
      <w:r w:rsidRPr="00767FBD">
        <w:rPr>
          <w:rFonts w:ascii="Cambria" w:hAnsi="Cambria"/>
          <w:sz w:val="20"/>
          <w:szCs w:val="20"/>
        </w:rPr>
        <w:t>a partir de 1999 la capacidad de pesca de sus buques que pesquen este stock, a excepción de los barcos de recreo, mediante la limitación del número de buques a la media del período 1993-1995.</w:t>
      </w:r>
    </w:p>
    <w:p w14:paraId="3DFCA995" w14:textId="77777777" w:rsidR="00307F00" w:rsidRPr="00767FBD" w:rsidRDefault="00307F00" w:rsidP="00307F00">
      <w:pPr>
        <w:tabs>
          <w:tab w:val="left" w:pos="426"/>
          <w:tab w:val="left" w:pos="709"/>
          <w:tab w:val="left" w:pos="993"/>
          <w:tab w:val="left" w:pos="1418"/>
        </w:tabs>
        <w:autoSpaceDE w:val="0"/>
        <w:autoSpaceDN w:val="0"/>
        <w:adjustRightInd w:val="0"/>
        <w:spacing w:after="0" w:line="240" w:lineRule="auto"/>
        <w:ind w:left="420" w:hanging="420"/>
        <w:jc w:val="both"/>
        <w:rPr>
          <w:rFonts w:ascii="Cambria" w:hAnsi="Cambria"/>
          <w:sz w:val="20"/>
          <w:szCs w:val="20"/>
        </w:rPr>
      </w:pPr>
    </w:p>
    <w:p w14:paraId="21029ECF" w14:textId="0D162223" w:rsidR="00307F00" w:rsidRPr="00767FBD" w:rsidRDefault="006D1DD6" w:rsidP="000F142B">
      <w:pPr>
        <w:pStyle w:val="ListParagraph"/>
        <w:numPr>
          <w:ilvl w:val="0"/>
          <w:numId w:val="30"/>
        </w:numPr>
        <w:autoSpaceDE w:val="0"/>
        <w:autoSpaceDN w:val="0"/>
        <w:adjustRightInd w:val="0"/>
        <w:spacing w:after="0" w:line="240" w:lineRule="auto"/>
        <w:ind w:left="567" w:hanging="567"/>
        <w:jc w:val="both"/>
        <w:rPr>
          <w:rFonts w:ascii="Cambria" w:hAnsi="Cambria"/>
          <w:sz w:val="20"/>
          <w:szCs w:val="20"/>
        </w:rPr>
      </w:pPr>
      <w:r w:rsidRPr="00767FBD">
        <w:rPr>
          <w:rFonts w:ascii="Cambria" w:hAnsi="Cambria"/>
          <w:sz w:val="20"/>
          <w:szCs w:val="20"/>
        </w:rPr>
        <w:t>El párrafo 10 no se aplica</w:t>
      </w:r>
      <w:r w:rsidR="00307F00" w:rsidRPr="00767FBD">
        <w:rPr>
          <w:rFonts w:ascii="Cambria" w:hAnsi="Cambria"/>
          <w:sz w:val="20"/>
          <w:szCs w:val="20"/>
        </w:rPr>
        <w:t xml:space="preserve"> a las CPC cuyo promedio de capturas </w:t>
      </w:r>
      <w:r w:rsidR="000C7A8A" w:rsidRPr="00767FBD">
        <w:rPr>
          <w:rFonts w:ascii="Cambria" w:hAnsi="Cambria"/>
          <w:sz w:val="20"/>
          <w:szCs w:val="20"/>
        </w:rPr>
        <w:t>se</w:t>
      </w:r>
      <w:r w:rsidR="0035444C" w:rsidRPr="00767FBD">
        <w:rPr>
          <w:rFonts w:ascii="Cambria" w:hAnsi="Cambria"/>
          <w:sz w:val="20"/>
          <w:szCs w:val="20"/>
        </w:rPr>
        <w:t>a</w:t>
      </w:r>
      <w:r w:rsidR="000C7A8A" w:rsidRPr="00767FBD">
        <w:rPr>
          <w:rFonts w:ascii="Cambria" w:hAnsi="Cambria"/>
          <w:sz w:val="20"/>
          <w:szCs w:val="20"/>
        </w:rPr>
        <w:t xml:space="preserve"> inferior</w:t>
      </w:r>
      <w:r w:rsidR="00307F00" w:rsidRPr="00767FBD">
        <w:rPr>
          <w:rFonts w:ascii="Cambria" w:hAnsi="Cambria"/>
          <w:sz w:val="20"/>
          <w:szCs w:val="20"/>
        </w:rPr>
        <w:t xml:space="preserve"> a 200 t.</w:t>
      </w:r>
    </w:p>
    <w:p w14:paraId="596D6751" w14:textId="77777777" w:rsidR="00307F00" w:rsidRPr="00767FBD" w:rsidRDefault="00307F00" w:rsidP="00307F00">
      <w:pPr>
        <w:tabs>
          <w:tab w:val="left" w:pos="284"/>
          <w:tab w:val="left" w:pos="567"/>
        </w:tabs>
        <w:autoSpaceDE w:val="0"/>
        <w:autoSpaceDN w:val="0"/>
        <w:adjustRightInd w:val="0"/>
        <w:spacing w:after="0" w:line="240" w:lineRule="auto"/>
        <w:ind w:left="284" w:hanging="284"/>
        <w:jc w:val="both"/>
        <w:rPr>
          <w:rFonts w:ascii="Cambria" w:hAnsi="Cambria"/>
          <w:sz w:val="20"/>
          <w:szCs w:val="20"/>
        </w:rPr>
      </w:pPr>
    </w:p>
    <w:p w14:paraId="498D5A8E" w14:textId="1B91C7A0" w:rsidR="00307F00" w:rsidRPr="00767FBD" w:rsidRDefault="0035444C" w:rsidP="00307F00">
      <w:pPr>
        <w:tabs>
          <w:tab w:val="left" w:pos="426"/>
          <w:tab w:val="left" w:pos="709"/>
          <w:tab w:val="left" w:pos="993"/>
          <w:tab w:val="left" w:pos="1418"/>
          <w:tab w:val="left" w:pos="3690"/>
        </w:tabs>
        <w:autoSpaceDE w:val="0"/>
        <w:autoSpaceDN w:val="0"/>
        <w:adjustRightInd w:val="0"/>
        <w:spacing w:after="0" w:line="240" w:lineRule="auto"/>
        <w:jc w:val="center"/>
        <w:rPr>
          <w:rFonts w:ascii="Cambria" w:hAnsi="Cambria"/>
          <w:b/>
          <w:sz w:val="20"/>
          <w:szCs w:val="20"/>
        </w:rPr>
      </w:pPr>
      <w:r w:rsidRPr="00767FBD">
        <w:rPr>
          <w:rFonts w:ascii="Cambria" w:hAnsi="Cambria"/>
          <w:b/>
          <w:sz w:val="20"/>
          <w:szCs w:val="20"/>
        </w:rPr>
        <w:t xml:space="preserve">PARTE </w:t>
      </w:r>
      <w:r w:rsidR="00307F00" w:rsidRPr="00767FBD">
        <w:rPr>
          <w:rFonts w:ascii="Cambria" w:hAnsi="Cambria"/>
          <w:b/>
          <w:sz w:val="20"/>
          <w:szCs w:val="20"/>
        </w:rPr>
        <w:t>V</w:t>
      </w:r>
    </w:p>
    <w:p w14:paraId="4ED7DF57" w14:textId="77777777" w:rsidR="00307F00" w:rsidRPr="00767FBD" w:rsidRDefault="00307F00" w:rsidP="00307F00">
      <w:pPr>
        <w:tabs>
          <w:tab w:val="left" w:pos="426"/>
          <w:tab w:val="left" w:pos="709"/>
          <w:tab w:val="left" w:pos="993"/>
          <w:tab w:val="left" w:pos="1418"/>
          <w:tab w:val="left" w:pos="3690"/>
        </w:tabs>
        <w:autoSpaceDE w:val="0"/>
        <w:autoSpaceDN w:val="0"/>
        <w:adjustRightInd w:val="0"/>
        <w:spacing w:after="0" w:line="240" w:lineRule="auto"/>
        <w:jc w:val="center"/>
        <w:rPr>
          <w:rFonts w:ascii="Cambria" w:hAnsi="Cambria"/>
          <w:b/>
          <w:sz w:val="20"/>
          <w:szCs w:val="20"/>
        </w:rPr>
      </w:pPr>
      <w:r w:rsidRPr="00767FBD">
        <w:rPr>
          <w:rFonts w:ascii="Cambria" w:hAnsi="Cambria"/>
          <w:b/>
          <w:sz w:val="20"/>
          <w:szCs w:val="20"/>
        </w:rPr>
        <w:t>MEDIDAS DE CONTROL</w:t>
      </w:r>
    </w:p>
    <w:p w14:paraId="4A9FD9B5" w14:textId="77777777" w:rsidR="00307F00" w:rsidRPr="00767FBD" w:rsidRDefault="00307F00" w:rsidP="00307F00">
      <w:pPr>
        <w:tabs>
          <w:tab w:val="left" w:pos="426"/>
          <w:tab w:val="left" w:pos="709"/>
          <w:tab w:val="left" w:pos="993"/>
          <w:tab w:val="left" w:pos="1418"/>
        </w:tabs>
        <w:autoSpaceDE w:val="0"/>
        <w:autoSpaceDN w:val="0"/>
        <w:adjustRightInd w:val="0"/>
        <w:spacing w:after="0" w:line="240" w:lineRule="auto"/>
        <w:jc w:val="both"/>
        <w:rPr>
          <w:rFonts w:ascii="Cambria" w:hAnsi="Cambria"/>
          <w:sz w:val="20"/>
          <w:szCs w:val="20"/>
        </w:rPr>
      </w:pPr>
    </w:p>
    <w:p w14:paraId="716FCB12" w14:textId="77777777" w:rsidR="00307F00" w:rsidRPr="00767FBD" w:rsidRDefault="00307F00" w:rsidP="00307F00">
      <w:pPr>
        <w:tabs>
          <w:tab w:val="left" w:pos="426"/>
          <w:tab w:val="left" w:pos="709"/>
          <w:tab w:val="left" w:pos="993"/>
          <w:tab w:val="left" w:pos="1418"/>
        </w:tabs>
        <w:autoSpaceDE w:val="0"/>
        <w:autoSpaceDN w:val="0"/>
        <w:adjustRightInd w:val="0"/>
        <w:spacing w:after="0" w:line="240" w:lineRule="auto"/>
        <w:jc w:val="both"/>
        <w:rPr>
          <w:rFonts w:ascii="Cambria" w:hAnsi="Cambria"/>
          <w:b/>
          <w:bCs/>
          <w:i/>
          <w:iCs/>
          <w:sz w:val="20"/>
          <w:szCs w:val="20"/>
        </w:rPr>
      </w:pPr>
      <w:r w:rsidRPr="00767FBD">
        <w:rPr>
          <w:rFonts w:ascii="Cambria" w:hAnsi="Cambria"/>
          <w:b/>
          <w:bCs/>
          <w:i/>
          <w:iCs/>
          <w:sz w:val="20"/>
          <w:szCs w:val="20"/>
        </w:rPr>
        <w:t>Autorización específica para pescar atún blanco del Atlántico norte y registro ICCAT de buques</w:t>
      </w:r>
    </w:p>
    <w:p w14:paraId="68CE54F7" w14:textId="77777777" w:rsidR="00307F00" w:rsidRPr="00767FBD" w:rsidRDefault="00307F00" w:rsidP="00307F00">
      <w:pPr>
        <w:tabs>
          <w:tab w:val="left" w:pos="284"/>
          <w:tab w:val="left" w:pos="567"/>
        </w:tabs>
        <w:spacing w:after="0" w:line="240" w:lineRule="auto"/>
        <w:jc w:val="both"/>
        <w:rPr>
          <w:rFonts w:ascii="Cambria" w:hAnsi="Cambria"/>
          <w:sz w:val="20"/>
          <w:szCs w:val="20"/>
        </w:rPr>
      </w:pPr>
    </w:p>
    <w:p w14:paraId="4E9E896E" w14:textId="46554BC6" w:rsidR="00307F00" w:rsidRPr="00767FBD" w:rsidRDefault="00307F00" w:rsidP="000F142B">
      <w:pPr>
        <w:pStyle w:val="ListParagraph"/>
        <w:numPr>
          <w:ilvl w:val="0"/>
          <w:numId w:val="30"/>
        </w:numPr>
        <w:autoSpaceDE w:val="0"/>
        <w:autoSpaceDN w:val="0"/>
        <w:adjustRightInd w:val="0"/>
        <w:spacing w:after="0" w:line="240" w:lineRule="auto"/>
        <w:ind w:left="567" w:hanging="567"/>
        <w:jc w:val="both"/>
        <w:rPr>
          <w:rFonts w:ascii="Cambria" w:hAnsi="Cambria"/>
          <w:sz w:val="20"/>
          <w:szCs w:val="20"/>
        </w:rPr>
      </w:pPr>
      <w:r w:rsidRPr="00767FBD">
        <w:rPr>
          <w:rFonts w:ascii="Cambria" w:hAnsi="Cambria"/>
          <w:sz w:val="20"/>
          <w:szCs w:val="20"/>
        </w:rPr>
        <w:t xml:space="preserve">Las CPC expedirán autorizaciones específicas a los buques con una eslora </w:t>
      </w:r>
      <w:r w:rsidR="00D075A4" w:rsidRPr="00767FBD">
        <w:rPr>
          <w:rFonts w:ascii="Cambria" w:hAnsi="Cambria"/>
          <w:sz w:val="20"/>
          <w:szCs w:val="20"/>
        </w:rPr>
        <w:t xml:space="preserve">total </w:t>
      </w:r>
      <w:r w:rsidRPr="00767FBD">
        <w:rPr>
          <w:rFonts w:ascii="Cambria" w:hAnsi="Cambria"/>
          <w:sz w:val="20"/>
          <w:szCs w:val="20"/>
        </w:rPr>
        <w:t>de 20 m o superior que enarbolen su pabellón autorizados a pescar atún blanco del Atlántico norte en la zona del Convenio. Cada CPC indicará qué buques ha autorizado de este modo en su lista de buques presentada de un modo acorde con la</w:t>
      </w:r>
      <w:r w:rsidRPr="00767FBD">
        <w:rPr>
          <w:rFonts w:ascii="Cambria" w:hAnsi="Cambria"/>
          <w:i/>
          <w:iCs/>
          <w:sz w:val="20"/>
          <w:szCs w:val="20"/>
        </w:rPr>
        <w:t xml:space="preserve"> Recomendación de ICCAT </w:t>
      </w:r>
      <w:r w:rsidR="00947755" w:rsidRPr="00767FBD">
        <w:rPr>
          <w:rFonts w:ascii="Cambria" w:hAnsi="Cambria"/>
          <w:i/>
          <w:iCs/>
          <w:sz w:val="20"/>
          <w:szCs w:val="20"/>
        </w:rPr>
        <w:t>que enmienda la Recomendación 13-13 sobre</w:t>
      </w:r>
      <w:r w:rsidRPr="00767FBD">
        <w:rPr>
          <w:rFonts w:ascii="Cambria" w:hAnsi="Cambria"/>
          <w:i/>
          <w:iCs/>
          <w:sz w:val="20"/>
          <w:szCs w:val="20"/>
        </w:rPr>
        <w:t xml:space="preserve"> el establecimiento de un registro ICCAT de buques con una eslora total de 20 metros o superior con autorización para operar en la zona del Convenio</w:t>
      </w:r>
      <w:r w:rsidRPr="00767FBD">
        <w:rPr>
          <w:rFonts w:ascii="Cambria" w:hAnsi="Cambria"/>
          <w:sz w:val="20"/>
          <w:szCs w:val="20"/>
        </w:rPr>
        <w:t xml:space="preserve"> </w:t>
      </w:r>
      <w:r w:rsidR="00CB18D4" w:rsidRPr="00767FBD">
        <w:rPr>
          <w:rFonts w:ascii="Cambria" w:hAnsi="Cambria"/>
          <w:sz w:val="20"/>
          <w:szCs w:val="20"/>
        </w:rPr>
        <w:t>(</w:t>
      </w:r>
      <w:r w:rsidRPr="00767FBD">
        <w:rPr>
          <w:rFonts w:ascii="Cambria" w:hAnsi="Cambria"/>
          <w:sz w:val="20"/>
          <w:szCs w:val="20"/>
        </w:rPr>
        <w:t>Rec.</w:t>
      </w:r>
      <w:r w:rsidR="00BA7CCF" w:rsidRPr="00767FBD">
        <w:rPr>
          <w:rFonts w:ascii="Cambria" w:hAnsi="Cambria"/>
          <w:sz w:val="20"/>
          <w:szCs w:val="20"/>
        </w:rPr>
        <w:t xml:space="preserve"> </w:t>
      </w:r>
      <w:r w:rsidR="00947755" w:rsidRPr="00767FBD">
        <w:rPr>
          <w:rFonts w:ascii="Cambria" w:hAnsi="Cambria"/>
          <w:sz w:val="20"/>
          <w:szCs w:val="20"/>
        </w:rPr>
        <w:t>21-14)</w:t>
      </w:r>
      <w:r w:rsidRPr="00767FBD">
        <w:rPr>
          <w:rFonts w:ascii="Cambria" w:hAnsi="Cambria"/>
          <w:sz w:val="20"/>
          <w:szCs w:val="20"/>
        </w:rPr>
        <w:t>. Se considerará que los buques pesqueros no incluidos en este registro o incluidos sin la indicación requerida de que están autorizados a pescar atún blanco del Atlántico norte no están autorizados a pescar, retener a bordo, transbordar, transportar, transferir, procesar o desembarcar atún blanco del Atlántico norte.</w:t>
      </w:r>
    </w:p>
    <w:p w14:paraId="330B2AE9" w14:textId="77777777" w:rsidR="00307F00" w:rsidRPr="00767FBD" w:rsidRDefault="00307F00" w:rsidP="00307F00">
      <w:pPr>
        <w:tabs>
          <w:tab w:val="left" w:pos="426"/>
          <w:tab w:val="left" w:pos="709"/>
          <w:tab w:val="left" w:pos="993"/>
          <w:tab w:val="left" w:pos="1418"/>
        </w:tabs>
        <w:autoSpaceDE w:val="0"/>
        <w:spacing w:after="0" w:line="240" w:lineRule="auto"/>
        <w:jc w:val="both"/>
        <w:rPr>
          <w:rFonts w:ascii="Cambria" w:hAnsi="Cambria"/>
          <w:sz w:val="20"/>
          <w:szCs w:val="20"/>
        </w:rPr>
      </w:pPr>
    </w:p>
    <w:p w14:paraId="4E7A0057" w14:textId="355A1268" w:rsidR="00307F00" w:rsidRPr="00767FBD" w:rsidRDefault="00307F00" w:rsidP="000F142B">
      <w:pPr>
        <w:pStyle w:val="ListParagraph"/>
        <w:numPr>
          <w:ilvl w:val="0"/>
          <w:numId w:val="30"/>
        </w:numPr>
        <w:autoSpaceDE w:val="0"/>
        <w:autoSpaceDN w:val="0"/>
        <w:adjustRightInd w:val="0"/>
        <w:spacing w:after="0" w:line="240" w:lineRule="auto"/>
        <w:ind w:left="567" w:hanging="567"/>
        <w:jc w:val="both"/>
        <w:rPr>
          <w:rFonts w:ascii="Cambria" w:hAnsi="Cambria"/>
          <w:sz w:val="20"/>
          <w:szCs w:val="20"/>
        </w:rPr>
      </w:pPr>
      <w:r w:rsidRPr="00767FBD">
        <w:rPr>
          <w:rFonts w:ascii="Cambria" w:hAnsi="Cambria"/>
          <w:sz w:val="20"/>
          <w:szCs w:val="20"/>
        </w:rPr>
        <w:t xml:space="preserve">Las CPC podrían permitir capturar de forma fortuita atún blanco del Atlántico norte a buques no autorizados a pescar atún blanco del Atlántico norte con arreglo al párrafo </w:t>
      </w:r>
      <w:r w:rsidR="006D1DD6" w:rsidRPr="00767FBD">
        <w:rPr>
          <w:rFonts w:ascii="Cambria" w:hAnsi="Cambria"/>
          <w:sz w:val="20"/>
          <w:szCs w:val="20"/>
        </w:rPr>
        <w:t>12</w:t>
      </w:r>
      <w:r w:rsidRPr="00767FBD">
        <w:rPr>
          <w:rFonts w:ascii="Cambria" w:hAnsi="Cambria"/>
          <w:sz w:val="20"/>
          <w:szCs w:val="20"/>
        </w:rPr>
        <w:t>, si la CPC establece un límite máximo de captura fortuita a bordo para dichos buques y la captura fortuita en cuestión se deduce de la cuota o límite de captura de la CPC. Cada CPC incluirá en su Informe anual el límite máximo de captura fortuita que permite a dichos buques. Esta información será compilada por la Secretaría de ICCAT y se transmitirá a las CPC.</w:t>
      </w:r>
    </w:p>
    <w:p w14:paraId="2F6F0CB0" w14:textId="5246782E" w:rsidR="00647ED6" w:rsidRPr="00767FBD" w:rsidRDefault="00647ED6" w:rsidP="00307F00">
      <w:pPr>
        <w:spacing w:after="0" w:line="240" w:lineRule="auto"/>
        <w:ind w:left="426" w:hanging="426"/>
        <w:jc w:val="both"/>
        <w:rPr>
          <w:rFonts w:ascii="Cambria" w:hAnsi="Cambria"/>
          <w:sz w:val="20"/>
          <w:szCs w:val="20"/>
        </w:rPr>
      </w:pPr>
    </w:p>
    <w:p w14:paraId="07A7AE50" w14:textId="77777777" w:rsidR="00647ED6" w:rsidRPr="00767FBD" w:rsidRDefault="00647ED6" w:rsidP="00647ED6">
      <w:pPr>
        <w:autoSpaceDE w:val="0"/>
        <w:autoSpaceDN w:val="0"/>
        <w:adjustRightInd w:val="0"/>
        <w:spacing w:after="0" w:line="240" w:lineRule="auto"/>
        <w:jc w:val="center"/>
        <w:rPr>
          <w:rFonts w:asciiTheme="majorHAnsi" w:hAnsiTheme="majorHAnsi" w:cs="Cambria-Bold"/>
          <w:b/>
          <w:bCs/>
          <w:sz w:val="20"/>
          <w:szCs w:val="20"/>
        </w:rPr>
      </w:pPr>
      <w:r w:rsidRPr="00767FBD">
        <w:rPr>
          <w:rFonts w:asciiTheme="majorHAnsi" w:hAnsiTheme="majorHAnsi"/>
          <w:b/>
          <w:bCs/>
          <w:sz w:val="20"/>
          <w:szCs w:val="20"/>
        </w:rPr>
        <w:t>PARTE VI</w:t>
      </w:r>
    </w:p>
    <w:p w14:paraId="46D6E08B" w14:textId="77777777" w:rsidR="00647ED6" w:rsidRPr="00767FBD" w:rsidRDefault="00647ED6" w:rsidP="00647ED6">
      <w:pPr>
        <w:autoSpaceDE w:val="0"/>
        <w:autoSpaceDN w:val="0"/>
        <w:adjustRightInd w:val="0"/>
        <w:spacing w:after="0" w:line="240" w:lineRule="auto"/>
        <w:jc w:val="center"/>
        <w:rPr>
          <w:rFonts w:asciiTheme="majorHAnsi" w:hAnsiTheme="majorHAnsi" w:cs="Cambria-Bold"/>
          <w:b/>
          <w:bCs/>
          <w:sz w:val="20"/>
          <w:szCs w:val="20"/>
        </w:rPr>
      </w:pPr>
      <w:r w:rsidRPr="00767FBD">
        <w:rPr>
          <w:rFonts w:asciiTheme="majorHAnsi" w:hAnsiTheme="majorHAnsi"/>
          <w:b/>
          <w:bCs/>
          <w:sz w:val="20"/>
          <w:szCs w:val="20"/>
        </w:rPr>
        <w:t>DISPOSICIONES FINALES</w:t>
      </w:r>
    </w:p>
    <w:p w14:paraId="3C711827" w14:textId="77777777" w:rsidR="00647ED6" w:rsidRPr="00767FBD" w:rsidRDefault="00647ED6" w:rsidP="00647ED6">
      <w:pPr>
        <w:autoSpaceDE w:val="0"/>
        <w:autoSpaceDN w:val="0"/>
        <w:adjustRightInd w:val="0"/>
        <w:spacing w:after="0" w:line="240" w:lineRule="auto"/>
        <w:jc w:val="center"/>
        <w:rPr>
          <w:rFonts w:asciiTheme="majorHAnsi" w:hAnsiTheme="majorHAnsi" w:cs="Cambria-Bold"/>
          <w:b/>
          <w:bCs/>
          <w:sz w:val="20"/>
          <w:szCs w:val="20"/>
        </w:rPr>
      </w:pPr>
    </w:p>
    <w:p w14:paraId="59B859F9" w14:textId="603EF9F6" w:rsidR="00647ED6" w:rsidRPr="00767FBD" w:rsidRDefault="00647ED6" w:rsidP="000F142B">
      <w:pPr>
        <w:pStyle w:val="ListParagraph"/>
        <w:numPr>
          <w:ilvl w:val="0"/>
          <w:numId w:val="30"/>
        </w:numPr>
        <w:autoSpaceDE w:val="0"/>
        <w:autoSpaceDN w:val="0"/>
        <w:adjustRightInd w:val="0"/>
        <w:spacing w:after="0" w:line="240" w:lineRule="auto"/>
        <w:ind w:left="567" w:hanging="567"/>
        <w:jc w:val="both"/>
        <w:rPr>
          <w:rFonts w:ascii="Cambria" w:hAnsi="Cambria" w:cs="Cambria-Italic"/>
          <w:sz w:val="20"/>
          <w:szCs w:val="20"/>
        </w:rPr>
      </w:pPr>
      <w:r w:rsidRPr="00767FBD">
        <w:rPr>
          <w:rFonts w:ascii="Cambria" w:hAnsi="Cambria"/>
          <w:sz w:val="20"/>
          <w:szCs w:val="20"/>
        </w:rPr>
        <w:t xml:space="preserve">Durante 2022-2023, </w:t>
      </w:r>
      <w:r w:rsidR="00AB687F" w:rsidRPr="00767FBD">
        <w:rPr>
          <w:rFonts w:ascii="Cambria" w:hAnsi="Cambria"/>
          <w:sz w:val="20"/>
          <w:szCs w:val="20"/>
        </w:rPr>
        <w:t xml:space="preserve">el </w:t>
      </w:r>
      <w:r w:rsidRPr="00767FBD">
        <w:rPr>
          <w:rFonts w:ascii="Cambria" w:hAnsi="Cambria"/>
          <w:sz w:val="20"/>
          <w:szCs w:val="20"/>
        </w:rPr>
        <w:t xml:space="preserve">SCRS </w:t>
      </w:r>
      <w:r w:rsidR="00AB687F" w:rsidRPr="00767FBD">
        <w:rPr>
          <w:rFonts w:ascii="Cambria" w:hAnsi="Cambria"/>
          <w:sz w:val="20"/>
          <w:szCs w:val="20"/>
        </w:rPr>
        <w:t>debería emprender los siguientes análisis</w:t>
      </w:r>
      <w:r w:rsidRPr="00767FBD">
        <w:rPr>
          <w:rFonts w:ascii="Cambria" w:hAnsi="Cambria"/>
          <w:sz w:val="20"/>
          <w:szCs w:val="20"/>
        </w:rPr>
        <w:t>:</w:t>
      </w:r>
    </w:p>
    <w:p w14:paraId="532C0327" w14:textId="77777777" w:rsidR="000C7A8A" w:rsidRPr="00767FBD" w:rsidRDefault="000C7A8A" w:rsidP="000C7A8A">
      <w:pPr>
        <w:pStyle w:val="ListParagraph"/>
        <w:autoSpaceDE w:val="0"/>
        <w:autoSpaceDN w:val="0"/>
        <w:adjustRightInd w:val="0"/>
        <w:spacing w:after="0" w:line="240" w:lineRule="auto"/>
        <w:ind w:left="360"/>
        <w:jc w:val="both"/>
        <w:rPr>
          <w:rFonts w:ascii="Cambria" w:hAnsi="Cambria" w:cs="Cambria-Italic"/>
          <w:sz w:val="20"/>
          <w:szCs w:val="20"/>
        </w:rPr>
      </w:pPr>
    </w:p>
    <w:p w14:paraId="10607C14" w14:textId="7DCBB280" w:rsidR="00647ED6" w:rsidRPr="00767FBD" w:rsidRDefault="00647ED6" w:rsidP="000F142B">
      <w:pPr>
        <w:pStyle w:val="ListParagraph"/>
        <w:numPr>
          <w:ilvl w:val="1"/>
          <w:numId w:val="35"/>
        </w:numPr>
        <w:autoSpaceDE w:val="0"/>
        <w:autoSpaceDN w:val="0"/>
        <w:adjustRightInd w:val="0"/>
        <w:spacing w:after="0" w:line="240" w:lineRule="auto"/>
        <w:ind w:left="993" w:hanging="426"/>
        <w:jc w:val="both"/>
        <w:rPr>
          <w:rFonts w:ascii="Cambria" w:hAnsi="Cambria" w:cs="Cambria-Italic"/>
          <w:sz w:val="20"/>
          <w:szCs w:val="20"/>
        </w:rPr>
      </w:pPr>
      <w:r w:rsidRPr="00767FBD">
        <w:rPr>
          <w:rFonts w:ascii="Cambria" w:hAnsi="Cambria"/>
          <w:sz w:val="20"/>
          <w:szCs w:val="20"/>
        </w:rPr>
        <w:t xml:space="preserve">realice pruebas de otras HCR que apoyen los objetivos de ordenación expresados en el párrafo 2 anterior y que estén asociados a una gama de parámetros de control más amplia que la explorada para este procedimiento de ordenación y, </w:t>
      </w:r>
      <w:r w:rsidR="000C7A8A" w:rsidRPr="00767FBD">
        <w:rPr>
          <w:rFonts w:ascii="Cambria" w:hAnsi="Cambria"/>
          <w:sz w:val="20"/>
          <w:szCs w:val="20"/>
        </w:rPr>
        <w:t>a saber,</w:t>
      </w:r>
    </w:p>
    <w:p w14:paraId="0A8BCE24" w14:textId="77777777" w:rsidR="00D075A4" w:rsidRPr="00767FBD" w:rsidRDefault="00D075A4" w:rsidP="000F142B">
      <w:pPr>
        <w:pStyle w:val="ListParagraph"/>
        <w:autoSpaceDE w:val="0"/>
        <w:autoSpaceDN w:val="0"/>
        <w:adjustRightInd w:val="0"/>
        <w:spacing w:after="0" w:line="240" w:lineRule="auto"/>
        <w:ind w:left="709"/>
        <w:jc w:val="both"/>
        <w:rPr>
          <w:rFonts w:ascii="Cambria" w:hAnsi="Cambria" w:cs="Cambria-Italic"/>
          <w:sz w:val="20"/>
          <w:szCs w:val="20"/>
        </w:rPr>
      </w:pPr>
    </w:p>
    <w:p w14:paraId="6084BDD7" w14:textId="0B15D000" w:rsidR="00647ED6" w:rsidRPr="00767FBD" w:rsidRDefault="00B1297C" w:rsidP="00647ED6">
      <w:pPr>
        <w:pStyle w:val="ListParagraph"/>
        <w:ind w:left="1440" w:firstLine="720"/>
        <w:jc w:val="both"/>
        <w:rPr>
          <w:rFonts w:ascii="Cambria" w:hAnsi="Cambria"/>
          <w:sz w:val="20"/>
          <w:szCs w:val="20"/>
        </w:rPr>
      </w:pPr>
      <w:r w:rsidRPr="00767FBD">
        <w:rPr>
          <w:rFonts w:ascii="Cambria" w:hAnsi="Cambria"/>
          <w:sz w:val="20"/>
          <w:szCs w:val="20"/>
        </w:rPr>
        <w:t>F</w:t>
      </w:r>
      <w:r w:rsidRPr="00767FBD">
        <w:rPr>
          <w:rFonts w:ascii="Cambria" w:hAnsi="Cambria"/>
          <w:sz w:val="20"/>
          <w:szCs w:val="20"/>
          <w:vertAlign w:val="subscript"/>
        </w:rPr>
        <w:t>OBJETIVO</w:t>
      </w:r>
      <w:r w:rsidR="00647ED6" w:rsidRPr="00767FBD">
        <w:rPr>
          <w:rFonts w:ascii="Cambria" w:hAnsi="Cambria"/>
          <w:sz w:val="20"/>
          <w:szCs w:val="20"/>
        </w:rPr>
        <w:t>=</w:t>
      </w:r>
      <w:r w:rsidR="000C7A8A" w:rsidRPr="00767FBD">
        <w:rPr>
          <w:rFonts w:ascii="Cambria" w:hAnsi="Cambria"/>
          <w:sz w:val="20"/>
          <w:szCs w:val="20"/>
        </w:rPr>
        <w:t xml:space="preserve"> </w:t>
      </w:r>
      <w:r w:rsidR="00647ED6" w:rsidRPr="00767FBD">
        <w:rPr>
          <w:rFonts w:ascii="Cambria" w:hAnsi="Cambria"/>
          <w:sz w:val="20"/>
          <w:szCs w:val="20"/>
        </w:rPr>
        <w:t xml:space="preserve">(0,8; </w:t>
      </w:r>
      <w:r w:rsidR="00647ED6" w:rsidRPr="00767FBD">
        <w:rPr>
          <w:rFonts w:ascii="Cambria" w:hAnsi="Cambria"/>
          <w:bCs/>
          <w:sz w:val="20"/>
          <w:szCs w:val="20"/>
        </w:rPr>
        <w:t>0,9</w:t>
      </w:r>
      <w:r w:rsidR="00647ED6" w:rsidRPr="00767FBD">
        <w:rPr>
          <w:rFonts w:ascii="Cambria" w:hAnsi="Cambria"/>
          <w:sz w:val="20"/>
          <w:szCs w:val="20"/>
        </w:rPr>
        <w:t>; 1,0) * F</w:t>
      </w:r>
    </w:p>
    <w:p w14:paraId="5F73D23F" w14:textId="71041C6F" w:rsidR="00647ED6" w:rsidRPr="00767FBD" w:rsidRDefault="00B1297C" w:rsidP="00647ED6">
      <w:pPr>
        <w:pStyle w:val="ListParagraph"/>
        <w:ind w:left="1440" w:firstLine="720"/>
        <w:jc w:val="both"/>
        <w:rPr>
          <w:rFonts w:ascii="Cambria" w:hAnsi="Cambria"/>
          <w:sz w:val="20"/>
          <w:szCs w:val="20"/>
          <w:vertAlign w:val="subscript"/>
        </w:rPr>
      </w:pPr>
      <w:r w:rsidRPr="00767FBD">
        <w:rPr>
          <w:rFonts w:ascii="Cambria" w:hAnsi="Cambria"/>
          <w:sz w:val="20"/>
          <w:szCs w:val="20"/>
        </w:rPr>
        <w:t>B</w:t>
      </w:r>
      <w:r w:rsidRPr="00767FBD">
        <w:rPr>
          <w:rFonts w:ascii="Cambria" w:hAnsi="Cambria"/>
          <w:sz w:val="20"/>
          <w:szCs w:val="20"/>
          <w:vertAlign w:val="subscript"/>
        </w:rPr>
        <w:t>UMBRAL</w:t>
      </w:r>
      <w:r w:rsidRPr="00767FBD">
        <w:rPr>
          <w:rFonts w:ascii="Cambria" w:hAnsi="Cambria"/>
          <w:sz w:val="20"/>
          <w:szCs w:val="20"/>
        </w:rPr>
        <w:t xml:space="preserve"> </w:t>
      </w:r>
      <w:r w:rsidR="00647ED6" w:rsidRPr="00767FBD">
        <w:rPr>
          <w:rFonts w:ascii="Cambria" w:hAnsi="Cambria"/>
          <w:sz w:val="20"/>
          <w:szCs w:val="20"/>
        </w:rPr>
        <w:t>=</w:t>
      </w:r>
      <w:r w:rsidR="000C7A8A" w:rsidRPr="00767FBD">
        <w:rPr>
          <w:rFonts w:ascii="Cambria" w:hAnsi="Cambria"/>
          <w:sz w:val="20"/>
          <w:szCs w:val="20"/>
        </w:rPr>
        <w:t xml:space="preserve"> </w:t>
      </w:r>
      <w:r w:rsidR="00647ED6" w:rsidRPr="00767FBD">
        <w:rPr>
          <w:rFonts w:ascii="Cambria" w:hAnsi="Cambria"/>
          <w:sz w:val="20"/>
          <w:szCs w:val="20"/>
        </w:rPr>
        <w:t xml:space="preserve">(0,8; </w:t>
      </w:r>
      <w:r w:rsidR="00647ED6" w:rsidRPr="00767FBD">
        <w:rPr>
          <w:rFonts w:ascii="Cambria" w:hAnsi="Cambria"/>
          <w:bCs/>
          <w:sz w:val="20"/>
          <w:szCs w:val="20"/>
        </w:rPr>
        <w:t>0,9</w:t>
      </w:r>
      <w:r w:rsidR="00647ED6" w:rsidRPr="00767FBD">
        <w:rPr>
          <w:rFonts w:ascii="Cambria" w:hAnsi="Cambria"/>
          <w:sz w:val="20"/>
          <w:szCs w:val="20"/>
        </w:rPr>
        <w:t xml:space="preserve">; 1,0; </w:t>
      </w:r>
      <w:r w:rsidR="00647ED6" w:rsidRPr="00767FBD">
        <w:rPr>
          <w:rFonts w:ascii="Cambria" w:hAnsi="Cambria"/>
          <w:bCs/>
          <w:sz w:val="20"/>
          <w:szCs w:val="20"/>
        </w:rPr>
        <w:t>1,1</w:t>
      </w:r>
      <w:r w:rsidR="00647ED6" w:rsidRPr="00767FBD">
        <w:rPr>
          <w:rFonts w:ascii="Cambria" w:hAnsi="Cambria"/>
          <w:sz w:val="20"/>
          <w:szCs w:val="20"/>
        </w:rPr>
        <w:t xml:space="preserve">; </w:t>
      </w:r>
      <w:r w:rsidR="00647ED6" w:rsidRPr="00767FBD">
        <w:rPr>
          <w:rFonts w:ascii="Cambria" w:hAnsi="Cambria"/>
          <w:bCs/>
          <w:sz w:val="20"/>
          <w:szCs w:val="20"/>
        </w:rPr>
        <w:t>1,2)</w:t>
      </w:r>
      <w:r w:rsidR="00647ED6" w:rsidRPr="00767FBD">
        <w:rPr>
          <w:rFonts w:ascii="Cambria" w:hAnsi="Cambria"/>
          <w:sz w:val="20"/>
          <w:szCs w:val="20"/>
        </w:rPr>
        <w:t xml:space="preserve"> * B</w:t>
      </w:r>
      <w:r w:rsidR="00647ED6" w:rsidRPr="00767FBD">
        <w:rPr>
          <w:rFonts w:ascii="Cambria" w:hAnsi="Cambria"/>
          <w:sz w:val="20"/>
          <w:szCs w:val="20"/>
          <w:vertAlign w:val="subscript"/>
        </w:rPr>
        <w:t>RMS</w:t>
      </w:r>
    </w:p>
    <w:p w14:paraId="34E41328" w14:textId="77777777" w:rsidR="000C7A8A" w:rsidRPr="00767FBD" w:rsidRDefault="000C7A8A" w:rsidP="00647ED6">
      <w:pPr>
        <w:pStyle w:val="ListParagraph"/>
        <w:ind w:left="1440" w:firstLine="720"/>
        <w:jc w:val="both"/>
        <w:rPr>
          <w:rFonts w:ascii="Cambria" w:hAnsi="Cambria"/>
          <w:sz w:val="20"/>
          <w:szCs w:val="20"/>
        </w:rPr>
      </w:pPr>
    </w:p>
    <w:p w14:paraId="79559F5D" w14:textId="77777777" w:rsidR="00647ED6" w:rsidRPr="00767FBD" w:rsidRDefault="00647ED6" w:rsidP="00647ED6">
      <w:pPr>
        <w:pStyle w:val="ListParagraph"/>
        <w:jc w:val="both"/>
        <w:rPr>
          <w:rFonts w:ascii="Cambria" w:hAnsi="Cambria"/>
          <w:sz w:val="20"/>
          <w:szCs w:val="20"/>
        </w:rPr>
      </w:pPr>
      <w:r w:rsidRPr="00767FBD">
        <w:rPr>
          <w:rFonts w:ascii="Cambria" w:hAnsi="Cambria"/>
          <w:sz w:val="20"/>
          <w:szCs w:val="20"/>
        </w:rPr>
        <w:t>El resto de los parámetros de control seguirán siendo los indicados en esta Recomendación.</w:t>
      </w:r>
    </w:p>
    <w:p w14:paraId="64CFA2E0" w14:textId="77777777" w:rsidR="00647ED6" w:rsidRPr="00767FBD" w:rsidRDefault="00647ED6" w:rsidP="00647ED6">
      <w:pPr>
        <w:pStyle w:val="ListParagraph"/>
        <w:autoSpaceDE w:val="0"/>
        <w:autoSpaceDN w:val="0"/>
        <w:adjustRightInd w:val="0"/>
        <w:spacing w:after="0" w:line="240" w:lineRule="auto"/>
        <w:ind w:left="1440"/>
        <w:jc w:val="both"/>
        <w:rPr>
          <w:rFonts w:ascii="Cambria" w:hAnsi="Cambria" w:cs="Cambria-Italic"/>
          <w:sz w:val="20"/>
          <w:szCs w:val="20"/>
        </w:rPr>
      </w:pPr>
    </w:p>
    <w:p w14:paraId="0CA86164" w14:textId="275EAF86" w:rsidR="00647ED6" w:rsidRPr="00767FBD" w:rsidRDefault="000C7A8A" w:rsidP="000F142B">
      <w:pPr>
        <w:pStyle w:val="ListParagraph"/>
        <w:numPr>
          <w:ilvl w:val="1"/>
          <w:numId w:val="35"/>
        </w:numPr>
        <w:autoSpaceDE w:val="0"/>
        <w:autoSpaceDN w:val="0"/>
        <w:adjustRightInd w:val="0"/>
        <w:spacing w:after="0" w:line="240" w:lineRule="auto"/>
        <w:ind w:left="993" w:hanging="426"/>
        <w:jc w:val="both"/>
        <w:rPr>
          <w:rFonts w:ascii="Cambria" w:hAnsi="Cambria" w:cs="Cambria-Italic"/>
          <w:sz w:val="20"/>
          <w:szCs w:val="20"/>
        </w:rPr>
      </w:pPr>
      <w:r w:rsidRPr="00767FBD">
        <w:rPr>
          <w:rFonts w:ascii="Cambria" w:hAnsi="Cambria"/>
          <w:sz w:val="20"/>
          <w:szCs w:val="20"/>
        </w:rPr>
        <w:t>e</w:t>
      </w:r>
      <w:r w:rsidR="00647ED6" w:rsidRPr="00767FBD">
        <w:rPr>
          <w:rFonts w:ascii="Cambria" w:hAnsi="Cambria"/>
          <w:sz w:val="20"/>
          <w:szCs w:val="20"/>
        </w:rPr>
        <w:t>valúe el número de series de captura por unidad de esfuerzo (CPUE) que deben estar disponibles y el porcentaje en el que los datos de capturas están infradeclarados, lo que desencadenaría una circunstancia excepcional.</w:t>
      </w:r>
    </w:p>
    <w:p w14:paraId="32ACF007" w14:textId="77777777" w:rsidR="00647ED6" w:rsidRPr="00767FBD" w:rsidRDefault="00647ED6" w:rsidP="00647ED6">
      <w:pPr>
        <w:pStyle w:val="ListParagraph"/>
        <w:autoSpaceDE w:val="0"/>
        <w:autoSpaceDN w:val="0"/>
        <w:adjustRightInd w:val="0"/>
        <w:spacing w:after="0" w:line="240" w:lineRule="auto"/>
        <w:ind w:left="1440"/>
        <w:jc w:val="both"/>
        <w:rPr>
          <w:rFonts w:ascii="Cambria" w:hAnsi="Cambria" w:cs="Cambria-Italic"/>
          <w:sz w:val="20"/>
          <w:szCs w:val="20"/>
        </w:rPr>
      </w:pPr>
    </w:p>
    <w:p w14:paraId="2F8106F3" w14:textId="27D654F0" w:rsidR="00647ED6" w:rsidRPr="00767FBD" w:rsidRDefault="00EE0A3C" w:rsidP="000C7A8A">
      <w:pPr>
        <w:pStyle w:val="ListParagraph"/>
        <w:numPr>
          <w:ilvl w:val="0"/>
          <w:numId w:val="30"/>
        </w:numPr>
        <w:spacing w:line="240" w:lineRule="auto"/>
        <w:ind w:left="567" w:hanging="567"/>
        <w:jc w:val="both"/>
        <w:rPr>
          <w:rFonts w:ascii="Cambria" w:hAnsi="Cambria"/>
          <w:bCs/>
          <w:sz w:val="20"/>
          <w:szCs w:val="20"/>
        </w:rPr>
      </w:pPr>
      <w:r w:rsidRPr="00767FBD">
        <w:rPr>
          <w:rFonts w:ascii="Cambria" w:hAnsi="Cambria"/>
          <w:sz w:val="20"/>
          <w:szCs w:val="20"/>
        </w:rPr>
        <w:t>Al asesorar a la Comisión sobre los resultados de las pruebas solicitadas en los párrafos 14(a) y (b), e</w:t>
      </w:r>
      <w:r w:rsidR="00647ED6" w:rsidRPr="00767FBD">
        <w:rPr>
          <w:rFonts w:ascii="Cambria" w:hAnsi="Cambria"/>
          <w:sz w:val="20"/>
          <w:szCs w:val="20"/>
        </w:rPr>
        <w:t xml:space="preserve">l SCRS proporcionará estadísticas de desempeño que respalden la toma de decisiones de conformidad con los indicadores de desempeño del </w:t>
      </w:r>
      <w:r w:rsidR="00647ED6" w:rsidRPr="00767FBD">
        <w:rPr>
          <w:rFonts w:ascii="Cambria" w:hAnsi="Cambria"/>
          <w:b/>
          <w:bCs/>
          <w:sz w:val="20"/>
          <w:szCs w:val="20"/>
        </w:rPr>
        <w:t xml:space="preserve">Anexo </w:t>
      </w:r>
      <w:r w:rsidR="000F142B" w:rsidRPr="00767FBD">
        <w:rPr>
          <w:rFonts w:ascii="Cambria" w:hAnsi="Cambria"/>
          <w:b/>
          <w:bCs/>
          <w:sz w:val="20"/>
          <w:szCs w:val="20"/>
        </w:rPr>
        <w:t>4</w:t>
      </w:r>
      <w:r w:rsidR="00647ED6" w:rsidRPr="00767FBD">
        <w:rPr>
          <w:rFonts w:ascii="Cambria" w:hAnsi="Cambria"/>
          <w:b/>
          <w:bCs/>
          <w:sz w:val="20"/>
          <w:szCs w:val="20"/>
        </w:rPr>
        <w:t xml:space="preserve">. </w:t>
      </w:r>
      <w:r w:rsidR="00647ED6" w:rsidRPr="00767FBD">
        <w:rPr>
          <w:rFonts w:ascii="Cambria" w:hAnsi="Cambria"/>
          <w:bCs/>
          <w:sz w:val="20"/>
          <w:szCs w:val="20"/>
        </w:rPr>
        <w:t xml:space="preserve">Cuando sea necesario, para facilitar la comunicación, el SCRS podrá limitar la presentación a las </w:t>
      </w:r>
      <w:r w:rsidR="000C7A8A" w:rsidRPr="00767FBD">
        <w:rPr>
          <w:rFonts w:ascii="Cambria" w:hAnsi="Cambria"/>
          <w:bCs/>
          <w:sz w:val="20"/>
          <w:szCs w:val="20"/>
        </w:rPr>
        <w:t>mediciones indicadas</w:t>
      </w:r>
      <w:r w:rsidR="00647ED6" w:rsidRPr="00767FBD">
        <w:rPr>
          <w:rFonts w:ascii="Cambria" w:hAnsi="Cambria"/>
          <w:bCs/>
          <w:sz w:val="20"/>
          <w:szCs w:val="20"/>
        </w:rPr>
        <w:t xml:space="preserve"> aquí.  </w:t>
      </w:r>
    </w:p>
    <w:p w14:paraId="03F459EB" w14:textId="77777777" w:rsidR="00647ED6" w:rsidRPr="00767FBD" w:rsidRDefault="00647ED6" w:rsidP="00647ED6">
      <w:pPr>
        <w:pStyle w:val="ListParagraph"/>
        <w:rPr>
          <w:rFonts w:ascii="Cambria" w:hAnsi="Cambria"/>
          <w:sz w:val="20"/>
          <w:szCs w:val="20"/>
        </w:rPr>
      </w:pPr>
    </w:p>
    <w:p w14:paraId="502A4458" w14:textId="4369DBD9" w:rsidR="00647ED6" w:rsidRPr="00767FBD" w:rsidRDefault="00647ED6" w:rsidP="000F142B">
      <w:pPr>
        <w:pStyle w:val="ListParagraph"/>
        <w:numPr>
          <w:ilvl w:val="0"/>
          <w:numId w:val="30"/>
        </w:numPr>
        <w:spacing w:line="240" w:lineRule="auto"/>
        <w:ind w:left="567" w:hanging="567"/>
        <w:jc w:val="both"/>
        <w:rPr>
          <w:rFonts w:ascii="Cambria" w:hAnsi="Cambria"/>
          <w:sz w:val="20"/>
          <w:szCs w:val="20"/>
        </w:rPr>
      </w:pPr>
      <w:r w:rsidRPr="00767FBD">
        <w:rPr>
          <w:rFonts w:ascii="Cambria" w:hAnsi="Cambria"/>
          <w:sz w:val="20"/>
          <w:szCs w:val="20"/>
        </w:rPr>
        <w:lastRenderedPageBreak/>
        <w:t xml:space="preserve">En 2023, la Comisión </w:t>
      </w:r>
      <w:r w:rsidR="00EE0A3C" w:rsidRPr="00767FBD">
        <w:rPr>
          <w:rFonts w:ascii="Cambria" w:hAnsi="Cambria"/>
          <w:sz w:val="20"/>
          <w:szCs w:val="20"/>
        </w:rPr>
        <w:t>debería examinar</w:t>
      </w:r>
      <w:r w:rsidRPr="00767FBD">
        <w:rPr>
          <w:rFonts w:ascii="Cambria" w:hAnsi="Cambria"/>
          <w:sz w:val="20"/>
          <w:szCs w:val="20"/>
        </w:rPr>
        <w:t xml:space="preserve"> el </w:t>
      </w:r>
      <w:r w:rsidR="00EE0A3C" w:rsidRPr="00767FBD">
        <w:rPr>
          <w:rFonts w:ascii="Cambria" w:hAnsi="Cambria"/>
          <w:sz w:val="20"/>
          <w:szCs w:val="20"/>
        </w:rPr>
        <w:t xml:space="preserve">MP </w:t>
      </w:r>
      <w:r w:rsidRPr="00767FBD">
        <w:rPr>
          <w:rFonts w:ascii="Cambria" w:hAnsi="Cambria"/>
          <w:sz w:val="20"/>
          <w:szCs w:val="20"/>
        </w:rPr>
        <w:t xml:space="preserve">establecido por la presente </w:t>
      </w:r>
      <w:r w:rsidR="000F142B" w:rsidRPr="00767FBD">
        <w:rPr>
          <w:rFonts w:ascii="Cambria" w:hAnsi="Cambria"/>
          <w:sz w:val="20"/>
          <w:szCs w:val="20"/>
        </w:rPr>
        <w:t xml:space="preserve">Recomendación </w:t>
      </w:r>
      <w:r w:rsidR="00C6729D" w:rsidRPr="00767FBD">
        <w:rPr>
          <w:rFonts w:ascii="Cambria" w:hAnsi="Cambria"/>
          <w:sz w:val="20"/>
          <w:szCs w:val="20"/>
        </w:rPr>
        <w:t xml:space="preserve">para considerar si se necesita alguna revisión, lo que incluye </w:t>
      </w:r>
      <w:r w:rsidRPr="00767FBD">
        <w:rPr>
          <w:rFonts w:ascii="Cambria" w:hAnsi="Cambria"/>
          <w:sz w:val="20"/>
          <w:szCs w:val="20"/>
        </w:rPr>
        <w:t>la HCR especificad</w:t>
      </w:r>
      <w:r w:rsidR="000F142B" w:rsidRPr="00767FBD">
        <w:rPr>
          <w:rFonts w:ascii="Cambria" w:hAnsi="Cambria"/>
          <w:sz w:val="20"/>
          <w:szCs w:val="20"/>
        </w:rPr>
        <w:t>a</w:t>
      </w:r>
      <w:r w:rsidRPr="00767FBD">
        <w:rPr>
          <w:rFonts w:ascii="Cambria" w:hAnsi="Cambria"/>
          <w:sz w:val="20"/>
          <w:szCs w:val="20"/>
        </w:rPr>
        <w:t xml:space="preserve"> en e</w:t>
      </w:r>
      <w:r w:rsidRPr="00767FBD">
        <w:rPr>
          <w:rFonts w:ascii="Cambria" w:hAnsi="Cambria"/>
          <w:b/>
          <w:bCs/>
          <w:sz w:val="20"/>
          <w:szCs w:val="20"/>
        </w:rPr>
        <w:t xml:space="preserve">l </w:t>
      </w:r>
      <w:r w:rsidR="000C7A8A" w:rsidRPr="00767FBD">
        <w:rPr>
          <w:rFonts w:ascii="Cambria" w:hAnsi="Cambria"/>
          <w:b/>
          <w:bCs/>
          <w:sz w:val="20"/>
          <w:szCs w:val="20"/>
        </w:rPr>
        <w:t xml:space="preserve">Anexo </w:t>
      </w:r>
      <w:r w:rsidR="000F142B" w:rsidRPr="00767FBD">
        <w:rPr>
          <w:rFonts w:ascii="Cambria" w:hAnsi="Cambria"/>
          <w:b/>
          <w:bCs/>
          <w:sz w:val="20"/>
          <w:szCs w:val="20"/>
        </w:rPr>
        <w:t>1</w:t>
      </w:r>
      <w:r w:rsidRPr="00767FBD">
        <w:rPr>
          <w:rFonts w:ascii="Cambria" w:hAnsi="Cambria"/>
          <w:sz w:val="20"/>
          <w:szCs w:val="20"/>
        </w:rPr>
        <w:t xml:space="preserve"> </w:t>
      </w:r>
      <w:r w:rsidR="00D551AB" w:rsidRPr="00767FBD">
        <w:rPr>
          <w:rFonts w:ascii="Cambria" w:hAnsi="Cambria"/>
          <w:sz w:val="20"/>
          <w:szCs w:val="20"/>
        </w:rPr>
        <w:t>teniendo en cuenta cualquier</w:t>
      </w:r>
      <w:r w:rsidRPr="00767FBD">
        <w:rPr>
          <w:rFonts w:ascii="Cambria" w:hAnsi="Cambria"/>
          <w:sz w:val="20"/>
          <w:szCs w:val="20"/>
        </w:rPr>
        <w:t xml:space="preserve"> análisis realizado por el SCRS de conformidad con los párrafos 14 y 15. </w:t>
      </w:r>
    </w:p>
    <w:p w14:paraId="008CB1C0" w14:textId="77777777" w:rsidR="00647ED6" w:rsidRPr="00767FBD" w:rsidRDefault="00647ED6" w:rsidP="00647ED6">
      <w:pPr>
        <w:pStyle w:val="ListParagraph"/>
        <w:rPr>
          <w:rFonts w:ascii="Cambria" w:hAnsi="Cambria"/>
          <w:sz w:val="20"/>
          <w:szCs w:val="20"/>
        </w:rPr>
      </w:pPr>
    </w:p>
    <w:p w14:paraId="308BB4B2" w14:textId="036A1121" w:rsidR="00647ED6" w:rsidRPr="00767FBD" w:rsidRDefault="00647ED6" w:rsidP="000C7A8A">
      <w:pPr>
        <w:pStyle w:val="ListParagraph"/>
        <w:numPr>
          <w:ilvl w:val="0"/>
          <w:numId w:val="30"/>
        </w:numPr>
        <w:spacing w:line="240" w:lineRule="auto"/>
        <w:ind w:left="567" w:hanging="567"/>
        <w:jc w:val="both"/>
        <w:rPr>
          <w:rFonts w:ascii="Cambria" w:hAnsi="Cambria"/>
          <w:sz w:val="20"/>
          <w:szCs w:val="20"/>
        </w:rPr>
      </w:pPr>
      <w:r w:rsidRPr="00767FBD">
        <w:rPr>
          <w:rFonts w:ascii="Cambria" w:hAnsi="Cambria"/>
          <w:sz w:val="20"/>
          <w:szCs w:val="20"/>
        </w:rPr>
        <w:t>A partir del periodo de ordenación 2024-2026, la Comisión adoptará un TAC anual constante de tres años</w:t>
      </w:r>
      <w:r w:rsidR="00823C0A" w:rsidRPr="00767FBD">
        <w:rPr>
          <w:rFonts w:ascii="Cambria" w:hAnsi="Cambria"/>
          <w:sz w:val="20"/>
          <w:szCs w:val="20"/>
        </w:rPr>
        <w:t xml:space="preserve">. Este TAC se basará </w:t>
      </w:r>
      <w:r w:rsidRPr="00767FBD">
        <w:rPr>
          <w:rFonts w:ascii="Cambria" w:hAnsi="Cambria"/>
          <w:sz w:val="20"/>
          <w:szCs w:val="20"/>
        </w:rPr>
        <w:t xml:space="preserve">en la aplicación del MP actual o, posiblemente, </w:t>
      </w:r>
      <w:r w:rsidR="000C7A8A" w:rsidRPr="00767FBD">
        <w:rPr>
          <w:rFonts w:ascii="Cambria" w:hAnsi="Cambria"/>
          <w:sz w:val="20"/>
          <w:szCs w:val="20"/>
        </w:rPr>
        <w:t>en</w:t>
      </w:r>
      <w:r w:rsidR="003E406B" w:rsidRPr="00767FBD">
        <w:rPr>
          <w:rFonts w:ascii="Cambria" w:hAnsi="Cambria"/>
          <w:sz w:val="20"/>
          <w:szCs w:val="20"/>
        </w:rPr>
        <w:t xml:space="preserve"> la de</w:t>
      </w:r>
      <w:r w:rsidRPr="00767FBD">
        <w:rPr>
          <w:rFonts w:ascii="Cambria" w:hAnsi="Cambria"/>
          <w:sz w:val="20"/>
          <w:szCs w:val="20"/>
        </w:rPr>
        <w:t xml:space="preserve"> un MP modificado,</w:t>
      </w:r>
      <w:r w:rsidR="00823C0A" w:rsidRPr="00767FBD">
        <w:rPr>
          <w:rFonts w:ascii="Cambria" w:hAnsi="Cambria"/>
          <w:sz w:val="20"/>
          <w:szCs w:val="20"/>
        </w:rPr>
        <w:t xml:space="preserve"> de conformidad con el párrafo 16</w:t>
      </w:r>
      <w:r w:rsidRPr="00767FBD">
        <w:rPr>
          <w:rFonts w:ascii="Cambria" w:hAnsi="Cambria"/>
          <w:sz w:val="20"/>
          <w:szCs w:val="20"/>
        </w:rPr>
        <w:t xml:space="preserve"> a menos que se requiera</w:t>
      </w:r>
      <w:r w:rsidR="00823C0A" w:rsidRPr="00767FBD">
        <w:rPr>
          <w:rFonts w:ascii="Cambria" w:hAnsi="Cambria"/>
          <w:sz w:val="20"/>
          <w:szCs w:val="20"/>
        </w:rPr>
        <w:t>n</w:t>
      </w:r>
      <w:r w:rsidRPr="00767FBD">
        <w:rPr>
          <w:rFonts w:ascii="Cambria" w:hAnsi="Cambria"/>
          <w:sz w:val="20"/>
          <w:szCs w:val="20"/>
        </w:rPr>
        <w:t xml:space="preserve"> </w:t>
      </w:r>
      <w:r w:rsidR="00823C0A" w:rsidRPr="00767FBD">
        <w:rPr>
          <w:rFonts w:ascii="Cambria" w:hAnsi="Cambria"/>
          <w:sz w:val="20"/>
          <w:szCs w:val="20"/>
        </w:rPr>
        <w:t xml:space="preserve">otras acciones de conformidad con el Protocolo de circunstancias excepcionales </w:t>
      </w:r>
      <w:r w:rsidR="0098272E" w:rsidRPr="00767FBD">
        <w:rPr>
          <w:rFonts w:ascii="Cambria" w:hAnsi="Cambria"/>
          <w:sz w:val="20"/>
          <w:szCs w:val="20"/>
        </w:rPr>
        <w:t>(</w:t>
      </w:r>
      <w:r w:rsidR="0098272E" w:rsidRPr="00767FBD">
        <w:rPr>
          <w:rFonts w:ascii="Cambria" w:hAnsi="Cambria"/>
          <w:b/>
          <w:bCs/>
          <w:sz w:val="20"/>
          <w:szCs w:val="20"/>
        </w:rPr>
        <w:t xml:space="preserve">Anexo </w:t>
      </w:r>
      <w:r w:rsidR="000F142B" w:rsidRPr="00767FBD">
        <w:rPr>
          <w:rFonts w:ascii="Cambria" w:hAnsi="Cambria"/>
          <w:b/>
          <w:bCs/>
          <w:sz w:val="20"/>
          <w:szCs w:val="20"/>
        </w:rPr>
        <w:t>2</w:t>
      </w:r>
      <w:r w:rsidR="0098272E" w:rsidRPr="00767FBD">
        <w:rPr>
          <w:rFonts w:ascii="Cambria" w:hAnsi="Cambria"/>
          <w:sz w:val="20"/>
          <w:szCs w:val="20"/>
        </w:rPr>
        <w:t xml:space="preserve">) tal y como se establece en el </w:t>
      </w:r>
      <w:r w:rsidRPr="00767FBD">
        <w:rPr>
          <w:rFonts w:ascii="Cambria" w:hAnsi="Cambria"/>
          <w:sz w:val="20"/>
          <w:szCs w:val="20"/>
        </w:rPr>
        <w:t>párrafo 4</w:t>
      </w:r>
      <w:r w:rsidR="0098272E" w:rsidRPr="00767FBD">
        <w:rPr>
          <w:rFonts w:ascii="Cambria" w:hAnsi="Cambria"/>
          <w:sz w:val="20"/>
          <w:szCs w:val="20"/>
        </w:rPr>
        <w:t>.</w:t>
      </w:r>
    </w:p>
    <w:p w14:paraId="7A9FCF01" w14:textId="77777777" w:rsidR="00647ED6" w:rsidRPr="00767FBD" w:rsidRDefault="00647ED6" w:rsidP="00647ED6">
      <w:pPr>
        <w:pStyle w:val="ListParagraph"/>
        <w:jc w:val="both"/>
        <w:rPr>
          <w:rFonts w:ascii="Cambria" w:hAnsi="Cambria"/>
          <w:sz w:val="20"/>
          <w:szCs w:val="20"/>
        </w:rPr>
      </w:pPr>
    </w:p>
    <w:p w14:paraId="5FD5437F" w14:textId="3C06528E" w:rsidR="00647ED6" w:rsidRPr="00767FBD" w:rsidRDefault="00647ED6" w:rsidP="003E406B">
      <w:pPr>
        <w:pStyle w:val="ListParagraph"/>
        <w:numPr>
          <w:ilvl w:val="0"/>
          <w:numId w:val="30"/>
        </w:numPr>
        <w:spacing w:line="240" w:lineRule="auto"/>
        <w:ind w:left="567" w:hanging="567"/>
        <w:jc w:val="both"/>
        <w:rPr>
          <w:rFonts w:ascii="Cambria" w:hAnsi="Cambria"/>
          <w:sz w:val="20"/>
          <w:szCs w:val="20"/>
        </w:rPr>
      </w:pPr>
      <w:r w:rsidRPr="00767FBD">
        <w:rPr>
          <w:rFonts w:ascii="Cambria" w:hAnsi="Cambria"/>
          <w:sz w:val="20"/>
          <w:szCs w:val="20"/>
        </w:rPr>
        <w:t xml:space="preserve">El SCRS continuará con el desarrollo de un marco </w:t>
      </w:r>
      <w:r w:rsidR="00653733" w:rsidRPr="00767FBD">
        <w:rPr>
          <w:rFonts w:ascii="Cambria" w:hAnsi="Cambria"/>
          <w:sz w:val="20"/>
          <w:szCs w:val="20"/>
        </w:rPr>
        <w:t xml:space="preserve">nuevo </w:t>
      </w:r>
      <w:r w:rsidRPr="00767FBD">
        <w:rPr>
          <w:rFonts w:ascii="Cambria" w:hAnsi="Cambria"/>
          <w:sz w:val="20"/>
          <w:szCs w:val="20"/>
        </w:rPr>
        <w:t xml:space="preserve">de </w:t>
      </w:r>
      <w:r w:rsidR="0013435A" w:rsidRPr="00767FBD">
        <w:rPr>
          <w:rFonts w:ascii="Cambria" w:hAnsi="Cambria"/>
          <w:sz w:val="20"/>
          <w:szCs w:val="20"/>
        </w:rPr>
        <w:t xml:space="preserve">una </w:t>
      </w:r>
      <w:r w:rsidRPr="00767FBD">
        <w:rPr>
          <w:rFonts w:ascii="Cambria" w:hAnsi="Cambria"/>
          <w:sz w:val="20"/>
          <w:szCs w:val="20"/>
        </w:rPr>
        <w:t xml:space="preserve">MSE para </w:t>
      </w:r>
      <w:r w:rsidR="0054311D" w:rsidRPr="00767FBD">
        <w:rPr>
          <w:rFonts w:ascii="Cambria" w:hAnsi="Cambria"/>
          <w:sz w:val="20"/>
          <w:szCs w:val="20"/>
        </w:rPr>
        <w:t xml:space="preserve">respaldar la </w:t>
      </w:r>
      <w:r w:rsidRPr="00767FBD">
        <w:rPr>
          <w:rFonts w:ascii="Cambria" w:hAnsi="Cambria"/>
          <w:sz w:val="20"/>
          <w:szCs w:val="20"/>
        </w:rPr>
        <w:t xml:space="preserve">posible adopción </w:t>
      </w:r>
      <w:r w:rsidR="0054311D" w:rsidRPr="00767FBD">
        <w:rPr>
          <w:rFonts w:ascii="Cambria" w:hAnsi="Cambria"/>
          <w:sz w:val="20"/>
          <w:szCs w:val="20"/>
        </w:rPr>
        <w:t xml:space="preserve">de un nuevo MP </w:t>
      </w:r>
      <w:r w:rsidRPr="00767FBD">
        <w:rPr>
          <w:rFonts w:ascii="Cambria" w:hAnsi="Cambria"/>
          <w:sz w:val="20"/>
          <w:szCs w:val="20"/>
        </w:rPr>
        <w:t xml:space="preserve">por parte de la Comisión a más tardar en 2026 y </w:t>
      </w:r>
      <w:r w:rsidR="003E406B" w:rsidRPr="00767FBD">
        <w:rPr>
          <w:rFonts w:ascii="Cambria" w:hAnsi="Cambria"/>
          <w:sz w:val="20"/>
          <w:szCs w:val="20"/>
        </w:rPr>
        <w:t>para el</w:t>
      </w:r>
      <w:r w:rsidRPr="00767FBD">
        <w:rPr>
          <w:rFonts w:ascii="Cambria" w:hAnsi="Cambria"/>
          <w:sz w:val="20"/>
          <w:szCs w:val="20"/>
        </w:rPr>
        <w:t xml:space="preserve"> establecimiento de un TAC para el periodo de ordenación 2027-2030.</w:t>
      </w:r>
    </w:p>
    <w:p w14:paraId="0A0B6A81" w14:textId="77777777" w:rsidR="00647ED6" w:rsidRPr="00767FBD" w:rsidRDefault="00647ED6" w:rsidP="00647ED6">
      <w:pPr>
        <w:pStyle w:val="ListParagraph"/>
        <w:ind w:left="567"/>
        <w:jc w:val="both"/>
        <w:rPr>
          <w:rFonts w:ascii="Cambria" w:hAnsi="Cambria"/>
          <w:sz w:val="20"/>
          <w:szCs w:val="20"/>
        </w:rPr>
      </w:pPr>
    </w:p>
    <w:p w14:paraId="138B578D" w14:textId="7DC1EFF5" w:rsidR="00647ED6" w:rsidRPr="00767FBD" w:rsidRDefault="00647ED6" w:rsidP="003E406B">
      <w:pPr>
        <w:pStyle w:val="ListParagraph"/>
        <w:spacing w:line="240" w:lineRule="auto"/>
        <w:ind w:left="567"/>
        <w:jc w:val="both"/>
        <w:rPr>
          <w:rFonts w:ascii="Cambria" w:hAnsi="Cambria"/>
          <w:sz w:val="20"/>
          <w:szCs w:val="20"/>
        </w:rPr>
      </w:pPr>
      <w:r w:rsidRPr="00767FBD">
        <w:rPr>
          <w:rFonts w:ascii="Cambria" w:hAnsi="Cambria"/>
          <w:sz w:val="20"/>
          <w:szCs w:val="20"/>
        </w:rPr>
        <w:t xml:space="preserve">A este respecto, también se solicita al SCRS que explore la posibilidad de definir posibles índices de CPUE adicionales, para complementar los presentados en el </w:t>
      </w:r>
      <w:r w:rsidRPr="00767FBD">
        <w:rPr>
          <w:rFonts w:ascii="Cambria" w:hAnsi="Cambria"/>
          <w:b/>
          <w:bCs/>
          <w:sz w:val="20"/>
          <w:szCs w:val="20"/>
        </w:rPr>
        <w:t xml:space="preserve">Apéndice A del </w:t>
      </w:r>
      <w:r w:rsidR="003E406B" w:rsidRPr="00767FBD">
        <w:rPr>
          <w:rFonts w:ascii="Cambria" w:hAnsi="Cambria"/>
          <w:b/>
          <w:bCs/>
          <w:sz w:val="20"/>
          <w:szCs w:val="20"/>
        </w:rPr>
        <w:t xml:space="preserve">Anexo </w:t>
      </w:r>
      <w:r w:rsidR="00BA55AA" w:rsidRPr="00767FBD">
        <w:rPr>
          <w:rFonts w:ascii="Cambria" w:hAnsi="Cambria"/>
          <w:b/>
          <w:bCs/>
          <w:sz w:val="20"/>
          <w:szCs w:val="20"/>
        </w:rPr>
        <w:t>1</w:t>
      </w:r>
      <w:r w:rsidRPr="00767FBD">
        <w:rPr>
          <w:rFonts w:ascii="Cambria" w:hAnsi="Cambria"/>
          <w:sz w:val="20"/>
          <w:szCs w:val="20"/>
        </w:rPr>
        <w:t>, así como que asesore sobre cómo se tendrán en cuenta los posibles cambios medioambientales en el desarrollo de este marco.</w:t>
      </w:r>
    </w:p>
    <w:p w14:paraId="63AA6BBA" w14:textId="77777777" w:rsidR="00647ED6" w:rsidRPr="00767FBD" w:rsidRDefault="00647ED6" w:rsidP="00647ED6">
      <w:pPr>
        <w:pStyle w:val="ListParagraph"/>
        <w:jc w:val="both"/>
        <w:rPr>
          <w:rFonts w:ascii="Cambria" w:hAnsi="Cambria"/>
          <w:sz w:val="20"/>
          <w:szCs w:val="20"/>
        </w:rPr>
      </w:pPr>
    </w:p>
    <w:p w14:paraId="1BF39E8E" w14:textId="141F88C9" w:rsidR="00647ED6" w:rsidRPr="00767FBD" w:rsidRDefault="00647ED6" w:rsidP="003E406B">
      <w:pPr>
        <w:pStyle w:val="ListParagraph"/>
        <w:numPr>
          <w:ilvl w:val="0"/>
          <w:numId w:val="30"/>
        </w:numPr>
        <w:spacing w:line="240" w:lineRule="auto"/>
        <w:ind w:left="567" w:hanging="567"/>
        <w:jc w:val="both"/>
        <w:rPr>
          <w:rFonts w:asciiTheme="majorHAnsi" w:hAnsiTheme="majorHAnsi" w:cs="Cambria-Italic"/>
          <w:sz w:val="20"/>
          <w:szCs w:val="20"/>
        </w:rPr>
      </w:pPr>
      <w:r w:rsidRPr="00767FBD">
        <w:rPr>
          <w:rFonts w:asciiTheme="majorHAnsi" w:hAnsiTheme="majorHAnsi"/>
          <w:sz w:val="20"/>
          <w:szCs w:val="20"/>
        </w:rPr>
        <w:t>Es</w:t>
      </w:r>
      <w:r w:rsidR="00BA55AA" w:rsidRPr="00767FBD">
        <w:rPr>
          <w:rFonts w:asciiTheme="majorHAnsi" w:hAnsiTheme="majorHAnsi"/>
          <w:sz w:val="20"/>
          <w:szCs w:val="20"/>
        </w:rPr>
        <w:t>t</w:t>
      </w:r>
      <w:r w:rsidRPr="00767FBD">
        <w:rPr>
          <w:rFonts w:asciiTheme="majorHAnsi" w:hAnsiTheme="majorHAnsi"/>
          <w:sz w:val="20"/>
          <w:szCs w:val="20"/>
        </w:rPr>
        <w:t xml:space="preserve">a </w:t>
      </w:r>
      <w:r w:rsidR="003E406B" w:rsidRPr="00767FBD">
        <w:rPr>
          <w:rFonts w:ascii="Cambria" w:hAnsi="Cambria"/>
          <w:sz w:val="20"/>
          <w:szCs w:val="20"/>
        </w:rPr>
        <w:t>Recomendación</w:t>
      </w:r>
      <w:r w:rsidR="003E406B" w:rsidRPr="00767FBD">
        <w:rPr>
          <w:rFonts w:asciiTheme="majorHAnsi" w:hAnsiTheme="majorHAnsi"/>
          <w:sz w:val="20"/>
          <w:szCs w:val="20"/>
        </w:rPr>
        <w:t xml:space="preserve"> </w:t>
      </w:r>
      <w:r w:rsidR="00A11403" w:rsidRPr="00767FBD">
        <w:rPr>
          <w:rFonts w:asciiTheme="majorHAnsi" w:hAnsiTheme="majorHAnsi"/>
          <w:sz w:val="20"/>
          <w:szCs w:val="20"/>
        </w:rPr>
        <w:t xml:space="preserve">revoca y sustituye </w:t>
      </w:r>
      <w:r w:rsidRPr="00767FBD">
        <w:rPr>
          <w:rFonts w:asciiTheme="majorHAnsi" w:hAnsiTheme="majorHAnsi"/>
          <w:sz w:val="20"/>
          <w:szCs w:val="20"/>
        </w:rPr>
        <w:t>a las siguientes Recomendaciones:</w:t>
      </w:r>
    </w:p>
    <w:p w14:paraId="0E2BEB15" w14:textId="77777777" w:rsidR="0035444C" w:rsidRPr="00767FBD" w:rsidRDefault="0035444C" w:rsidP="0035444C">
      <w:pPr>
        <w:pStyle w:val="ListParagraph"/>
        <w:spacing w:line="240" w:lineRule="auto"/>
        <w:ind w:left="567"/>
        <w:jc w:val="both"/>
        <w:rPr>
          <w:rFonts w:asciiTheme="majorHAnsi" w:hAnsiTheme="majorHAnsi" w:cs="Cambria-Italic"/>
          <w:sz w:val="20"/>
          <w:szCs w:val="20"/>
        </w:rPr>
      </w:pPr>
    </w:p>
    <w:p w14:paraId="3C3660C8" w14:textId="2154CBB4" w:rsidR="00647ED6" w:rsidRPr="00767FBD" w:rsidRDefault="00647ED6" w:rsidP="00BA55AA">
      <w:pPr>
        <w:pStyle w:val="ListParagraph"/>
        <w:numPr>
          <w:ilvl w:val="0"/>
          <w:numId w:val="27"/>
        </w:numPr>
        <w:autoSpaceDE w:val="0"/>
        <w:autoSpaceDN w:val="0"/>
        <w:adjustRightInd w:val="0"/>
        <w:spacing w:after="0" w:line="240" w:lineRule="auto"/>
        <w:ind w:left="1276" w:hanging="425"/>
        <w:jc w:val="both"/>
        <w:rPr>
          <w:rFonts w:asciiTheme="majorHAnsi" w:hAnsiTheme="majorHAnsi"/>
          <w:sz w:val="20"/>
          <w:szCs w:val="20"/>
        </w:rPr>
      </w:pPr>
      <w:r w:rsidRPr="00767FBD">
        <w:rPr>
          <w:rFonts w:asciiTheme="majorHAnsi" w:hAnsiTheme="majorHAnsi"/>
          <w:i/>
          <w:iCs/>
          <w:sz w:val="20"/>
          <w:szCs w:val="20"/>
        </w:rPr>
        <w:t xml:space="preserve">Recomendación de ICCAT para un programa plurianual de conservación y ordenación para el atún blanco del Atlántico norte </w:t>
      </w:r>
      <w:r w:rsidR="001640D5" w:rsidRPr="00767FBD">
        <w:rPr>
          <w:rFonts w:asciiTheme="majorHAnsi" w:hAnsiTheme="majorHAnsi"/>
          <w:sz w:val="20"/>
          <w:szCs w:val="20"/>
        </w:rPr>
        <w:t>(</w:t>
      </w:r>
      <w:r w:rsidRPr="00767FBD">
        <w:rPr>
          <w:rFonts w:asciiTheme="majorHAnsi" w:hAnsiTheme="majorHAnsi"/>
          <w:sz w:val="20"/>
          <w:szCs w:val="20"/>
        </w:rPr>
        <w:t>Rec. 16-06</w:t>
      </w:r>
      <w:r w:rsidR="001640D5" w:rsidRPr="00767FBD">
        <w:rPr>
          <w:rFonts w:asciiTheme="majorHAnsi" w:hAnsiTheme="majorHAnsi"/>
          <w:sz w:val="20"/>
          <w:szCs w:val="20"/>
        </w:rPr>
        <w:t>)</w:t>
      </w:r>
      <w:r w:rsidRPr="00767FBD">
        <w:rPr>
          <w:rFonts w:asciiTheme="majorHAnsi" w:hAnsiTheme="majorHAnsi"/>
          <w:sz w:val="20"/>
          <w:szCs w:val="20"/>
        </w:rPr>
        <w:t>;</w:t>
      </w:r>
    </w:p>
    <w:p w14:paraId="2E44DFAF" w14:textId="29DCC710" w:rsidR="00647ED6" w:rsidRPr="00767FBD" w:rsidRDefault="00647ED6" w:rsidP="00BA55AA">
      <w:pPr>
        <w:pStyle w:val="ListParagraph"/>
        <w:numPr>
          <w:ilvl w:val="0"/>
          <w:numId w:val="27"/>
        </w:numPr>
        <w:autoSpaceDE w:val="0"/>
        <w:autoSpaceDN w:val="0"/>
        <w:adjustRightInd w:val="0"/>
        <w:spacing w:after="0" w:line="240" w:lineRule="auto"/>
        <w:ind w:left="1276" w:hanging="425"/>
        <w:jc w:val="both"/>
        <w:rPr>
          <w:rFonts w:asciiTheme="majorHAnsi" w:hAnsiTheme="majorHAnsi"/>
          <w:i/>
          <w:iCs/>
          <w:sz w:val="20"/>
          <w:szCs w:val="20"/>
        </w:rPr>
      </w:pPr>
      <w:r w:rsidRPr="00767FBD">
        <w:rPr>
          <w:rFonts w:asciiTheme="majorHAnsi" w:hAnsiTheme="majorHAnsi"/>
          <w:i/>
          <w:iCs/>
          <w:sz w:val="20"/>
          <w:szCs w:val="20"/>
        </w:rPr>
        <w:t xml:space="preserve">Recomendación de ICCAT sobre normas de control de la captura para el atún blanco del Atlántico norte que complementa el programa plurianual de conservación y ordenación de la Rec. 16-06 </w:t>
      </w:r>
      <w:r w:rsidR="001640D5" w:rsidRPr="00767FBD">
        <w:rPr>
          <w:rFonts w:asciiTheme="majorHAnsi" w:hAnsiTheme="majorHAnsi"/>
          <w:sz w:val="20"/>
          <w:szCs w:val="20"/>
        </w:rPr>
        <w:t>(</w:t>
      </w:r>
      <w:r w:rsidRPr="00767FBD">
        <w:rPr>
          <w:rFonts w:asciiTheme="majorHAnsi" w:hAnsiTheme="majorHAnsi"/>
          <w:sz w:val="20"/>
          <w:szCs w:val="20"/>
        </w:rPr>
        <w:t>Rec. 17-04</w:t>
      </w:r>
      <w:r w:rsidR="001640D5" w:rsidRPr="00767FBD">
        <w:rPr>
          <w:rFonts w:asciiTheme="majorHAnsi" w:hAnsiTheme="majorHAnsi"/>
          <w:sz w:val="20"/>
          <w:szCs w:val="20"/>
        </w:rPr>
        <w:t>)</w:t>
      </w:r>
      <w:r w:rsidRPr="00767FBD">
        <w:rPr>
          <w:rFonts w:asciiTheme="majorHAnsi" w:hAnsiTheme="majorHAnsi"/>
          <w:sz w:val="20"/>
          <w:szCs w:val="20"/>
        </w:rPr>
        <w:t>;</w:t>
      </w:r>
    </w:p>
    <w:p w14:paraId="3627E539" w14:textId="13F3F5A9" w:rsidR="00647ED6" w:rsidRPr="00767FBD" w:rsidRDefault="00647ED6" w:rsidP="00BA55AA">
      <w:pPr>
        <w:pStyle w:val="ListParagraph"/>
        <w:numPr>
          <w:ilvl w:val="0"/>
          <w:numId w:val="27"/>
        </w:numPr>
        <w:autoSpaceDE w:val="0"/>
        <w:autoSpaceDN w:val="0"/>
        <w:adjustRightInd w:val="0"/>
        <w:spacing w:after="0" w:line="240" w:lineRule="auto"/>
        <w:ind w:left="1276" w:hanging="425"/>
        <w:jc w:val="both"/>
        <w:rPr>
          <w:rFonts w:ascii="Cambria" w:hAnsi="Cambria"/>
          <w:bCs/>
          <w:i/>
          <w:iCs/>
          <w:sz w:val="20"/>
          <w:szCs w:val="20"/>
        </w:rPr>
      </w:pPr>
      <w:r w:rsidRPr="00767FBD">
        <w:rPr>
          <w:rFonts w:asciiTheme="majorHAnsi" w:hAnsiTheme="majorHAnsi"/>
          <w:i/>
          <w:iCs/>
          <w:sz w:val="20"/>
          <w:szCs w:val="20"/>
        </w:rPr>
        <w:t xml:space="preserve">Recomendación de ICCAT que enmienda la Recomendación 16-06 para un programa plurianual de conservación y ordenación para el atún blanco del Atlántico norte </w:t>
      </w:r>
      <w:r w:rsidR="001640D5" w:rsidRPr="00767FBD">
        <w:rPr>
          <w:rFonts w:asciiTheme="majorHAnsi" w:hAnsiTheme="majorHAnsi"/>
          <w:sz w:val="20"/>
          <w:szCs w:val="20"/>
        </w:rPr>
        <w:t>(</w:t>
      </w:r>
      <w:r w:rsidRPr="00767FBD">
        <w:rPr>
          <w:rFonts w:asciiTheme="majorHAnsi" w:hAnsiTheme="majorHAnsi"/>
          <w:sz w:val="20"/>
          <w:szCs w:val="20"/>
        </w:rPr>
        <w:t>Rec. 20-03</w:t>
      </w:r>
      <w:r w:rsidR="001640D5" w:rsidRPr="00767FBD">
        <w:rPr>
          <w:rFonts w:asciiTheme="majorHAnsi" w:hAnsiTheme="majorHAnsi"/>
          <w:sz w:val="20"/>
          <w:szCs w:val="20"/>
        </w:rPr>
        <w:t>)</w:t>
      </w:r>
      <w:r w:rsidRPr="00767FBD">
        <w:rPr>
          <w:rFonts w:asciiTheme="majorHAnsi" w:hAnsiTheme="majorHAnsi"/>
          <w:i/>
          <w:iCs/>
          <w:sz w:val="20"/>
          <w:szCs w:val="20"/>
        </w:rPr>
        <w:t>;</w:t>
      </w:r>
    </w:p>
    <w:p w14:paraId="365435BF" w14:textId="1F3040DC" w:rsidR="00647ED6" w:rsidRPr="00767FBD" w:rsidRDefault="00647ED6" w:rsidP="00BA55AA">
      <w:pPr>
        <w:pStyle w:val="ListParagraph"/>
        <w:numPr>
          <w:ilvl w:val="0"/>
          <w:numId w:val="27"/>
        </w:numPr>
        <w:autoSpaceDE w:val="0"/>
        <w:autoSpaceDN w:val="0"/>
        <w:adjustRightInd w:val="0"/>
        <w:spacing w:after="0" w:line="240" w:lineRule="auto"/>
        <w:ind w:left="1276" w:hanging="425"/>
        <w:jc w:val="both"/>
        <w:rPr>
          <w:rFonts w:ascii="Cambria" w:hAnsi="Cambria"/>
          <w:bCs/>
          <w:i/>
          <w:iCs/>
          <w:sz w:val="20"/>
          <w:szCs w:val="20"/>
        </w:rPr>
      </w:pPr>
      <w:r w:rsidRPr="00767FBD">
        <w:rPr>
          <w:rFonts w:asciiTheme="majorHAnsi" w:hAnsiTheme="majorHAnsi"/>
          <w:i/>
          <w:iCs/>
          <w:sz w:val="20"/>
          <w:szCs w:val="20"/>
        </w:rPr>
        <w:t>Recomendación de ICCAT que enmienda la Recomendación 17-04 sobre una norma de control de la captura para el atún blanco del Atlántico norte que complementa el programa plurianual de conservación y ordenación de la Rec. 16-06</w:t>
      </w:r>
      <w:r w:rsidRPr="00767FBD">
        <w:rPr>
          <w:rFonts w:asciiTheme="majorHAnsi" w:hAnsiTheme="majorHAnsi"/>
          <w:sz w:val="20"/>
          <w:szCs w:val="20"/>
        </w:rPr>
        <w:t xml:space="preserve"> </w:t>
      </w:r>
      <w:r w:rsidR="003E406B" w:rsidRPr="00767FBD">
        <w:rPr>
          <w:rFonts w:asciiTheme="majorHAnsi" w:hAnsiTheme="majorHAnsi"/>
          <w:sz w:val="20"/>
          <w:szCs w:val="20"/>
        </w:rPr>
        <w:t>(</w:t>
      </w:r>
      <w:r w:rsidRPr="00767FBD">
        <w:rPr>
          <w:rFonts w:asciiTheme="majorHAnsi" w:hAnsiTheme="majorHAnsi"/>
          <w:sz w:val="20"/>
          <w:szCs w:val="20"/>
        </w:rPr>
        <w:t>Rec. 20-04</w:t>
      </w:r>
      <w:r w:rsidR="001640D5" w:rsidRPr="00767FBD">
        <w:rPr>
          <w:rFonts w:asciiTheme="majorHAnsi" w:hAnsiTheme="majorHAnsi"/>
          <w:sz w:val="20"/>
          <w:szCs w:val="20"/>
        </w:rPr>
        <w:t>).</w:t>
      </w:r>
      <w:r w:rsidRPr="00767FBD">
        <w:rPr>
          <w:rFonts w:asciiTheme="majorHAnsi" w:hAnsiTheme="majorHAnsi"/>
          <w:sz w:val="20"/>
          <w:szCs w:val="20"/>
        </w:rPr>
        <w:tab/>
      </w:r>
      <w:r w:rsidRPr="00767FBD">
        <w:rPr>
          <w:rFonts w:asciiTheme="majorHAnsi" w:hAnsiTheme="majorHAnsi"/>
          <w:i/>
          <w:iCs/>
          <w:sz w:val="20"/>
          <w:szCs w:val="20"/>
        </w:rPr>
        <w:tab/>
      </w:r>
    </w:p>
    <w:p w14:paraId="0D55ECF5" w14:textId="77777777" w:rsidR="002D20A0" w:rsidRPr="00767FBD" w:rsidRDefault="002D20A0" w:rsidP="002D20A0">
      <w:pPr>
        <w:autoSpaceDE w:val="0"/>
        <w:autoSpaceDN w:val="0"/>
        <w:adjustRightInd w:val="0"/>
        <w:spacing w:after="0" w:line="240" w:lineRule="auto"/>
        <w:rPr>
          <w:rFonts w:asciiTheme="majorHAnsi" w:hAnsiTheme="majorHAnsi" w:cs="Cambria"/>
          <w:sz w:val="20"/>
          <w:szCs w:val="20"/>
        </w:rPr>
      </w:pPr>
    </w:p>
    <w:p w14:paraId="68E92407" w14:textId="77777777" w:rsidR="006F330B" w:rsidRPr="00767FBD" w:rsidRDefault="006F330B" w:rsidP="006F330B">
      <w:pPr>
        <w:pStyle w:val="ListParagraph"/>
        <w:autoSpaceDE w:val="0"/>
        <w:autoSpaceDN w:val="0"/>
        <w:adjustRightInd w:val="0"/>
        <w:spacing w:after="0" w:line="240" w:lineRule="auto"/>
        <w:rPr>
          <w:rFonts w:ascii="Cambria" w:hAnsi="Cambria" w:cs="Cambria"/>
          <w:sz w:val="20"/>
          <w:szCs w:val="20"/>
        </w:rPr>
      </w:pPr>
    </w:p>
    <w:p w14:paraId="684CFDCB" w14:textId="77777777" w:rsidR="003E406B" w:rsidRPr="00767FBD" w:rsidRDefault="003E406B">
      <w:pPr>
        <w:rPr>
          <w:rFonts w:asciiTheme="majorHAnsi" w:hAnsiTheme="majorHAnsi" w:cs="Cambria-Italic"/>
          <w:b/>
          <w:bCs/>
          <w:sz w:val="20"/>
          <w:szCs w:val="20"/>
        </w:rPr>
      </w:pPr>
      <w:r w:rsidRPr="00767FBD">
        <w:rPr>
          <w:rFonts w:asciiTheme="majorHAnsi" w:hAnsiTheme="majorHAnsi" w:cs="Cambria-Italic"/>
          <w:b/>
          <w:bCs/>
          <w:sz w:val="20"/>
          <w:szCs w:val="20"/>
        </w:rPr>
        <w:br w:type="page"/>
      </w:r>
    </w:p>
    <w:p w14:paraId="457646EC" w14:textId="77777777" w:rsidR="003E406B" w:rsidRPr="00767FBD" w:rsidRDefault="003E406B" w:rsidP="0053273C">
      <w:pPr>
        <w:jc w:val="right"/>
        <w:rPr>
          <w:rFonts w:asciiTheme="majorHAnsi" w:hAnsiTheme="majorHAnsi" w:cs="Cambria-Italic"/>
          <w:b/>
          <w:bCs/>
          <w:sz w:val="20"/>
          <w:szCs w:val="20"/>
        </w:rPr>
      </w:pPr>
      <w:r w:rsidRPr="00767FBD">
        <w:rPr>
          <w:rFonts w:asciiTheme="majorHAnsi" w:hAnsiTheme="majorHAnsi" w:cs="Cambria-Italic"/>
          <w:b/>
          <w:bCs/>
          <w:sz w:val="20"/>
          <w:szCs w:val="20"/>
        </w:rPr>
        <w:lastRenderedPageBreak/>
        <w:t xml:space="preserve">Anexo </w:t>
      </w:r>
      <w:r w:rsidR="00647ED6" w:rsidRPr="00767FBD">
        <w:rPr>
          <w:rFonts w:asciiTheme="majorHAnsi" w:hAnsiTheme="majorHAnsi" w:cs="Cambria-Italic"/>
          <w:b/>
          <w:bCs/>
          <w:sz w:val="20"/>
          <w:szCs w:val="20"/>
        </w:rPr>
        <w:t>1</w:t>
      </w:r>
    </w:p>
    <w:p w14:paraId="7BAB44BA" w14:textId="6AD79653" w:rsidR="00014AA4" w:rsidRPr="00767FBD" w:rsidRDefault="00647ED6" w:rsidP="0053273C">
      <w:pPr>
        <w:jc w:val="center"/>
        <w:rPr>
          <w:rFonts w:asciiTheme="majorHAnsi" w:hAnsiTheme="majorHAnsi" w:cs="Cambria-Italic"/>
          <w:b/>
          <w:bCs/>
          <w:sz w:val="20"/>
          <w:szCs w:val="20"/>
        </w:rPr>
      </w:pPr>
      <w:r w:rsidRPr="00767FBD">
        <w:rPr>
          <w:rFonts w:asciiTheme="majorHAnsi" w:hAnsiTheme="majorHAnsi" w:cs="Cambria-Italic"/>
          <w:b/>
          <w:bCs/>
          <w:sz w:val="20"/>
          <w:szCs w:val="20"/>
        </w:rPr>
        <w:t>PROCEDIMIENTO DE ORDENACIÓN (MP)</w:t>
      </w:r>
    </w:p>
    <w:p w14:paraId="53764FB5" w14:textId="597C9F4D" w:rsidR="00187268" w:rsidRPr="00767FBD" w:rsidRDefault="00187268" w:rsidP="00187268">
      <w:pPr>
        <w:numPr>
          <w:ilvl w:val="0"/>
          <w:numId w:val="25"/>
        </w:numPr>
        <w:tabs>
          <w:tab w:val="left" w:pos="426"/>
          <w:tab w:val="left" w:pos="709"/>
          <w:tab w:val="left" w:pos="993"/>
          <w:tab w:val="left" w:pos="1418"/>
        </w:tabs>
        <w:autoSpaceDE w:val="0"/>
        <w:autoSpaceDN w:val="0"/>
        <w:adjustRightInd w:val="0"/>
        <w:spacing w:after="0" w:line="240" w:lineRule="auto"/>
        <w:ind w:left="360"/>
        <w:jc w:val="both"/>
        <w:rPr>
          <w:rFonts w:ascii="Cambria" w:eastAsia="Calibri" w:hAnsi="Cambria" w:cs="Times New Roman"/>
          <w:sz w:val="20"/>
          <w:szCs w:val="20"/>
        </w:rPr>
      </w:pPr>
      <w:r w:rsidRPr="00767FBD">
        <w:rPr>
          <w:rFonts w:ascii="Cambria" w:eastAsia="Calibri" w:hAnsi="Cambria" w:cs="Times New Roman"/>
          <w:sz w:val="20"/>
          <w:szCs w:val="20"/>
        </w:rPr>
        <w:t xml:space="preserve">A efectos del </w:t>
      </w:r>
      <w:r w:rsidR="005C4E19" w:rsidRPr="00767FBD">
        <w:rPr>
          <w:rFonts w:ascii="Cambria" w:eastAsia="Calibri" w:hAnsi="Cambria" w:cs="Times New Roman"/>
          <w:sz w:val="20"/>
          <w:szCs w:val="20"/>
        </w:rPr>
        <w:t>MP</w:t>
      </w:r>
      <w:r w:rsidRPr="00767FBD">
        <w:rPr>
          <w:rFonts w:ascii="Cambria" w:eastAsia="Calibri" w:hAnsi="Cambria" w:cs="Times New Roman"/>
          <w:sz w:val="20"/>
          <w:szCs w:val="20"/>
        </w:rPr>
        <w:t xml:space="preserve"> para el atún blanco del Atlántico norte, se establecen los siguientes puntos de referencia:</w:t>
      </w:r>
    </w:p>
    <w:p w14:paraId="7CDCA998" w14:textId="1A16B27E" w:rsidR="00187268" w:rsidRPr="00767FBD" w:rsidRDefault="00B1297C" w:rsidP="00187268">
      <w:pPr>
        <w:numPr>
          <w:ilvl w:val="1"/>
          <w:numId w:val="24"/>
        </w:numPr>
        <w:autoSpaceDE w:val="0"/>
        <w:autoSpaceDN w:val="0"/>
        <w:adjustRightInd w:val="0"/>
        <w:spacing w:before="120" w:after="120" w:line="240" w:lineRule="auto"/>
        <w:ind w:left="1077" w:hanging="357"/>
        <w:jc w:val="both"/>
        <w:rPr>
          <w:rFonts w:ascii="Cambria" w:eastAsia="Calibri" w:hAnsi="Cambria" w:cs="Times New Roman"/>
          <w:sz w:val="20"/>
          <w:szCs w:val="20"/>
        </w:rPr>
      </w:pPr>
      <w:r w:rsidRPr="00767FBD">
        <w:rPr>
          <w:rFonts w:ascii="Cambria" w:eastAsia="Times New Roman" w:hAnsi="Cambria" w:cs="Times New Roman"/>
          <w:sz w:val="20"/>
          <w:szCs w:val="20"/>
        </w:rPr>
        <w:t>B</w:t>
      </w:r>
      <w:r w:rsidRPr="00767FBD">
        <w:rPr>
          <w:rFonts w:ascii="Cambria" w:eastAsia="Times New Roman" w:hAnsi="Cambria" w:cs="Times New Roman"/>
          <w:sz w:val="20"/>
          <w:szCs w:val="20"/>
          <w:vertAlign w:val="subscript"/>
        </w:rPr>
        <w:t>UMBRAL</w:t>
      </w:r>
      <w:r w:rsidRPr="00767FBD">
        <w:rPr>
          <w:rFonts w:ascii="Cambria" w:eastAsia="Times New Roman" w:hAnsi="Cambria" w:cs="Times New Roman"/>
          <w:sz w:val="20"/>
          <w:szCs w:val="20"/>
        </w:rPr>
        <w:t xml:space="preserve"> </w:t>
      </w:r>
      <w:r w:rsidR="00187268" w:rsidRPr="00767FBD">
        <w:rPr>
          <w:rFonts w:ascii="Cambria" w:eastAsia="Times New Roman" w:hAnsi="Cambria" w:cs="Times New Roman"/>
          <w:sz w:val="20"/>
          <w:szCs w:val="20"/>
        </w:rPr>
        <w:t>= B</w:t>
      </w:r>
      <w:r w:rsidR="00187268" w:rsidRPr="00767FBD">
        <w:rPr>
          <w:rFonts w:ascii="Cambria" w:eastAsia="Times New Roman" w:hAnsi="Cambria" w:cs="Times New Roman"/>
          <w:sz w:val="20"/>
          <w:szCs w:val="20"/>
          <w:vertAlign w:val="subscript"/>
        </w:rPr>
        <w:t>RMS</w:t>
      </w:r>
    </w:p>
    <w:p w14:paraId="38631A10" w14:textId="0A4F5F85" w:rsidR="00187268" w:rsidRPr="00767FBD" w:rsidRDefault="00B1297C" w:rsidP="00187268">
      <w:pPr>
        <w:numPr>
          <w:ilvl w:val="1"/>
          <w:numId w:val="24"/>
        </w:numPr>
        <w:autoSpaceDE w:val="0"/>
        <w:autoSpaceDN w:val="0"/>
        <w:adjustRightInd w:val="0"/>
        <w:spacing w:before="120" w:after="120" w:line="240" w:lineRule="auto"/>
        <w:ind w:left="1077" w:hanging="357"/>
        <w:jc w:val="both"/>
        <w:rPr>
          <w:rFonts w:ascii="Cambria" w:eastAsia="Calibri" w:hAnsi="Cambria" w:cs="Times New Roman"/>
          <w:sz w:val="20"/>
          <w:szCs w:val="20"/>
        </w:rPr>
      </w:pPr>
      <w:r w:rsidRPr="00767FBD">
        <w:rPr>
          <w:rFonts w:ascii="Cambria" w:eastAsia="Times New Roman" w:hAnsi="Cambria" w:cs="Times New Roman"/>
          <w:sz w:val="20"/>
          <w:szCs w:val="20"/>
        </w:rPr>
        <w:t>B</w:t>
      </w:r>
      <w:r w:rsidRPr="00767FBD">
        <w:rPr>
          <w:rFonts w:ascii="Cambria" w:eastAsia="Times New Roman" w:hAnsi="Cambria" w:cs="Times New Roman"/>
          <w:sz w:val="20"/>
          <w:szCs w:val="20"/>
          <w:vertAlign w:val="subscript"/>
        </w:rPr>
        <w:t>LIM</w:t>
      </w:r>
      <w:r w:rsidRPr="00767FBD">
        <w:rPr>
          <w:rFonts w:ascii="Cambria" w:eastAsia="Times New Roman" w:hAnsi="Cambria" w:cs="Times New Roman"/>
          <w:sz w:val="20"/>
          <w:szCs w:val="20"/>
        </w:rPr>
        <w:t xml:space="preserve"> </w:t>
      </w:r>
      <w:r w:rsidR="00187268" w:rsidRPr="00767FBD">
        <w:rPr>
          <w:rFonts w:ascii="Cambria" w:eastAsia="Times New Roman" w:hAnsi="Cambria" w:cs="Times New Roman"/>
          <w:sz w:val="20"/>
          <w:szCs w:val="20"/>
        </w:rPr>
        <w:t>= 0,4*B</w:t>
      </w:r>
      <w:r w:rsidR="00187268" w:rsidRPr="00767FBD">
        <w:rPr>
          <w:rFonts w:ascii="Cambria" w:eastAsia="Times New Roman" w:hAnsi="Cambria" w:cs="Times New Roman"/>
          <w:sz w:val="20"/>
          <w:szCs w:val="20"/>
          <w:vertAlign w:val="subscript"/>
        </w:rPr>
        <w:t>RMS</w:t>
      </w:r>
    </w:p>
    <w:p w14:paraId="4CEBBCBE" w14:textId="2BA48E0C" w:rsidR="00187268" w:rsidRPr="00767FBD" w:rsidRDefault="00B1297C" w:rsidP="00187268">
      <w:pPr>
        <w:numPr>
          <w:ilvl w:val="1"/>
          <w:numId w:val="24"/>
        </w:numPr>
        <w:autoSpaceDE w:val="0"/>
        <w:autoSpaceDN w:val="0"/>
        <w:adjustRightInd w:val="0"/>
        <w:spacing w:before="120" w:after="120" w:line="240" w:lineRule="auto"/>
        <w:ind w:left="1077" w:hanging="357"/>
        <w:jc w:val="both"/>
        <w:rPr>
          <w:rFonts w:ascii="Cambria" w:eastAsia="Calibri" w:hAnsi="Cambria" w:cs="Times New Roman"/>
          <w:sz w:val="20"/>
          <w:szCs w:val="20"/>
        </w:rPr>
      </w:pPr>
      <w:r w:rsidRPr="00767FBD">
        <w:rPr>
          <w:rFonts w:ascii="Cambria" w:eastAsia="Times New Roman" w:hAnsi="Cambria" w:cs="Times New Roman"/>
          <w:sz w:val="20"/>
          <w:szCs w:val="20"/>
        </w:rPr>
        <w:t>F</w:t>
      </w:r>
      <w:r w:rsidRPr="00767FBD">
        <w:rPr>
          <w:rFonts w:ascii="Cambria" w:eastAsia="Times New Roman" w:hAnsi="Cambria" w:cs="Times New Roman"/>
          <w:sz w:val="20"/>
          <w:szCs w:val="20"/>
          <w:vertAlign w:val="subscript"/>
        </w:rPr>
        <w:t>OBJETIVO</w:t>
      </w:r>
      <w:r w:rsidR="00187268" w:rsidRPr="00767FBD">
        <w:rPr>
          <w:rFonts w:ascii="Cambria" w:eastAsia="Times New Roman" w:hAnsi="Cambria" w:cs="Times New Roman"/>
          <w:sz w:val="20"/>
          <w:szCs w:val="20"/>
        </w:rPr>
        <w:t>= 0,8*F</w:t>
      </w:r>
      <w:r w:rsidR="00187268" w:rsidRPr="00767FBD">
        <w:rPr>
          <w:rFonts w:ascii="Cambria" w:eastAsia="Times New Roman" w:hAnsi="Cambria" w:cs="Times New Roman"/>
          <w:sz w:val="20"/>
          <w:szCs w:val="20"/>
          <w:vertAlign w:val="subscript"/>
        </w:rPr>
        <w:t>RMS</w:t>
      </w:r>
    </w:p>
    <w:p w14:paraId="0AB49234" w14:textId="3DE41497" w:rsidR="00187268" w:rsidRPr="00767FBD" w:rsidRDefault="00870F3C" w:rsidP="00187268">
      <w:pPr>
        <w:numPr>
          <w:ilvl w:val="1"/>
          <w:numId w:val="24"/>
        </w:numPr>
        <w:autoSpaceDE w:val="0"/>
        <w:autoSpaceDN w:val="0"/>
        <w:adjustRightInd w:val="0"/>
        <w:spacing w:before="120" w:after="120" w:line="240" w:lineRule="auto"/>
        <w:ind w:left="1077" w:hanging="357"/>
        <w:jc w:val="both"/>
        <w:rPr>
          <w:rFonts w:ascii="Cambria" w:eastAsia="Calibri" w:hAnsi="Cambria" w:cs="Times New Roman"/>
          <w:sz w:val="20"/>
          <w:szCs w:val="20"/>
        </w:rPr>
      </w:pPr>
      <w:r w:rsidRPr="00767FBD">
        <w:rPr>
          <w:rFonts w:ascii="Cambria" w:eastAsia="Times New Roman" w:hAnsi="Cambria" w:cs="Times New Roman"/>
          <w:sz w:val="20"/>
          <w:szCs w:val="20"/>
        </w:rPr>
        <w:t>F</w:t>
      </w:r>
      <w:r w:rsidRPr="00767FBD">
        <w:rPr>
          <w:rFonts w:ascii="Cambria" w:eastAsia="Times New Roman" w:hAnsi="Cambria" w:cs="Times New Roman"/>
          <w:sz w:val="20"/>
          <w:szCs w:val="20"/>
          <w:vertAlign w:val="subscript"/>
        </w:rPr>
        <w:t>MIN</w:t>
      </w:r>
      <w:r w:rsidRPr="00767FBD">
        <w:rPr>
          <w:rFonts w:ascii="Cambria" w:eastAsia="Times New Roman" w:hAnsi="Cambria" w:cs="Times New Roman"/>
          <w:sz w:val="20"/>
          <w:szCs w:val="20"/>
        </w:rPr>
        <w:t xml:space="preserve"> </w:t>
      </w:r>
      <w:r w:rsidR="00187268" w:rsidRPr="00767FBD">
        <w:rPr>
          <w:rFonts w:ascii="Cambria" w:eastAsia="Times New Roman" w:hAnsi="Cambria" w:cs="Times New Roman"/>
          <w:sz w:val="20"/>
          <w:szCs w:val="20"/>
        </w:rPr>
        <w:t>= 0,1*F</w:t>
      </w:r>
      <w:r w:rsidR="00187268" w:rsidRPr="00767FBD">
        <w:rPr>
          <w:rFonts w:ascii="Cambria" w:eastAsia="Times New Roman" w:hAnsi="Cambria" w:cs="Times New Roman"/>
          <w:sz w:val="20"/>
          <w:szCs w:val="20"/>
          <w:vertAlign w:val="subscript"/>
        </w:rPr>
        <w:t>RMS</w:t>
      </w:r>
      <w:r w:rsidR="00187268" w:rsidRPr="00767FBD">
        <w:rPr>
          <w:rFonts w:ascii="Cambria" w:eastAsia="Times New Roman" w:hAnsi="Cambria" w:cs="Times New Roman"/>
          <w:smallCaps/>
          <w:sz w:val="20"/>
          <w:szCs w:val="20"/>
          <w:vertAlign w:val="subscript"/>
        </w:rPr>
        <w:t xml:space="preserve">  </w:t>
      </w:r>
    </w:p>
    <w:p w14:paraId="4C598BD0" w14:textId="77777777" w:rsidR="00187268" w:rsidRPr="00767FBD" w:rsidRDefault="00187268" w:rsidP="00187268">
      <w:pPr>
        <w:autoSpaceDE w:val="0"/>
        <w:autoSpaceDN w:val="0"/>
        <w:adjustRightInd w:val="0"/>
        <w:spacing w:before="120" w:after="120" w:line="240" w:lineRule="auto"/>
        <w:ind w:left="1077"/>
        <w:jc w:val="both"/>
        <w:rPr>
          <w:rFonts w:ascii="Cambria" w:eastAsia="Calibri" w:hAnsi="Cambria" w:cs="Times New Roman"/>
          <w:sz w:val="20"/>
          <w:szCs w:val="20"/>
          <w:lang w:val="en-GB"/>
        </w:rPr>
      </w:pPr>
    </w:p>
    <w:p w14:paraId="225589E0" w14:textId="49814BF9" w:rsidR="00187268" w:rsidRPr="00767FBD" w:rsidRDefault="00187268" w:rsidP="00187268">
      <w:pPr>
        <w:numPr>
          <w:ilvl w:val="0"/>
          <w:numId w:val="25"/>
        </w:numPr>
        <w:tabs>
          <w:tab w:val="left" w:pos="426"/>
          <w:tab w:val="left" w:pos="709"/>
          <w:tab w:val="left" w:pos="993"/>
          <w:tab w:val="left" w:pos="1418"/>
        </w:tabs>
        <w:autoSpaceDE w:val="0"/>
        <w:autoSpaceDN w:val="0"/>
        <w:adjustRightInd w:val="0"/>
        <w:spacing w:after="0" w:line="240" w:lineRule="auto"/>
        <w:ind w:left="357" w:hanging="357"/>
        <w:jc w:val="both"/>
        <w:rPr>
          <w:rFonts w:ascii="Cambria" w:eastAsia="Calibri" w:hAnsi="Cambria" w:cs="Times New Roman"/>
          <w:sz w:val="20"/>
          <w:szCs w:val="20"/>
        </w:rPr>
      </w:pPr>
      <w:r w:rsidRPr="00767FBD">
        <w:rPr>
          <w:rFonts w:ascii="Cambria" w:eastAsia="Calibri" w:hAnsi="Cambria" w:cs="Times New Roman"/>
          <w:sz w:val="20"/>
          <w:szCs w:val="20"/>
        </w:rPr>
        <w:t xml:space="preserve">Cada tres (3) años se llevará a cabo una evaluación de stock de atún blanco del Atlántico norte, según las especificaciones del modelo de MP y las entradas de datos tal y como se establecen en el </w:t>
      </w:r>
      <w:r w:rsidRPr="00767FBD">
        <w:rPr>
          <w:rFonts w:ascii="Cambria" w:eastAsia="Calibri" w:hAnsi="Cambria" w:cs="Times New Roman"/>
          <w:b/>
          <w:bCs/>
          <w:sz w:val="20"/>
          <w:szCs w:val="20"/>
        </w:rPr>
        <w:t>Apéndice A</w:t>
      </w:r>
      <w:r w:rsidR="00870F3C" w:rsidRPr="00767FBD">
        <w:rPr>
          <w:rFonts w:ascii="Cambria" w:eastAsia="Calibri" w:hAnsi="Cambria" w:cs="Times New Roman"/>
          <w:sz w:val="20"/>
          <w:szCs w:val="20"/>
        </w:rPr>
        <w:t>,</w:t>
      </w:r>
      <w:r w:rsidR="00870F3C" w:rsidRPr="00767FBD">
        <w:rPr>
          <w:rFonts w:ascii="Cambria" w:eastAsia="Calibri" w:hAnsi="Cambria" w:cs="Times New Roman"/>
          <w:b/>
          <w:bCs/>
          <w:sz w:val="20"/>
          <w:szCs w:val="20"/>
        </w:rPr>
        <w:t xml:space="preserve"> </w:t>
      </w:r>
      <w:r w:rsidR="00341F75" w:rsidRPr="00767FBD">
        <w:rPr>
          <w:rFonts w:ascii="Cambria" w:eastAsia="Calibri" w:hAnsi="Cambria" w:cs="Times New Roman"/>
          <w:sz w:val="20"/>
          <w:szCs w:val="20"/>
        </w:rPr>
        <w:t xml:space="preserve">más </w:t>
      </w:r>
      <w:r w:rsidR="00870F3C" w:rsidRPr="00767FBD">
        <w:rPr>
          <w:rFonts w:ascii="Cambria" w:eastAsia="Calibri" w:hAnsi="Cambria" w:cs="Times New Roman"/>
          <w:sz w:val="20"/>
          <w:szCs w:val="20"/>
        </w:rPr>
        <w:t>abajo</w:t>
      </w:r>
      <w:r w:rsidRPr="00767FBD">
        <w:rPr>
          <w:rFonts w:ascii="Cambria" w:eastAsia="Calibri" w:hAnsi="Cambria" w:cs="Times New Roman"/>
          <w:b/>
          <w:bCs/>
          <w:sz w:val="20"/>
          <w:szCs w:val="20"/>
        </w:rPr>
        <w:t>.</w:t>
      </w:r>
      <w:r w:rsidRPr="00767FBD">
        <w:rPr>
          <w:rFonts w:ascii="Cambria" w:eastAsia="Calibri" w:hAnsi="Cambria" w:cs="Times New Roman"/>
          <w:sz w:val="20"/>
          <w:szCs w:val="20"/>
        </w:rPr>
        <w:t xml:space="preserve"> La próxima evaluación de stock se realizará en 2023.</w:t>
      </w:r>
    </w:p>
    <w:p w14:paraId="46970BA6" w14:textId="77777777" w:rsidR="00187268" w:rsidRPr="00767FBD" w:rsidRDefault="00187268" w:rsidP="00187268">
      <w:pPr>
        <w:tabs>
          <w:tab w:val="left" w:pos="426"/>
          <w:tab w:val="left" w:pos="709"/>
          <w:tab w:val="left" w:pos="993"/>
          <w:tab w:val="left" w:pos="1418"/>
        </w:tabs>
        <w:autoSpaceDE w:val="0"/>
        <w:autoSpaceDN w:val="0"/>
        <w:adjustRightInd w:val="0"/>
        <w:spacing w:after="0" w:line="240" w:lineRule="auto"/>
        <w:ind w:left="357"/>
        <w:jc w:val="both"/>
        <w:rPr>
          <w:rFonts w:ascii="Cambria" w:eastAsia="Calibri" w:hAnsi="Cambria" w:cs="Times New Roman"/>
          <w:sz w:val="20"/>
          <w:szCs w:val="20"/>
        </w:rPr>
      </w:pPr>
    </w:p>
    <w:p w14:paraId="2BA6BEC4" w14:textId="0DA16399" w:rsidR="00187268" w:rsidRPr="00767FBD" w:rsidRDefault="00187268" w:rsidP="00187268">
      <w:pPr>
        <w:numPr>
          <w:ilvl w:val="0"/>
          <w:numId w:val="25"/>
        </w:numPr>
        <w:tabs>
          <w:tab w:val="left" w:pos="426"/>
          <w:tab w:val="left" w:pos="709"/>
          <w:tab w:val="left" w:pos="993"/>
          <w:tab w:val="left" w:pos="1418"/>
        </w:tabs>
        <w:autoSpaceDE w:val="0"/>
        <w:autoSpaceDN w:val="0"/>
        <w:adjustRightInd w:val="0"/>
        <w:spacing w:after="0" w:line="240" w:lineRule="auto"/>
        <w:ind w:left="357" w:hanging="357"/>
        <w:jc w:val="both"/>
        <w:rPr>
          <w:rFonts w:ascii="Cambria" w:eastAsia="Calibri" w:hAnsi="Cambria" w:cs="Times New Roman"/>
          <w:sz w:val="20"/>
          <w:szCs w:val="20"/>
        </w:rPr>
      </w:pPr>
      <w:r w:rsidRPr="00767FBD">
        <w:rPr>
          <w:rFonts w:ascii="Cambria" w:eastAsia="Calibri" w:hAnsi="Cambria" w:cs="Times New Roman"/>
          <w:sz w:val="20"/>
          <w:szCs w:val="20"/>
        </w:rPr>
        <w:t>El MP se aplicará para establecer un total admisible de captura constante anual para tres años utilizando los tres valores siguientes estimados a partir de cada evaluación de stock. Para cada valor se utilizarán los valores de la mediana tal y como se comunican en la tabla resumen del informe del SCRS:</w:t>
      </w:r>
    </w:p>
    <w:p w14:paraId="36F1286A" w14:textId="77777777" w:rsidR="00187268" w:rsidRPr="00767FBD" w:rsidRDefault="00187268" w:rsidP="00187268">
      <w:pPr>
        <w:tabs>
          <w:tab w:val="left" w:pos="426"/>
          <w:tab w:val="left" w:pos="709"/>
          <w:tab w:val="left" w:pos="993"/>
          <w:tab w:val="left" w:pos="1418"/>
        </w:tabs>
        <w:autoSpaceDE w:val="0"/>
        <w:autoSpaceDN w:val="0"/>
        <w:adjustRightInd w:val="0"/>
        <w:spacing w:after="0" w:line="240" w:lineRule="auto"/>
        <w:ind w:left="357"/>
        <w:jc w:val="both"/>
        <w:rPr>
          <w:rFonts w:ascii="Cambria" w:eastAsia="Calibri" w:hAnsi="Cambria" w:cs="Times New Roman"/>
          <w:sz w:val="20"/>
          <w:szCs w:val="20"/>
        </w:rPr>
      </w:pPr>
    </w:p>
    <w:p w14:paraId="5CA841B9" w14:textId="511189E8" w:rsidR="00187268" w:rsidRPr="00767FBD" w:rsidRDefault="00187268" w:rsidP="00187268">
      <w:pPr>
        <w:numPr>
          <w:ilvl w:val="1"/>
          <w:numId w:val="25"/>
        </w:numPr>
        <w:tabs>
          <w:tab w:val="left" w:pos="426"/>
          <w:tab w:val="left" w:pos="709"/>
          <w:tab w:val="left" w:pos="993"/>
          <w:tab w:val="left" w:pos="1418"/>
        </w:tabs>
        <w:autoSpaceDE w:val="0"/>
        <w:autoSpaceDN w:val="0"/>
        <w:adjustRightInd w:val="0"/>
        <w:spacing w:after="0" w:line="240" w:lineRule="auto"/>
        <w:ind w:left="1080"/>
        <w:jc w:val="both"/>
        <w:rPr>
          <w:rFonts w:ascii="Cambria" w:eastAsia="Calibri" w:hAnsi="Cambria" w:cs="Times New Roman"/>
          <w:sz w:val="20"/>
          <w:szCs w:val="20"/>
        </w:rPr>
      </w:pPr>
      <w:r w:rsidRPr="00767FBD">
        <w:rPr>
          <w:rFonts w:ascii="Cambria" w:eastAsia="Calibri" w:hAnsi="Cambria" w:cs="Times New Roman"/>
          <w:sz w:val="20"/>
          <w:szCs w:val="20"/>
        </w:rPr>
        <w:t xml:space="preserve">La estimación de la biomasa actual del stock </w:t>
      </w:r>
      <w:r w:rsidR="00870F3C" w:rsidRPr="00767FBD">
        <w:rPr>
          <w:rFonts w:ascii="Cambria" w:eastAsia="Calibri" w:hAnsi="Cambria" w:cs="Times New Roman"/>
          <w:sz w:val="20"/>
          <w:szCs w:val="20"/>
        </w:rPr>
        <w:t>(</w:t>
      </w:r>
      <w:r w:rsidR="00B1297C" w:rsidRPr="00767FBD">
        <w:rPr>
          <w:rFonts w:ascii="Cambria" w:eastAsia="Calibri" w:hAnsi="Cambria" w:cs="Times New Roman"/>
          <w:sz w:val="20"/>
          <w:szCs w:val="20"/>
        </w:rPr>
        <w:t>B</w:t>
      </w:r>
      <w:r w:rsidR="00B1297C" w:rsidRPr="00767FBD">
        <w:rPr>
          <w:rFonts w:ascii="Cambria" w:eastAsia="Calibri" w:hAnsi="Cambria" w:cs="Times New Roman"/>
          <w:sz w:val="20"/>
          <w:szCs w:val="20"/>
          <w:vertAlign w:val="subscript"/>
        </w:rPr>
        <w:t>ACTUAL</w:t>
      </w:r>
      <w:r w:rsidR="00870F3C" w:rsidRPr="00767FBD">
        <w:rPr>
          <w:rFonts w:ascii="Cambria" w:eastAsia="Calibri" w:hAnsi="Cambria" w:cs="Times New Roman"/>
          <w:sz w:val="20"/>
          <w:szCs w:val="20"/>
        </w:rPr>
        <w:t>)</w:t>
      </w:r>
      <w:r w:rsidR="00341F75" w:rsidRPr="00767FBD">
        <w:rPr>
          <w:rFonts w:ascii="Cambria" w:eastAsia="Calibri" w:hAnsi="Cambria" w:cs="Times New Roman"/>
          <w:sz w:val="20"/>
          <w:szCs w:val="20"/>
        </w:rPr>
        <w:t>.</w:t>
      </w:r>
    </w:p>
    <w:p w14:paraId="3DEE4088" w14:textId="317E7661" w:rsidR="00187268" w:rsidRPr="00767FBD" w:rsidRDefault="00187268" w:rsidP="00187268">
      <w:pPr>
        <w:numPr>
          <w:ilvl w:val="1"/>
          <w:numId w:val="25"/>
        </w:numPr>
        <w:tabs>
          <w:tab w:val="left" w:pos="426"/>
          <w:tab w:val="left" w:pos="709"/>
          <w:tab w:val="left" w:pos="993"/>
          <w:tab w:val="left" w:pos="1418"/>
        </w:tabs>
        <w:autoSpaceDE w:val="0"/>
        <w:autoSpaceDN w:val="0"/>
        <w:adjustRightInd w:val="0"/>
        <w:spacing w:after="0" w:line="240" w:lineRule="auto"/>
        <w:ind w:left="1080"/>
        <w:jc w:val="both"/>
        <w:rPr>
          <w:rFonts w:ascii="Cambria" w:eastAsia="Calibri" w:hAnsi="Cambria" w:cs="Times New Roman"/>
          <w:sz w:val="20"/>
          <w:szCs w:val="20"/>
        </w:rPr>
      </w:pPr>
      <w:r w:rsidRPr="00767FBD">
        <w:rPr>
          <w:rFonts w:ascii="Cambria" w:eastAsia="Calibri" w:hAnsi="Cambria" w:cs="Times New Roman"/>
          <w:sz w:val="20"/>
          <w:szCs w:val="20"/>
        </w:rPr>
        <w:t>La estimación de la biomasa del stock en rendimiento máximo sostenible (B</w:t>
      </w:r>
      <w:r w:rsidRPr="00767FBD">
        <w:rPr>
          <w:rFonts w:ascii="Cambria" w:eastAsia="Calibri" w:hAnsi="Cambria" w:cs="Times New Roman"/>
          <w:sz w:val="20"/>
          <w:szCs w:val="20"/>
          <w:vertAlign w:val="subscript"/>
        </w:rPr>
        <w:t>RMS</w:t>
      </w:r>
      <w:r w:rsidRPr="00767FBD">
        <w:rPr>
          <w:rFonts w:ascii="Cambria" w:eastAsia="Calibri" w:hAnsi="Cambria" w:cs="Times New Roman"/>
          <w:sz w:val="20"/>
          <w:szCs w:val="20"/>
        </w:rPr>
        <w:t>)</w:t>
      </w:r>
      <w:r w:rsidR="00341F75" w:rsidRPr="00767FBD">
        <w:rPr>
          <w:rFonts w:ascii="Cambria" w:eastAsia="Calibri" w:hAnsi="Cambria" w:cs="Times New Roman"/>
          <w:sz w:val="20"/>
          <w:szCs w:val="20"/>
        </w:rPr>
        <w:t>.</w:t>
      </w:r>
    </w:p>
    <w:p w14:paraId="782E7194" w14:textId="0C201510" w:rsidR="00187268" w:rsidRPr="00767FBD" w:rsidRDefault="00187268" w:rsidP="00187268">
      <w:pPr>
        <w:numPr>
          <w:ilvl w:val="1"/>
          <w:numId w:val="25"/>
        </w:numPr>
        <w:tabs>
          <w:tab w:val="left" w:pos="426"/>
          <w:tab w:val="left" w:pos="709"/>
          <w:tab w:val="left" w:pos="993"/>
          <w:tab w:val="left" w:pos="1418"/>
        </w:tabs>
        <w:autoSpaceDE w:val="0"/>
        <w:autoSpaceDN w:val="0"/>
        <w:adjustRightInd w:val="0"/>
        <w:spacing w:after="0" w:line="240" w:lineRule="auto"/>
        <w:ind w:left="1080"/>
        <w:jc w:val="both"/>
        <w:rPr>
          <w:rFonts w:ascii="Cambria" w:eastAsia="Calibri" w:hAnsi="Cambria" w:cs="Times New Roman"/>
          <w:sz w:val="20"/>
          <w:szCs w:val="20"/>
        </w:rPr>
      </w:pPr>
      <w:r w:rsidRPr="00767FBD">
        <w:rPr>
          <w:rFonts w:ascii="Cambria" w:eastAsia="Calibri" w:hAnsi="Cambria" w:cs="Times New Roman"/>
          <w:sz w:val="20"/>
          <w:szCs w:val="20"/>
        </w:rPr>
        <w:t>La estimación de la mortalidad por pesca en RMS (F</w:t>
      </w:r>
      <w:r w:rsidRPr="00767FBD">
        <w:rPr>
          <w:rFonts w:ascii="Cambria" w:eastAsia="Calibri" w:hAnsi="Cambria" w:cs="Times New Roman"/>
          <w:sz w:val="20"/>
          <w:szCs w:val="20"/>
          <w:vertAlign w:val="subscript"/>
        </w:rPr>
        <w:t>RMS</w:t>
      </w:r>
      <w:r w:rsidRPr="00767FBD">
        <w:rPr>
          <w:rFonts w:ascii="Cambria" w:eastAsia="Calibri" w:hAnsi="Cambria" w:cs="Times New Roman"/>
          <w:sz w:val="20"/>
          <w:szCs w:val="20"/>
        </w:rPr>
        <w:t>)</w:t>
      </w:r>
      <w:r w:rsidR="00870F3C" w:rsidRPr="00767FBD">
        <w:rPr>
          <w:rFonts w:ascii="Cambria" w:eastAsia="Calibri" w:hAnsi="Cambria" w:cs="Times New Roman"/>
          <w:sz w:val="20"/>
          <w:szCs w:val="20"/>
        </w:rPr>
        <w:t>.</w:t>
      </w:r>
    </w:p>
    <w:p w14:paraId="16E0BF17" w14:textId="77777777" w:rsidR="00187268" w:rsidRPr="00767FBD" w:rsidRDefault="00187268" w:rsidP="00187268">
      <w:pPr>
        <w:tabs>
          <w:tab w:val="left" w:pos="426"/>
          <w:tab w:val="left" w:pos="709"/>
          <w:tab w:val="left" w:pos="993"/>
          <w:tab w:val="left" w:pos="1418"/>
        </w:tabs>
        <w:autoSpaceDE w:val="0"/>
        <w:autoSpaceDN w:val="0"/>
        <w:adjustRightInd w:val="0"/>
        <w:spacing w:after="0" w:line="240" w:lineRule="auto"/>
        <w:ind w:left="1080"/>
        <w:jc w:val="both"/>
        <w:rPr>
          <w:rFonts w:ascii="Cambria" w:eastAsia="Calibri" w:hAnsi="Cambria" w:cs="Times New Roman"/>
          <w:sz w:val="20"/>
          <w:szCs w:val="20"/>
        </w:rPr>
      </w:pPr>
    </w:p>
    <w:p w14:paraId="28C8223E" w14:textId="64534690" w:rsidR="00187268" w:rsidRPr="00767FBD" w:rsidRDefault="00187268" w:rsidP="00187268">
      <w:pPr>
        <w:numPr>
          <w:ilvl w:val="0"/>
          <w:numId w:val="25"/>
        </w:numPr>
        <w:tabs>
          <w:tab w:val="left" w:pos="426"/>
          <w:tab w:val="left" w:pos="709"/>
          <w:tab w:val="left" w:pos="993"/>
          <w:tab w:val="left" w:pos="1418"/>
        </w:tabs>
        <w:autoSpaceDE w:val="0"/>
        <w:autoSpaceDN w:val="0"/>
        <w:adjustRightInd w:val="0"/>
        <w:spacing w:after="0" w:line="240" w:lineRule="auto"/>
        <w:ind w:left="360"/>
        <w:jc w:val="both"/>
        <w:rPr>
          <w:rFonts w:ascii="Cambria" w:eastAsia="Calibri" w:hAnsi="Cambria" w:cs="Times New Roman"/>
          <w:sz w:val="20"/>
          <w:szCs w:val="20"/>
        </w:rPr>
      </w:pPr>
      <w:r w:rsidRPr="00767FBD">
        <w:rPr>
          <w:rFonts w:ascii="Cambria" w:eastAsia="Calibri" w:hAnsi="Cambria" w:cs="Times New Roman"/>
          <w:sz w:val="20"/>
          <w:szCs w:val="20"/>
        </w:rPr>
        <w:t>La norma de control de la captura en el marco del MP</w:t>
      </w:r>
      <w:r w:rsidR="0054311D" w:rsidRPr="00767FBD">
        <w:rPr>
          <w:rFonts w:ascii="Cambria" w:eastAsia="Calibri" w:hAnsi="Cambria" w:cs="Times New Roman"/>
          <w:sz w:val="20"/>
          <w:szCs w:val="20"/>
        </w:rPr>
        <w:t xml:space="preserve"> </w:t>
      </w:r>
      <w:r w:rsidRPr="00767FBD">
        <w:rPr>
          <w:rFonts w:ascii="Cambria" w:eastAsia="Calibri" w:hAnsi="Cambria" w:cs="Times New Roman"/>
          <w:sz w:val="20"/>
          <w:szCs w:val="20"/>
        </w:rPr>
        <w:t xml:space="preserve">tendrá la forma establecida en el </w:t>
      </w:r>
      <w:r w:rsidRPr="00767FBD">
        <w:rPr>
          <w:rFonts w:ascii="Cambria" w:eastAsia="Calibri" w:hAnsi="Cambria" w:cs="Times New Roman"/>
          <w:b/>
          <w:bCs/>
          <w:sz w:val="20"/>
          <w:szCs w:val="20"/>
        </w:rPr>
        <w:t>Apéndice B</w:t>
      </w:r>
      <w:r w:rsidR="00341F75" w:rsidRPr="00767FBD">
        <w:rPr>
          <w:rFonts w:ascii="Cambria" w:eastAsia="Calibri" w:hAnsi="Cambria" w:cs="Times New Roman"/>
          <w:b/>
          <w:bCs/>
          <w:sz w:val="20"/>
          <w:szCs w:val="20"/>
        </w:rPr>
        <w:t xml:space="preserve"> </w:t>
      </w:r>
      <w:r w:rsidR="00341F75" w:rsidRPr="00767FBD">
        <w:rPr>
          <w:rFonts w:ascii="Cambria" w:eastAsia="Calibri" w:hAnsi="Cambria" w:cs="Times New Roman"/>
          <w:sz w:val="20"/>
          <w:szCs w:val="20"/>
        </w:rPr>
        <w:t>a continuación</w:t>
      </w:r>
      <w:r w:rsidR="00870F3C" w:rsidRPr="00767FBD">
        <w:rPr>
          <w:rFonts w:ascii="Cambria" w:eastAsia="Calibri" w:hAnsi="Cambria" w:cs="Times New Roman"/>
          <w:sz w:val="20"/>
          <w:szCs w:val="20"/>
        </w:rPr>
        <w:t xml:space="preserve"> </w:t>
      </w:r>
      <w:r w:rsidRPr="00767FBD">
        <w:rPr>
          <w:rFonts w:ascii="Cambria" w:eastAsia="Calibri" w:hAnsi="Cambria" w:cs="Times New Roman"/>
          <w:sz w:val="20"/>
          <w:szCs w:val="20"/>
        </w:rPr>
        <w:t>y los siguientes parámetros de control establecidos en los puntos (a) a (f)</w:t>
      </w:r>
      <w:r w:rsidR="0053273C" w:rsidRPr="00767FBD">
        <w:rPr>
          <w:rFonts w:ascii="Cambria" w:eastAsia="Calibri" w:hAnsi="Cambria" w:cs="Times New Roman"/>
          <w:sz w:val="20"/>
          <w:szCs w:val="20"/>
        </w:rPr>
        <w:t xml:space="preserve"> siguientes</w:t>
      </w:r>
      <w:r w:rsidRPr="00767FBD">
        <w:rPr>
          <w:rFonts w:ascii="Cambria" w:eastAsia="Calibri" w:hAnsi="Cambria" w:cs="Times New Roman"/>
          <w:sz w:val="20"/>
          <w:szCs w:val="20"/>
        </w:rPr>
        <w:t>:</w:t>
      </w:r>
    </w:p>
    <w:p w14:paraId="31834EA5" w14:textId="77777777" w:rsidR="00187268" w:rsidRPr="00767FBD" w:rsidRDefault="00187268" w:rsidP="00187268">
      <w:pPr>
        <w:tabs>
          <w:tab w:val="left" w:pos="426"/>
          <w:tab w:val="left" w:pos="709"/>
          <w:tab w:val="left" w:pos="993"/>
          <w:tab w:val="left" w:pos="1418"/>
        </w:tabs>
        <w:autoSpaceDE w:val="0"/>
        <w:autoSpaceDN w:val="0"/>
        <w:adjustRightInd w:val="0"/>
        <w:spacing w:after="0" w:line="240" w:lineRule="auto"/>
        <w:ind w:left="360"/>
        <w:jc w:val="both"/>
        <w:rPr>
          <w:rFonts w:ascii="Cambria" w:eastAsia="Calibri" w:hAnsi="Cambria" w:cs="Times New Roman"/>
          <w:sz w:val="20"/>
          <w:szCs w:val="20"/>
        </w:rPr>
      </w:pPr>
    </w:p>
    <w:p w14:paraId="20D67885" w14:textId="02676B71" w:rsidR="00187268" w:rsidRPr="00767FBD" w:rsidRDefault="00187268" w:rsidP="00187268">
      <w:pPr>
        <w:numPr>
          <w:ilvl w:val="1"/>
          <w:numId w:val="25"/>
        </w:numPr>
        <w:tabs>
          <w:tab w:val="left" w:pos="426"/>
          <w:tab w:val="left" w:pos="709"/>
          <w:tab w:val="left" w:pos="993"/>
          <w:tab w:val="left" w:pos="1418"/>
        </w:tabs>
        <w:autoSpaceDE w:val="0"/>
        <w:autoSpaceDN w:val="0"/>
        <w:adjustRightInd w:val="0"/>
        <w:spacing w:after="0" w:line="240" w:lineRule="auto"/>
        <w:ind w:left="1080"/>
        <w:jc w:val="both"/>
        <w:rPr>
          <w:rFonts w:ascii="Cambria" w:eastAsia="Calibri" w:hAnsi="Cambria" w:cs="Times New Roman"/>
          <w:sz w:val="20"/>
          <w:szCs w:val="20"/>
        </w:rPr>
      </w:pPr>
      <w:r w:rsidRPr="00767FBD">
        <w:rPr>
          <w:rFonts w:ascii="Cambria" w:eastAsia="Calibri" w:hAnsi="Cambria" w:cs="Times New Roman"/>
          <w:sz w:val="20"/>
          <w:szCs w:val="20"/>
        </w:rPr>
        <w:t xml:space="preserve">  El nivel de biomasa umbral (</w:t>
      </w:r>
      <w:r w:rsidR="00B1297C" w:rsidRPr="00767FBD">
        <w:rPr>
          <w:rFonts w:ascii="Cambria" w:eastAsia="Calibri" w:hAnsi="Cambria" w:cs="Times New Roman"/>
          <w:sz w:val="20"/>
          <w:szCs w:val="20"/>
        </w:rPr>
        <w:t>B</w:t>
      </w:r>
      <w:r w:rsidR="00B1297C" w:rsidRPr="00767FBD">
        <w:rPr>
          <w:rFonts w:ascii="Cambria" w:eastAsia="Calibri" w:hAnsi="Cambria" w:cs="Times New Roman"/>
          <w:sz w:val="20"/>
          <w:szCs w:val="20"/>
          <w:vertAlign w:val="subscript"/>
        </w:rPr>
        <w:t>UMBRAL</w:t>
      </w:r>
      <w:r w:rsidRPr="00767FBD">
        <w:rPr>
          <w:rFonts w:ascii="Cambria" w:eastAsia="Calibri" w:hAnsi="Cambria" w:cs="Times New Roman"/>
          <w:sz w:val="20"/>
          <w:szCs w:val="20"/>
        </w:rPr>
        <w:t>) es igual a la biomasa que puede producir el rendimiento máximo sostenible (</w:t>
      </w:r>
      <w:r w:rsidR="00B1297C" w:rsidRPr="00767FBD">
        <w:rPr>
          <w:rFonts w:ascii="Cambria" w:eastAsia="Calibri" w:hAnsi="Cambria" w:cs="Times New Roman"/>
          <w:sz w:val="20"/>
          <w:szCs w:val="20"/>
        </w:rPr>
        <w:t>B</w:t>
      </w:r>
      <w:r w:rsidR="00B1297C" w:rsidRPr="00767FBD">
        <w:rPr>
          <w:rFonts w:ascii="Cambria" w:eastAsia="Calibri" w:hAnsi="Cambria" w:cs="Times New Roman"/>
          <w:sz w:val="20"/>
          <w:szCs w:val="20"/>
          <w:vertAlign w:val="subscript"/>
        </w:rPr>
        <w:t>UMBRAL</w:t>
      </w:r>
      <w:r w:rsidR="00B1297C" w:rsidRPr="00767FBD">
        <w:rPr>
          <w:rFonts w:ascii="Cambria" w:eastAsia="Calibri" w:hAnsi="Cambria" w:cs="Times New Roman"/>
          <w:sz w:val="20"/>
          <w:szCs w:val="20"/>
        </w:rPr>
        <w:t xml:space="preserve"> </w:t>
      </w:r>
      <w:r w:rsidRPr="00767FBD">
        <w:rPr>
          <w:rFonts w:ascii="Cambria" w:eastAsia="Calibri" w:hAnsi="Cambria" w:cs="Times New Roman"/>
          <w:sz w:val="20"/>
          <w:szCs w:val="20"/>
        </w:rPr>
        <w:t xml:space="preserve">= </w:t>
      </w:r>
      <w:r w:rsidRPr="00767FBD">
        <w:rPr>
          <w:rFonts w:ascii="Cambria" w:eastAsia="Calibri" w:hAnsi="Cambria" w:cs="Times New Roman"/>
          <w:smallCaps/>
          <w:sz w:val="20"/>
          <w:szCs w:val="20"/>
        </w:rPr>
        <w:t>B</w:t>
      </w:r>
      <w:r w:rsidRPr="00767FBD">
        <w:rPr>
          <w:rFonts w:ascii="Cambria" w:eastAsia="Calibri" w:hAnsi="Cambria" w:cs="Times New Roman"/>
          <w:smallCaps/>
          <w:sz w:val="20"/>
          <w:szCs w:val="20"/>
          <w:vertAlign w:val="subscript"/>
        </w:rPr>
        <w:t>RMS</w:t>
      </w:r>
      <w:r w:rsidRPr="00767FBD">
        <w:rPr>
          <w:rFonts w:ascii="Cambria" w:eastAsia="Calibri" w:hAnsi="Cambria" w:cs="Times New Roman"/>
          <w:smallCaps/>
          <w:sz w:val="20"/>
          <w:szCs w:val="20"/>
        </w:rPr>
        <w:t>)</w:t>
      </w:r>
      <w:r w:rsidR="00341F75" w:rsidRPr="00767FBD">
        <w:rPr>
          <w:rFonts w:ascii="Cambria" w:eastAsia="Calibri" w:hAnsi="Cambria" w:cs="Times New Roman"/>
          <w:smallCaps/>
          <w:sz w:val="20"/>
          <w:szCs w:val="20"/>
        </w:rPr>
        <w:t>.</w:t>
      </w:r>
    </w:p>
    <w:p w14:paraId="0CA5229A" w14:textId="77777777" w:rsidR="00187268" w:rsidRPr="00767FBD" w:rsidRDefault="00187268" w:rsidP="00187268">
      <w:pPr>
        <w:tabs>
          <w:tab w:val="left" w:pos="426"/>
          <w:tab w:val="left" w:pos="709"/>
          <w:tab w:val="left" w:pos="993"/>
          <w:tab w:val="left" w:pos="1418"/>
        </w:tabs>
        <w:autoSpaceDE w:val="0"/>
        <w:autoSpaceDN w:val="0"/>
        <w:adjustRightInd w:val="0"/>
        <w:spacing w:after="0" w:line="240" w:lineRule="auto"/>
        <w:ind w:left="1080"/>
        <w:jc w:val="both"/>
        <w:rPr>
          <w:rFonts w:ascii="Cambria" w:eastAsia="Calibri" w:hAnsi="Cambria" w:cs="Times New Roman"/>
          <w:sz w:val="20"/>
          <w:szCs w:val="20"/>
        </w:rPr>
      </w:pPr>
    </w:p>
    <w:p w14:paraId="5EDA518B" w14:textId="0D62D9AE" w:rsidR="00187268" w:rsidRPr="00767FBD" w:rsidRDefault="00187268" w:rsidP="00187268">
      <w:pPr>
        <w:numPr>
          <w:ilvl w:val="1"/>
          <w:numId w:val="25"/>
        </w:numPr>
        <w:tabs>
          <w:tab w:val="left" w:pos="426"/>
          <w:tab w:val="left" w:pos="709"/>
          <w:tab w:val="left" w:pos="993"/>
          <w:tab w:val="left" w:pos="1418"/>
        </w:tabs>
        <w:autoSpaceDE w:val="0"/>
        <w:autoSpaceDN w:val="0"/>
        <w:adjustRightInd w:val="0"/>
        <w:spacing w:after="0" w:line="240" w:lineRule="auto"/>
        <w:ind w:left="1080"/>
        <w:jc w:val="both"/>
        <w:rPr>
          <w:rFonts w:ascii="Cambria" w:eastAsia="Calibri" w:hAnsi="Cambria" w:cs="Times New Roman"/>
          <w:sz w:val="20"/>
          <w:szCs w:val="20"/>
        </w:rPr>
      </w:pPr>
      <w:r w:rsidRPr="00767FBD">
        <w:rPr>
          <w:rFonts w:ascii="Cambria" w:eastAsia="Calibri" w:hAnsi="Cambria" w:cs="Times New Roman"/>
          <w:sz w:val="20"/>
          <w:szCs w:val="20"/>
        </w:rPr>
        <w:tab/>
        <w:t>Una mortalidad por pesca objetivo correspondiente al 80</w:t>
      </w:r>
      <w:r w:rsidR="00341F75" w:rsidRPr="00767FBD">
        <w:rPr>
          <w:rFonts w:ascii="Cambria" w:eastAsia="Calibri" w:hAnsi="Cambria" w:cs="Times New Roman"/>
          <w:sz w:val="20"/>
          <w:szCs w:val="20"/>
        </w:rPr>
        <w:t xml:space="preserve"> </w:t>
      </w:r>
      <w:r w:rsidRPr="00767FBD">
        <w:rPr>
          <w:rFonts w:ascii="Cambria" w:eastAsia="Calibri" w:hAnsi="Cambria" w:cs="Times New Roman"/>
          <w:sz w:val="20"/>
          <w:szCs w:val="20"/>
        </w:rPr>
        <w:t>% de F</w:t>
      </w:r>
      <w:r w:rsidRPr="00767FBD">
        <w:rPr>
          <w:rFonts w:ascii="Cambria" w:eastAsia="Calibri" w:hAnsi="Cambria" w:cs="Times New Roman"/>
          <w:sz w:val="20"/>
          <w:szCs w:val="20"/>
          <w:vertAlign w:val="subscript"/>
        </w:rPr>
        <w:t>RMS</w:t>
      </w:r>
      <w:r w:rsidRPr="00767FBD">
        <w:rPr>
          <w:rFonts w:ascii="Cambria" w:eastAsia="Calibri" w:hAnsi="Cambria" w:cs="Times New Roman"/>
          <w:sz w:val="20"/>
          <w:szCs w:val="20"/>
        </w:rPr>
        <w:t xml:space="preserve"> (</w:t>
      </w:r>
      <w:r w:rsidR="00B1297C" w:rsidRPr="00767FBD">
        <w:rPr>
          <w:rFonts w:ascii="Cambria" w:eastAsia="Calibri" w:hAnsi="Cambria" w:cs="Times New Roman"/>
          <w:sz w:val="20"/>
          <w:szCs w:val="20"/>
        </w:rPr>
        <w:t>F</w:t>
      </w:r>
      <w:r w:rsidR="00B1297C" w:rsidRPr="00767FBD">
        <w:rPr>
          <w:rFonts w:ascii="Cambria" w:eastAsia="Calibri" w:hAnsi="Cambria" w:cs="Times New Roman"/>
          <w:sz w:val="20"/>
          <w:szCs w:val="20"/>
          <w:vertAlign w:val="subscript"/>
        </w:rPr>
        <w:t xml:space="preserve">OBJETIVO </w:t>
      </w:r>
      <w:r w:rsidRPr="00767FBD">
        <w:rPr>
          <w:rFonts w:ascii="Cambria" w:eastAsia="Calibri" w:hAnsi="Cambria" w:cs="Times New Roman"/>
          <w:sz w:val="20"/>
          <w:szCs w:val="20"/>
        </w:rPr>
        <w:t>= 0,8*F</w:t>
      </w:r>
      <w:r w:rsidRPr="00767FBD">
        <w:rPr>
          <w:rFonts w:ascii="Cambria" w:eastAsia="Calibri" w:hAnsi="Cambria" w:cs="Times New Roman"/>
          <w:sz w:val="20"/>
          <w:szCs w:val="20"/>
          <w:vertAlign w:val="subscript"/>
        </w:rPr>
        <w:t>RMS</w:t>
      </w:r>
      <w:r w:rsidRPr="00767FBD">
        <w:rPr>
          <w:rFonts w:ascii="Cambria" w:eastAsia="Calibri" w:hAnsi="Cambria" w:cs="Times New Roman"/>
          <w:sz w:val="20"/>
          <w:szCs w:val="20"/>
        </w:rPr>
        <w:t>) se aplicará cuando el estado del stock se sitúe en o por encima del nivel umbral (</w:t>
      </w:r>
      <w:r w:rsidR="00B1297C" w:rsidRPr="00767FBD">
        <w:rPr>
          <w:rFonts w:ascii="Cambria" w:eastAsia="Calibri" w:hAnsi="Cambria" w:cs="Times New Roman"/>
          <w:sz w:val="20"/>
          <w:szCs w:val="20"/>
        </w:rPr>
        <w:t>B</w:t>
      </w:r>
      <w:r w:rsidR="00B1297C" w:rsidRPr="00767FBD">
        <w:rPr>
          <w:rFonts w:ascii="Cambria" w:eastAsia="Calibri" w:hAnsi="Cambria" w:cs="Times New Roman"/>
          <w:sz w:val="20"/>
          <w:szCs w:val="20"/>
          <w:vertAlign w:val="subscript"/>
        </w:rPr>
        <w:t>UMBRAL</w:t>
      </w:r>
      <w:r w:rsidRPr="00767FBD">
        <w:rPr>
          <w:rFonts w:ascii="Cambria" w:eastAsia="Calibri" w:hAnsi="Cambria" w:cs="Times New Roman"/>
          <w:sz w:val="20"/>
          <w:szCs w:val="20"/>
        </w:rPr>
        <w:t>)</w:t>
      </w:r>
      <w:r w:rsidR="00341F75" w:rsidRPr="00767FBD">
        <w:rPr>
          <w:rFonts w:ascii="Cambria" w:eastAsia="Calibri" w:hAnsi="Cambria" w:cs="Times New Roman"/>
          <w:sz w:val="20"/>
          <w:szCs w:val="20"/>
        </w:rPr>
        <w:t>.</w:t>
      </w:r>
    </w:p>
    <w:p w14:paraId="0DF397CA" w14:textId="77777777" w:rsidR="00187268" w:rsidRPr="00767FBD" w:rsidRDefault="00187268" w:rsidP="00187268">
      <w:pPr>
        <w:tabs>
          <w:tab w:val="left" w:pos="426"/>
          <w:tab w:val="left" w:pos="709"/>
          <w:tab w:val="left" w:pos="993"/>
          <w:tab w:val="left" w:pos="1418"/>
        </w:tabs>
        <w:autoSpaceDE w:val="0"/>
        <w:autoSpaceDN w:val="0"/>
        <w:adjustRightInd w:val="0"/>
        <w:spacing w:after="0" w:line="240" w:lineRule="auto"/>
        <w:ind w:left="1080"/>
        <w:jc w:val="both"/>
        <w:rPr>
          <w:rFonts w:ascii="Cambria" w:eastAsia="Calibri" w:hAnsi="Cambria" w:cs="Times New Roman"/>
          <w:sz w:val="20"/>
          <w:szCs w:val="20"/>
        </w:rPr>
      </w:pPr>
    </w:p>
    <w:p w14:paraId="7877296B" w14:textId="4CC0C900" w:rsidR="00187268" w:rsidRPr="00767FBD" w:rsidRDefault="00187268" w:rsidP="00552FF2">
      <w:pPr>
        <w:numPr>
          <w:ilvl w:val="1"/>
          <w:numId w:val="25"/>
        </w:numPr>
        <w:tabs>
          <w:tab w:val="left" w:pos="426"/>
          <w:tab w:val="left" w:pos="709"/>
          <w:tab w:val="left" w:pos="1134"/>
          <w:tab w:val="left" w:pos="1418"/>
        </w:tabs>
        <w:autoSpaceDE w:val="0"/>
        <w:autoSpaceDN w:val="0"/>
        <w:adjustRightInd w:val="0"/>
        <w:spacing w:after="0" w:line="240" w:lineRule="auto"/>
        <w:ind w:left="1080"/>
        <w:jc w:val="both"/>
        <w:rPr>
          <w:rFonts w:ascii="Cambria" w:eastAsia="Calibri" w:hAnsi="Cambria" w:cs="Times New Roman"/>
          <w:sz w:val="20"/>
          <w:szCs w:val="20"/>
        </w:rPr>
      </w:pPr>
      <w:r w:rsidRPr="00767FBD">
        <w:rPr>
          <w:rFonts w:ascii="Cambria" w:eastAsia="Calibri" w:hAnsi="Cambria" w:cs="Times New Roman"/>
          <w:sz w:val="20"/>
          <w:szCs w:val="20"/>
        </w:rPr>
        <w:t>Si se estima que la biomasa actual (</w:t>
      </w:r>
      <w:r w:rsidR="00B1297C" w:rsidRPr="00767FBD">
        <w:rPr>
          <w:rFonts w:ascii="Cambria" w:eastAsia="Calibri" w:hAnsi="Cambria" w:cs="Times New Roman"/>
          <w:sz w:val="20"/>
          <w:szCs w:val="20"/>
        </w:rPr>
        <w:t>B</w:t>
      </w:r>
      <w:r w:rsidR="00B1297C" w:rsidRPr="00767FBD">
        <w:rPr>
          <w:rFonts w:ascii="Cambria" w:eastAsia="Calibri" w:hAnsi="Cambria" w:cs="Times New Roman"/>
          <w:sz w:val="20"/>
          <w:szCs w:val="20"/>
          <w:vertAlign w:val="subscript"/>
        </w:rPr>
        <w:t>ACTUAL</w:t>
      </w:r>
      <w:r w:rsidRPr="00767FBD">
        <w:rPr>
          <w:rFonts w:ascii="Cambria" w:eastAsia="Calibri" w:hAnsi="Cambria" w:cs="Times New Roman"/>
          <w:sz w:val="20"/>
          <w:szCs w:val="20"/>
        </w:rPr>
        <w:t>) se sitúa por debajo del nivel umbral (</w:t>
      </w:r>
      <w:r w:rsidR="00B1297C" w:rsidRPr="00767FBD">
        <w:rPr>
          <w:rFonts w:ascii="Cambria" w:eastAsia="Calibri" w:hAnsi="Cambria" w:cs="Times New Roman"/>
          <w:sz w:val="20"/>
          <w:szCs w:val="20"/>
        </w:rPr>
        <w:t>B</w:t>
      </w:r>
      <w:r w:rsidR="00B1297C" w:rsidRPr="00767FBD">
        <w:rPr>
          <w:rFonts w:ascii="Cambria" w:eastAsia="Calibri" w:hAnsi="Cambria" w:cs="Times New Roman"/>
          <w:sz w:val="20"/>
          <w:szCs w:val="20"/>
          <w:vertAlign w:val="subscript"/>
        </w:rPr>
        <w:t>UMBRAL</w:t>
      </w:r>
      <w:r w:rsidRPr="00767FBD">
        <w:rPr>
          <w:rFonts w:ascii="Cambria" w:eastAsia="Calibri" w:hAnsi="Cambria" w:cs="Times New Roman"/>
          <w:sz w:val="20"/>
          <w:szCs w:val="20"/>
        </w:rPr>
        <w:t>) y por encima de B</w:t>
      </w:r>
      <w:r w:rsidRPr="00767FBD">
        <w:rPr>
          <w:rFonts w:ascii="Cambria" w:eastAsia="Calibri" w:hAnsi="Cambria" w:cs="Times New Roman"/>
          <w:sz w:val="20"/>
          <w:szCs w:val="20"/>
          <w:vertAlign w:val="subscript"/>
        </w:rPr>
        <w:t>lim</w:t>
      </w:r>
      <w:r w:rsidRPr="00767FBD">
        <w:rPr>
          <w:rFonts w:ascii="Cambria" w:eastAsia="Calibri" w:hAnsi="Cambria" w:cs="Times New Roman"/>
          <w:sz w:val="20"/>
          <w:szCs w:val="20"/>
        </w:rPr>
        <w:t>, entonces la mortalidad por pesca se reducirá linealmente para el siguiente periodo plurianual de ordenación (</w:t>
      </w:r>
      <w:r w:rsidR="00B1297C" w:rsidRPr="00767FBD">
        <w:rPr>
          <w:rFonts w:ascii="Cambria" w:eastAsia="Calibri" w:hAnsi="Cambria" w:cs="Times New Roman"/>
          <w:sz w:val="20"/>
          <w:szCs w:val="20"/>
        </w:rPr>
        <w:t>F</w:t>
      </w:r>
      <w:r w:rsidR="00B1297C" w:rsidRPr="00767FBD">
        <w:rPr>
          <w:rFonts w:ascii="Cambria" w:eastAsia="Calibri" w:hAnsi="Cambria" w:cs="Times New Roman"/>
          <w:sz w:val="20"/>
          <w:szCs w:val="20"/>
          <w:vertAlign w:val="subscript"/>
        </w:rPr>
        <w:t>PRÓX</w:t>
      </w:r>
      <w:r w:rsidRPr="00767FBD">
        <w:rPr>
          <w:rFonts w:ascii="Cambria" w:eastAsia="Calibri" w:hAnsi="Cambria" w:cs="Times New Roman"/>
          <w:sz w:val="20"/>
          <w:szCs w:val="20"/>
          <w:vertAlign w:val="subscript"/>
        </w:rPr>
        <w:t>.</w:t>
      </w:r>
      <w:r w:rsidRPr="00767FBD">
        <w:rPr>
          <w:rFonts w:ascii="Cambria" w:eastAsia="Calibri" w:hAnsi="Cambria" w:cs="Times New Roman"/>
          <w:sz w:val="20"/>
          <w:szCs w:val="20"/>
        </w:rPr>
        <w:t xml:space="preserve">) basándose en lo siguiente:  </w:t>
      </w:r>
    </w:p>
    <w:p w14:paraId="40EF4FAD" w14:textId="77777777" w:rsidR="00552FF2" w:rsidRPr="00767FBD" w:rsidRDefault="00552FF2" w:rsidP="00552FF2">
      <w:pPr>
        <w:tabs>
          <w:tab w:val="left" w:pos="426"/>
          <w:tab w:val="left" w:pos="709"/>
          <w:tab w:val="left" w:pos="1134"/>
          <w:tab w:val="left" w:pos="1418"/>
        </w:tabs>
        <w:autoSpaceDE w:val="0"/>
        <w:autoSpaceDN w:val="0"/>
        <w:adjustRightInd w:val="0"/>
        <w:spacing w:after="0" w:line="240" w:lineRule="auto"/>
        <w:ind w:left="1080"/>
        <w:jc w:val="both"/>
        <w:rPr>
          <w:rFonts w:ascii="Cambria" w:eastAsia="Calibri" w:hAnsi="Cambria" w:cs="Times New Roman"/>
          <w:sz w:val="20"/>
          <w:szCs w:val="20"/>
        </w:rPr>
      </w:pPr>
    </w:p>
    <w:p w14:paraId="0E7CEB9B" w14:textId="42610331" w:rsidR="00187268" w:rsidRPr="00767FBD" w:rsidRDefault="00E21C28" w:rsidP="00187268">
      <w:pPr>
        <w:tabs>
          <w:tab w:val="left" w:pos="426"/>
          <w:tab w:val="left" w:pos="709"/>
          <w:tab w:val="left" w:pos="993"/>
          <w:tab w:val="left" w:pos="1418"/>
        </w:tabs>
        <w:autoSpaceDE w:val="0"/>
        <w:autoSpaceDN w:val="0"/>
        <w:adjustRightInd w:val="0"/>
        <w:ind w:left="360"/>
        <w:jc w:val="center"/>
        <w:rPr>
          <w:rFonts w:ascii="Cambria" w:eastAsia="Calibri" w:hAnsi="Cambria" w:cs="Times New Roman"/>
          <w:sz w:val="20"/>
          <w:szCs w:val="20"/>
        </w:rPr>
      </w:pPr>
      <m:oMathPara>
        <m:oMath>
          <m:f>
            <m:fPr>
              <m:ctrlPr>
                <w:rPr>
                  <w:rFonts w:ascii="Cambria Math" w:eastAsia="Calibri" w:hAnsi="Cambria Math"/>
                  <w:i/>
                  <w:sz w:val="20"/>
                  <w:szCs w:val="20"/>
                </w:rPr>
              </m:ctrlPr>
            </m:fPr>
            <m:num>
              <m:sSub>
                <m:sSubPr>
                  <m:ctrlPr>
                    <w:rPr>
                      <w:rFonts w:ascii="Cambria Math" w:eastAsia="Calibri" w:hAnsi="Cambria Math"/>
                      <w:i/>
                      <w:sz w:val="20"/>
                      <w:szCs w:val="20"/>
                    </w:rPr>
                  </m:ctrlPr>
                </m:sSubPr>
                <m:e>
                  <m:r>
                    <w:rPr>
                      <w:rFonts w:ascii="Cambria Math" w:eastAsia="Calibri" w:hAnsi="Cambria Math"/>
                      <w:sz w:val="20"/>
                      <w:szCs w:val="20"/>
                    </w:rPr>
                    <m:t>F</m:t>
                  </m:r>
                </m:e>
                <m:sub>
                  <m:r>
                    <w:rPr>
                      <w:rFonts w:ascii="Cambria Math" w:eastAsia="Calibri" w:hAnsi="Cambria Math"/>
                      <w:sz w:val="20"/>
                      <w:szCs w:val="20"/>
                    </w:rPr>
                    <m:t>próx</m:t>
                  </m:r>
                </m:sub>
              </m:sSub>
            </m:num>
            <m:den>
              <m:sSub>
                <m:sSubPr>
                  <m:ctrlPr>
                    <w:rPr>
                      <w:rFonts w:ascii="Cambria Math" w:eastAsia="Calibri" w:hAnsi="Cambria Math"/>
                      <w:i/>
                      <w:sz w:val="20"/>
                      <w:szCs w:val="20"/>
                    </w:rPr>
                  </m:ctrlPr>
                </m:sSubPr>
                <m:e>
                  <m:r>
                    <w:rPr>
                      <w:rFonts w:ascii="Cambria Math" w:eastAsia="Calibri" w:hAnsi="Cambria Math"/>
                      <w:sz w:val="20"/>
                      <w:szCs w:val="20"/>
                    </w:rPr>
                    <m:t>F</m:t>
                  </m:r>
                </m:e>
                <m:sub>
                  <m:r>
                    <w:rPr>
                      <w:rFonts w:ascii="Cambria Math" w:eastAsia="Calibri" w:hAnsi="Cambria Math"/>
                      <w:sz w:val="20"/>
                      <w:szCs w:val="20"/>
                    </w:rPr>
                    <m:t>RMS</m:t>
                  </m:r>
                </m:sub>
              </m:sSub>
            </m:den>
          </m:f>
          <m:r>
            <w:rPr>
              <w:rFonts w:ascii="Cambria Math" w:eastAsia="Calibri" w:hAnsi="Cambria Math"/>
              <w:sz w:val="20"/>
              <w:szCs w:val="20"/>
            </w:rPr>
            <m:t>=a+b*</m:t>
          </m:r>
          <m:f>
            <m:fPr>
              <m:ctrlPr>
                <w:rPr>
                  <w:rFonts w:ascii="Cambria Math" w:eastAsia="Calibri" w:hAnsi="Cambria Math"/>
                  <w:i/>
                  <w:sz w:val="20"/>
                  <w:szCs w:val="20"/>
                </w:rPr>
              </m:ctrlPr>
            </m:fPr>
            <m:num>
              <m:sSub>
                <m:sSubPr>
                  <m:ctrlPr>
                    <w:rPr>
                      <w:rFonts w:ascii="Cambria Math" w:eastAsia="Calibri" w:hAnsi="Cambria Math"/>
                      <w:i/>
                      <w:sz w:val="20"/>
                      <w:szCs w:val="20"/>
                    </w:rPr>
                  </m:ctrlPr>
                </m:sSubPr>
                <m:e>
                  <m:r>
                    <w:rPr>
                      <w:rFonts w:ascii="Cambria Math" w:eastAsia="Calibri" w:hAnsi="Cambria Math"/>
                      <w:sz w:val="20"/>
                      <w:szCs w:val="20"/>
                    </w:rPr>
                    <m:t>B</m:t>
                  </m:r>
                </m:e>
                <m:sub>
                  <m:r>
                    <w:rPr>
                      <w:rFonts w:ascii="Cambria Math" w:eastAsia="Calibri" w:hAnsi="Cambria Math"/>
                      <w:sz w:val="20"/>
                      <w:szCs w:val="20"/>
                    </w:rPr>
                    <m:t>actual</m:t>
                  </m:r>
                </m:sub>
              </m:sSub>
            </m:num>
            <m:den>
              <m:sSub>
                <m:sSubPr>
                  <m:ctrlPr>
                    <w:rPr>
                      <w:rFonts w:ascii="Cambria Math" w:eastAsia="Calibri" w:hAnsi="Cambria Math"/>
                      <w:i/>
                      <w:sz w:val="20"/>
                      <w:szCs w:val="20"/>
                    </w:rPr>
                  </m:ctrlPr>
                </m:sSubPr>
                <m:e>
                  <m:r>
                    <w:rPr>
                      <w:rFonts w:ascii="Cambria Math" w:eastAsia="Calibri" w:hAnsi="Cambria Math"/>
                      <w:sz w:val="20"/>
                      <w:szCs w:val="20"/>
                    </w:rPr>
                    <m:t>B</m:t>
                  </m:r>
                </m:e>
                <m:sub>
                  <m:r>
                    <w:rPr>
                      <w:rFonts w:ascii="Cambria Math" w:eastAsia="Calibri" w:hAnsi="Cambria Math"/>
                      <w:sz w:val="20"/>
                      <w:szCs w:val="20"/>
                    </w:rPr>
                    <m:t>RMS</m:t>
                  </m:r>
                </m:sub>
              </m:sSub>
            </m:den>
          </m:f>
          <m:r>
            <w:rPr>
              <w:rFonts w:ascii="Cambria Math" w:eastAsia="Calibri" w:hAnsi="Cambria Math"/>
              <w:sz w:val="20"/>
              <w:szCs w:val="20"/>
            </w:rPr>
            <m:t xml:space="preserve">=-0,367+1,167 </m:t>
          </m:r>
          <m:f>
            <m:fPr>
              <m:ctrlPr>
                <w:rPr>
                  <w:rFonts w:ascii="Cambria Math" w:eastAsia="Calibri" w:hAnsi="Cambria Math"/>
                  <w:i/>
                  <w:sz w:val="20"/>
                  <w:szCs w:val="20"/>
                </w:rPr>
              </m:ctrlPr>
            </m:fPr>
            <m:num>
              <m:sSub>
                <m:sSubPr>
                  <m:ctrlPr>
                    <w:rPr>
                      <w:rFonts w:ascii="Cambria Math" w:eastAsia="Calibri" w:hAnsi="Cambria Math"/>
                      <w:i/>
                      <w:sz w:val="20"/>
                      <w:szCs w:val="20"/>
                    </w:rPr>
                  </m:ctrlPr>
                </m:sSubPr>
                <m:e>
                  <m:r>
                    <w:rPr>
                      <w:rFonts w:ascii="Cambria Math" w:eastAsia="Calibri" w:hAnsi="Cambria Math"/>
                      <w:sz w:val="20"/>
                      <w:szCs w:val="20"/>
                    </w:rPr>
                    <m:t>B</m:t>
                  </m:r>
                </m:e>
                <m:sub>
                  <m:r>
                    <w:rPr>
                      <w:rFonts w:ascii="Cambria Math" w:eastAsia="Calibri" w:hAnsi="Cambria Math"/>
                      <w:sz w:val="20"/>
                      <w:szCs w:val="20"/>
                    </w:rPr>
                    <m:t>actual</m:t>
                  </m:r>
                </m:sub>
              </m:sSub>
            </m:num>
            <m:den>
              <m:sSub>
                <m:sSubPr>
                  <m:ctrlPr>
                    <w:rPr>
                      <w:rFonts w:ascii="Cambria Math" w:eastAsia="Calibri" w:hAnsi="Cambria Math"/>
                      <w:i/>
                      <w:sz w:val="20"/>
                      <w:szCs w:val="20"/>
                    </w:rPr>
                  </m:ctrlPr>
                </m:sSubPr>
                <m:e>
                  <m:r>
                    <w:rPr>
                      <w:rFonts w:ascii="Cambria Math" w:eastAsia="Calibri" w:hAnsi="Cambria Math"/>
                      <w:sz w:val="20"/>
                      <w:szCs w:val="20"/>
                    </w:rPr>
                    <m:t>B</m:t>
                  </m:r>
                </m:e>
                <m:sub>
                  <m:r>
                    <w:rPr>
                      <w:rFonts w:ascii="Cambria Math" w:eastAsia="Calibri" w:hAnsi="Cambria Math"/>
                      <w:sz w:val="20"/>
                      <w:szCs w:val="20"/>
                    </w:rPr>
                    <m:t>RMS</m:t>
                  </m:r>
                </m:sub>
              </m:sSub>
            </m:den>
          </m:f>
        </m:oMath>
      </m:oMathPara>
    </w:p>
    <w:p w14:paraId="696744FD" w14:textId="20F77704" w:rsidR="00187268" w:rsidRPr="00767FBD" w:rsidRDefault="00187268" w:rsidP="00187268">
      <w:pPr>
        <w:tabs>
          <w:tab w:val="left" w:pos="426"/>
          <w:tab w:val="left" w:pos="709"/>
          <w:tab w:val="left" w:pos="993"/>
          <w:tab w:val="left" w:pos="1418"/>
          <w:tab w:val="left" w:pos="8789"/>
        </w:tabs>
        <w:autoSpaceDE w:val="0"/>
        <w:autoSpaceDN w:val="0"/>
        <w:adjustRightInd w:val="0"/>
        <w:ind w:left="360"/>
        <w:jc w:val="both"/>
        <w:rPr>
          <w:rFonts w:ascii="Cambria" w:eastAsia="Calibri" w:hAnsi="Cambria" w:cs="Times New Roman"/>
          <w:sz w:val="20"/>
          <w:szCs w:val="20"/>
        </w:rPr>
      </w:pPr>
      <w:r w:rsidRPr="00767FBD">
        <w:rPr>
          <w:rFonts w:ascii="Cambria" w:eastAsia="Calibri" w:hAnsi="Cambria" w:cs="Times New Roman"/>
          <w:sz w:val="20"/>
          <w:szCs w:val="20"/>
          <w:lang w:val="en-US"/>
        </w:rPr>
        <w:tab/>
      </w:r>
      <w:r w:rsidRPr="00767FBD">
        <w:rPr>
          <w:rFonts w:ascii="Cambria" w:eastAsia="Calibri" w:hAnsi="Cambria" w:cs="Times New Roman"/>
          <w:sz w:val="20"/>
          <w:szCs w:val="20"/>
          <w:lang w:val="en-US"/>
        </w:rPr>
        <w:tab/>
      </w:r>
      <w:r w:rsidRPr="00767FBD">
        <w:rPr>
          <w:rFonts w:ascii="Cambria" w:eastAsia="Calibri" w:hAnsi="Cambria" w:cs="Times New Roman"/>
          <w:sz w:val="20"/>
          <w:szCs w:val="20"/>
          <w:lang w:val="en-US"/>
        </w:rPr>
        <w:tab/>
      </w:r>
      <w:r w:rsidRPr="00767FBD">
        <w:rPr>
          <w:rFonts w:ascii="Cambria" w:eastAsia="Calibri" w:hAnsi="Cambria" w:cs="Times New Roman"/>
          <w:sz w:val="20"/>
          <w:szCs w:val="20"/>
        </w:rPr>
        <w:t xml:space="preserve">Donde:   </w:t>
      </w:r>
      <m:oMath>
        <m:r>
          <w:rPr>
            <w:rFonts w:ascii="Cambria Math" w:eastAsia="MS Mincho" w:hAnsi="Cambria Math"/>
            <w:sz w:val="20"/>
            <w:szCs w:val="20"/>
          </w:rPr>
          <m:t>a=</m:t>
        </m:r>
        <m:d>
          <m:dPr>
            <m:begChr m:val="["/>
            <m:endChr m:val="]"/>
            <m:ctrlPr>
              <w:rPr>
                <w:rFonts w:ascii="Cambria Math" w:eastAsia="MS Mincho" w:hAnsi="Cambria Math"/>
                <w:i/>
                <w:sz w:val="20"/>
                <w:szCs w:val="20"/>
              </w:rPr>
            </m:ctrlPr>
          </m:dPr>
          <m:e>
            <m:f>
              <m:fPr>
                <m:ctrlPr>
                  <w:rPr>
                    <w:rFonts w:ascii="Cambria Math" w:eastAsia="MS Mincho" w:hAnsi="Cambria Math"/>
                    <w:i/>
                    <w:sz w:val="20"/>
                    <w:szCs w:val="20"/>
                  </w:rPr>
                </m:ctrlPr>
              </m:fPr>
              <m:num>
                <m:r>
                  <w:rPr>
                    <w:rFonts w:ascii="Cambria Math" w:eastAsia="MS Mincho" w:hAnsi="Cambria Math"/>
                    <w:sz w:val="20"/>
                    <w:szCs w:val="20"/>
                  </w:rPr>
                  <m:t>Fobjetivo</m:t>
                </m:r>
              </m:num>
              <m:den>
                <m:r>
                  <w:rPr>
                    <w:rFonts w:ascii="Cambria Math" w:eastAsia="MS Mincho" w:hAnsi="Cambria Math"/>
                    <w:sz w:val="20"/>
                    <w:szCs w:val="20"/>
                  </w:rPr>
                  <m:t>FRMS</m:t>
                </m:r>
              </m:den>
            </m:f>
          </m:e>
        </m:d>
        <m:r>
          <w:rPr>
            <w:rFonts w:ascii="Cambria Math" w:eastAsia="MS Mincho" w:hAnsi="Cambria Math"/>
            <w:sz w:val="20"/>
            <w:szCs w:val="20"/>
          </w:rPr>
          <m:t>-</m:t>
        </m:r>
        <m:d>
          <m:dPr>
            <m:begChr m:val="["/>
            <m:endChr m:val="]"/>
            <m:ctrlPr>
              <w:rPr>
                <w:rFonts w:ascii="Cambria Math" w:eastAsia="MS Mincho" w:hAnsi="Cambria Math"/>
                <w:i/>
                <w:sz w:val="20"/>
                <w:szCs w:val="20"/>
              </w:rPr>
            </m:ctrlPr>
          </m:dPr>
          <m:e>
            <m:f>
              <m:fPr>
                <m:ctrlPr>
                  <w:rPr>
                    <w:rFonts w:ascii="Cambria Math" w:eastAsia="MS Mincho" w:hAnsi="Cambria Math"/>
                    <w:i/>
                    <w:sz w:val="20"/>
                    <w:szCs w:val="20"/>
                  </w:rPr>
                </m:ctrlPr>
              </m:fPr>
              <m:num>
                <m:f>
                  <m:fPr>
                    <m:ctrlPr>
                      <w:rPr>
                        <w:rFonts w:ascii="Cambria Math" w:eastAsia="MS Mincho" w:hAnsi="Cambria Math"/>
                        <w:i/>
                        <w:sz w:val="20"/>
                        <w:szCs w:val="20"/>
                      </w:rPr>
                    </m:ctrlPr>
                  </m:fPr>
                  <m:num>
                    <m:r>
                      <w:rPr>
                        <w:rFonts w:ascii="Cambria Math" w:eastAsia="MS Mincho" w:hAnsi="Cambria Math"/>
                        <w:sz w:val="20"/>
                        <w:szCs w:val="20"/>
                      </w:rPr>
                      <m:t>Fobjetivo</m:t>
                    </m:r>
                  </m:num>
                  <m:den>
                    <m:r>
                      <w:rPr>
                        <w:rFonts w:ascii="Cambria Math" w:eastAsia="MS Mincho" w:hAnsi="Cambria Math"/>
                        <w:sz w:val="20"/>
                        <w:szCs w:val="20"/>
                      </w:rPr>
                      <m:t>FRMS</m:t>
                    </m:r>
                  </m:den>
                </m:f>
                <m:r>
                  <w:rPr>
                    <w:rFonts w:ascii="Cambria Math" w:eastAsia="MS Mincho" w:hAnsi="Cambria Math"/>
                    <w:sz w:val="20"/>
                    <w:szCs w:val="20"/>
                  </w:rPr>
                  <m:t>-</m:t>
                </m:r>
                <m:f>
                  <m:fPr>
                    <m:ctrlPr>
                      <w:rPr>
                        <w:rFonts w:ascii="Cambria Math" w:eastAsia="MS Mincho" w:hAnsi="Cambria Math"/>
                        <w:i/>
                        <w:sz w:val="20"/>
                        <w:szCs w:val="20"/>
                      </w:rPr>
                    </m:ctrlPr>
                  </m:fPr>
                  <m:num>
                    <m:r>
                      <w:rPr>
                        <w:rFonts w:ascii="Cambria Math" w:eastAsia="MS Mincho" w:hAnsi="Cambria Math"/>
                        <w:sz w:val="20"/>
                        <w:szCs w:val="20"/>
                      </w:rPr>
                      <m:t>Fmin</m:t>
                    </m:r>
                  </m:num>
                  <m:den>
                    <m:r>
                      <w:rPr>
                        <w:rFonts w:ascii="Cambria Math" w:eastAsia="MS Mincho" w:hAnsi="Cambria Math"/>
                        <w:sz w:val="20"/>
                        <w:szCs w:val="20"/>
                      </w:rPr>
                      <m:t>FRMS</m:t>
                    </m:r>
                  </m:den>
                </m:f>
              </m:num>
              <m:den>
                <m:f>
                  <m:fPr>
                    <m:ctrlPr>
                      <w:rPr>
                        <w:rFonts w:ascii="Cambria Math" w:eastAsia="MS Mincho" w:hAnsi="Cambria Math"/>
                        <w:i/>
                        <w:sz w:val="20"/>
                        <w:szCs w:val="20"/>
                      </w:rPr>
                    </m:ctrlPr>
                  </m:fPr>
                  <m:num>
                    <m:r>
                      <w:rPr>
                        <w:rFonts w:ascii="Cambria Math" w:eastAsia="MS Mincho" w:hAnsi="Cambria Math"/>
                        <w:sz w:val="20"/>
                        <w:szCs w:val="20"/>
                      </w:rPr>
                      <m:t>Bumbral</m:t>
                    </m:r>
                  </m:num>
                  <m:den>
                    <m:r>
                      <w:rPr>
                        <w:rFonts w:ascii="Cambria Math" w:eastAsia="MS Mincho" w:hAnsi="Cambria Math"/>
                        <w:sz w:val="20"/>
                        <w:szCs w:val="20"/>
                      </w:rPr>
                      <m:t>BRMS</m:t>
                    </m:r>
                  </m:den>
                </m:f>
                <m:r>
                  <w:rPr>
                    <w:rFonts w:ascii="Cambria Math" w:eastAsia="MS Mincho" w:hAnsi="Cambria Math"/>
                    <w:sz w:val="20"/>
                    <w:szCs w:val="20"/>
                  </w:rPr>
                  <m:t>-</m:t>
                </m:r>
                <m:f>
                  <m:fPr>
                    <m:ctrlPr>
                      <w:rPr>
                        <w:rFonts w:ascii="Cambria Math" w:eastAsia="MS Mincho" w:hAnsi="Cambria Math"/>
                        <w:i/>
                        <w:sz w:val="20"/>
                        <w:szCs w:val="20"/>
                      </w:rPr>
                    </m:ctrlPr>
                  </m:fPr>
                  <m:num>
                    <m:r>
                      <w:rPr>
                        <w:rFonts w:ascii="Cambria Math" w:eastAsia="MS Mincho" w:hAnsi="Cambria Math"/>
                        <w:sz w:val="20"/>
                        <w:szCs w:val="20"/>
                      </w:rPr>
                      <m:t>Blim</m:t>
                    </m:r>
                  </m:num>
                  <m:den>
                    <m:r>
                      <w:rPr>
                        <w:rFonts w:ascii="Cambria Math" w:eastAsia="MS Mincho" w:hAnsi="Cambria Math"/>
                        <w:sz w:val="20"/>
                        <w:szCs w:val="20"/>
                      </w:rPr>
                      <m:t>BRMS</m:t>
                    </m:r>
                  </m:den>
                </m:f>
              </m:den>
            </m:f>
          </m:e>
        </m:d>
        <m:r>
          <w:rPr>
            <w:rFonts w:ascii="Cambria Math" w:eastAsia="MS Mincho" w:hAnsi="Cambria Math"/>
            <w:sz w:val="20"/>
            <w:szCs w:val="20"/>
          </w:rPr>
          <m:t>*</m:t>
        </m:r>
        <m:f>
          <m:fPr>
            <m:ctrlPr>
              <w:rPr>
                <w:rFonts w:ascii="Cambria Math" w:eastAsia="MS Mincho" w:hAnsi="Cambria Math"/>
                <w:i/>
                <w:sz w:val="20"/>
                <w:szCs w:val="20"/>
              </w:rPr>
            </m:ctrlPr>
          </m:fPr>
          <m:num>
            <m:r>
              <w:rPr>
                <w:rFonts w:ascii="Cambria Math" w:eastAsia="MS Mincho" w:hAnsi="Cambria Math"/>
                <w:sz w:val="20"/>
                <w:szCs w:val="20"/>
              </w:rPr>
              <m:t>Bumbral</m:t>
            </m:r>
          </m:num>
          <m:den>
            <m:r>
              <w:rPr>
                <w:rFonts w:ascii="Cambria Math" w:eastAsia="MS Mincho" w:hAnsi="Cambria Math"/>
                <w:sz w:val="20"/>
                <w:szCs w:val="20"/>
              </w:rPr>
              <m:t>BRMS</m:t>
            </m:r>
          </m:den>
        </m:f>
      </m:oMath>
      <w:r w:rsidRPr="00767FBD">
        <w:rPr>
          <w:rFonts w:ascii="Cambria" w:eastAsia="Calibri" w:hAnsi="Cambria" w:cs="Times New Roman"/>
          <w:sz w:val="20"/>
          <w:szCs w:val="20"/>
        </w:rPr>
        <w:t xml:space="preserve">  = -0,367</w:t>
      </w:r>
    </w:p>
    <w:p w14:paraId="39CE9A24" w14:textId="4EC9E2A0" w:rsidR="00187268" w:rsidRPr="00767FBD" w:rsidRDefault="00187268" w:rsidP="00187268">
      <w:pPr>
        <w:tabs>
          <w:tab w:val="left" w:pos="426"/>
          <w:tab w:val="left" w:pos="709"/>
          <w:tab w:val="left" w:pos="993"/>
          <w:tab w:val="left" w:pos="1418"/>
          <w:tab w:val="left" w:pos="8789"/>
        </w:tabs>
        <w:autoSpaceDE w:val="0"/>
        <w:autoSpaceDN w:val="0"/>
        <w:adjustRightInd w:val="0"/>
        <w:spacing w:after="0" w:line="240" w:lineRule="auto"/>
        <w:jc w:val="both"/>
        <w:rPr>
          <w:rFonts w:ascii="Cambria" w:eastAsia="Times New Roman" w:hAnsi="Cambria" w:cs="Times New Roman"/>
          <w:sz w:val="20"/>
          <w:szCs w:val="20"/>
          <w:lang w:val="pl-PL"/>
        </w:rPr>
      </w:pPr>
      <w:r w:rsidRPr="00767FBD">
        <w:rPr>
          <w:rFonts w:ascii="Cambria" w:eastAsia="Times New Roman" w:hAnsi="Cambria" w:cs="Times New Roman"/>
          <w:sz w:val="20"/>
          <w:szCs w:val="20"/>
        </w:rPr>
        <w:t xml:space="preserve">                       </w:t>
      </w:r>
      <w:r w:rsidRPr="00767FBD">
        <w:rPr>
          <w:rFonts w:ascii="Cambria" w:eastAsia="Times New Roman" w:hAnsi="Cambria" w:cs="Times New Roman"/>
          <w:sz w:val="20"/>
          <w:szCs w:val="20"/>
          <w:lang w:val="pl-PL"/>
        </w:rPr>
        <w:t xml:space="preserve">b= </w:t>
      </w:r>
      <m:oMath>
        <m:d>
          <m:dPr>
            <m:begChr m:val="["/>
            <m:endChr m:val="]"/>
            <m:ctrlPr>
              <w:rPr>
                <w:rFonts w:ascii="Cambria Math" w:eastAsia="MS Mincho" w:hAnsi="Cambria Math"/>
                <w:i/>
                <w:sz w:val="20"/>
                <w:szCs w:val="20"/>
              </w:rPr>
            </m:ctrlPr>
          </m:dPr>
          <m:e>
            <m:f>
              <m:fPr>
                <m:ctrlPr>
                  <w:rPr>
                    <w:rFonts w:ascii="Cambria Math" w:eastAsia="MS Mincho" w:hAnsi="Cambria Math"/>
                    <w:i/>
                    <w:sz w:val="20"/>
                    <w:szCs w:val="20"/>
                  </w:rPr>
                </m:ctrlPr>
              </m:fPr>
              <m:num>
                <m:f>
                  <m:fPr>
                    <m:ctrlPr>
                      <w:rPr>
                        <w:rFonts w:ascii="Cambria Math" w:eastAsia="MS Mincho" w:hAnsi="Cambria Math"/>
                        <w:i/>
                        <w:sz w:val="20"/>
                        <w:szCs w:val="20"/>
                      </w:rPr>
                    </m:ctrlPr>
                  </m:fPr>
                  <m:num>
                    <m:r>
                      <w:rPr>
                        <w:rFonts w:ascii="Cambria Math" w:eastAsia="MS Mincho" w:hAnsi="Cambria Math"/>
                        <w:sz w:val="20"/>
                        <w:szCs w:val="20"/>
                      </w:rPr>
                      <m:t>Fobjetivo</m:t>
                    </m:r>
                  </m:num>
                  <m:den>
                    <m:r>
                      <w:rPr>
                        <w:rFonts w:ascii="Cambria Math" w:eastAsia="MS Mincho" w:hAnsi="Cambria Math"/>
                        <w:sz w:val="20"/>
                        <w:szCs w:val="20"/>
                      </w:rPr>
                      <m:t>FRMS</m:t>
                    </m:r>
                  </m:den>
                </m:f>
                <m:r>
                  <w:rPr>
                    <w:rFonts w:ascii="Cambria Math" w:eastAsia="MS Mincho" w:hAnsi="Cambria Math"/>
                    <w:sz w:val="20"/>
                    <w:szCs w:val="20"/>
                    <w:lang w:val="pl-PL"/>
                  </w:rPr>
                  <m:t>-</m:t>
                </m:r>
                <m:f>
                  <m:fPr>
                    <m:ctrlPr>
                      <w:rPr>
                        <w:rFonts w:ascii="Cambria Math" w:eastAsia="MS Mincho" w:hAnsi="Cambria Math"/>
                        <w:i/>
                        <w:sz w:val="20"/>
                        <w:szCs w:val="20"/>
                      </w:rPr>
                    </m:ctrlPr>
                  </m:fPr>
                  <m:num>
                    <m:r>
                      <w:rPr>
                        <w:rFonts w:ascii="Cambria Math" w:eastAsia="MS Mincho" w:hAnsi="Cambria Math"/>
                        <w:sz w:val="20"/>
                        <w:szCs w:val="20"/>
                      </w:rPr>
                      <m:t>Fmin</m:t>
                    </m:r>
                  </m:num>
                  <m:den>
                    <m:r>
                      <w:rPr>
                        <w:rFonts w:ascii="Cambria Math" w:eastAsia="MS Mincho" w:hAnsi="Cambria Math"/>
                        <w:sz w:val="20"/>
                        <w:szCs w:val="20"/>
                      </w:rPr>
                      <m:t>FRMS</m:t>
                    </m:r>
                  </m:den>
                </m:f>
              </m:num>
              <m:den>
                <m:f>
                  <m:fPr>
                    <m:ctrlPr>
                      <w:rPr>
                        <w:rFonts w:ascii="Cambria Math" w:eastAsia="MS Mincho" w:hAnsi="Cambria Math"/>
                        <w:i/>
                        <w:sz w:val="20"/>
                        <w:szCs w:val="20"/>
                      </w:rPr>
                    </m:ctrlPr>
                  </m:fPr>
                  <m:num>
                    <m:r>
                      <w:rPr>
                        <w:rFonts w:ascii="Cambria Math" w:eastAsia="MS Mincho" w:hAnsi="Cambria Math"/>
                        <w:sz w:val="20"/>
                        <w:szCs w:val="20"/>
                      </w:rPr>
                      <m:t>Bumbral</m:t>
                    </m:r>
                  </m:num>
                  <m:den>
                    <m:r>
                      <w:rPr>
                        <w:rFonts w:ascii="Cambria Math" w:eastAsia="MS Mincho" w:hAnsi="Cambria Math"/>
                        <w:sz w:val="20"/>
                        <w:szCs w:val="20"/>
                      </w:rPr>
                      <m:t>BRMS</m:t>
                    </m:r>
                  </m:den>
                </m:f>
                <m:r>
                  <w:rPr>
                    <w:rFonts w:ascii="Cambria Math" w:eastAsia="MS Mincho" w:hAnsi="Cambria Math"/>
                    <w:sz w:val="20"/>
                    <w:szCs w:val="20"/>
                    <w:lang w:val="pl-PL"/>
                  </w:rPr>
                  <m:t>-</m:t>
                </m:r>
                <m:f>
                  <m:fPr>
                    <m:ctrlPr>
                      <w:rPr>
                        <w:rFonts w:ascii="Cambria Math" w:eastAsia="MS Mincho" w:hAnsi="Cambria Math"/>
                        <w:i/>
                        <w:sz w:val="20"/>
                        <w:szCs w:val="20"/>
                      </w:rPr>
                    </m:ctrlPr>
                  </m:fPr>
                  <m:num>
                    <m:r>
                      <w:rPr>
                        <w:rFonts w:ascii="Cambria Math" w:eastAsia="MS Mincho" w:hAnsi="Cambria Math"/>
                        <w:sz w:val="20"/>
                        <w:szCs w:val="20"/>
                      </w:rPr>
                      <m:t>Blim</m:t>
                    </m:r>
                  </m:num>
                  <m:den>
                    <m:r>
                      <w:rPr>
                        <w:rFonts w:ascii="Cambria Math" w:eastAsia="MS Mincho" w:hAnsi="Cambria Math"/>
                        <w:sz w:val="20"/>
                        <w:szCs w:val="20"/>
                      </w:rPr>
                      <m:t>BRMS</m:t>
                    </m:r>
                  </m:den>
                </m:f>
              </m:den>
            </m:f>
          </m:e>
        </m:d>
      </m:oMath>
      <w:r w:rsidRPr="00767FBD">
        <w:rPr>
          <w:rFonts w:ascii="Cambria" w:eastAsia="Times New Roman" w:hAnsi="Cambria" w:cs="Times New Roman"/>
          <w:sz w:val="20"/>
          <w:szCs w:val="20"/>
          <w:lang w:val="pl-PL"/>
        </w:rPr>
        <w:t>= 1,167</w:t>
      </w:r>
    </w:p>
    <w:p w14:paraId="45FC3710" w14:textId="77777777" w:rsidR="00187268" w:rsidRPr="00767FBD" w:rsidRDefault="00187268" w:rsidP="00187268">
      <w:pPr>
        <w:tabs>
          <w:tab w:val="left" w:pos="426"/>
          <w:tab w:val="left" w:pos="709"/>
          <w:tab w:val="left" w:pos="993"/>
          <w:tab w:val="left" w:pos="1418"/>
          <w:tab w:val="left" w:pos="8789"/>
        </w:tabs>
        <w:autoSpaceDE w:val="0"/>
        <w:autoSpaceDN w:val="0"/>
        <w:adjustRightInd w:val="0"/>
        <w:ind w:left="1440"/>
        <w:jc w:val="both"/>
        <w:rPr>
          <w:rFonts w:ascii="Cambria" w:eastAsia="Calibri" w:hAnsi="Cambria" w:cs="Times New Roman"/>
          <w:sz w:val="20"/>
          <w:szCs w:val="20"/>
          <w:lang w:val="en-US"/>
        </w:rPr>
      </w:pPr>
    </w:p>
    <w:p w14:paraId="77D92E6F" w14:textId="0A9B63A8" w:rsidR="00187268" w:rsidRPr="00767FBD" w:rsidRDefault="00187268" w:rsidP="00187268">
      <w:pPr>
        <w:numPr>
          <w:ilvl w:val="1"/>
          <w:numId w:val="25"/>
        </w:numPr>
        <w:tabs>
          <w:tab w:val="left" w:pos="426"/>
          <w:tab w:val="left" w:pos="709"/>
          <w:tab w:val="left" w:pos="993"/>
          <w:tab w:val="left" w:pos="1418"/>
        </w:tabs>
        <w:autoSpaceDE w:val="0"/>
        <w:autoSpaceDN w:val="0"/>
        <w:adjustRightInd w:val="0"/>
        <w:spacing w:after="0" w:line="240" w:lineRule="auto"/>
        <w:ind w:left="1080"/>
        <w:jc w:val="both"/>
        <w:rPr>
          <w:rFonts w:ascii="Cambria" w:eastAsia="Calibri" w:hAnsi="Cambria" w:cs="Times New Roman"/>
          <w:sz w:val="20"/>
          <w:szCs w:val="20"/>
        </w:rPr>
      </w:pPr>
      <w:r w:rsidRPr="00767FBD">
        <w:rPr>
          <w:rFonts w:ascii="Cambria" w:eastAsia="Calibri" w:hAnsi="Cambria" w:cs="Times New Roman"/>
          <w:sz w:val="20"/>
          <w:szCs w:val="20"/>
          <w:lang w:val="en-US"/>
        </w:rPr>
        <w:tab/>
      </w:r>
      <w:r w:rsidRPr="00767FBD">
        <w:rPr>
          <w:rFonts w:ascii="Cambria" w:eastAsia="Calibri" w:hAnsi="Cambria" w:cs="Times New Roman"/>
          <w:sz w:val="20"/>
          <w:szCs w:val="20"/>
        </w:rPr>
        <w:t>Si se estima que la biomasa actual (</w:t>
      </w:r>
      <w:r w:rsidR="00B1297C" w:rsidRPr="00767FBD">
        <w:rPr>
          <w:rFonts w:ascii="Cambria" w:eastAsia="Calibri" w:hAnsi="Cambria" w:cs="Times New Roman"/>
          <w:sz w:val="20"/>
          <w:szCs w:val="20"/>
        </w:rPr>
        <w:t>B</w:t>
      </w:r>
      <w:r w:rsidR="00B1297C" w:rsidRPr="00767FBD">
        <w:rPr>
          <w:rFonts w:ascii="Cambria" w:eastAsia="Calibri" w:hAnsi="Cambria" w:cs="Times New Roman"/>
          <w:sz w:val="20"/>
          <w:szCs w:val="20"/>
          <w:vertAlign w:val="subscript"/>
        </w:rPr>
        <w:t>ACTUAL</w:t>
      </w:r>
      <w:r w:rsidRPr="00767FBD">
        <w:rPr>
          <w:rFonts w:ascii="Cambria" w:eastAsia="Calibri" w:hAnsi="Cambria" w:cs="Times New Roman"/>
          <w:sz w:val="20"/>
          <w:szCs w:val="20"/>
        </w:rPr>
        <w:t>)</w:t>
      </w:r>
      <w:r w:rsidRPr="00767FBD">
        <w:rPr>
          <w:rFonts w:ascii="Cambria" w:eastAsia="Calibri" w:hAnsi="Cambria" w:cs="Times New Roman"/>
          <w:sz w:val="20"/>
          <w:szCs w:val="20"/>
          <w:vertAlign w:val="subscript"/>
        </w:rPr>
        <w:t xml:space="preserve"> </w:t>
      </w:r>
      <w:r w:rsidRPr="00767FBD">
        <w:rPr>
          <w:rFonts w:ascii="Cambria" w:eastAsia="Calibri" w:hAnsi="Cambria" w:cs="Times New Roman"/>
          <w:sz w:val="20"/>
          <w:szCs w:val="20"/>
        </w:rPr>
        <w:t xml:space="preserve">se sitúa en o por debajo de </w:t>
      </w:r>
      <w:r w:rsidR="00B1297C" w:rsidRPr="00767FBD">
        <w:rPr>
          <w:rFonts w:ascii="Cambria" w:eastAsia="Calibri" w:hAnsi="Cambria" w:cs="Times New Roman"/>
          <w:sz w:val="20"/>
          <w:szCs w:val="20"/>
        </w:rPr>
        <w:t>B</w:t>
      </w:r>
      <w:r w:rsidR="00B1297C" w:rsidRPr="00767FBD">
        <w:rPr>
          <w:rFonts w:ascii="Cambria" w:eastAsia="Calibri" w:hAnsi="Cambria" w:cs="Times New Roman"/>
          <w:sz w:val="20"/>
          <w:szCs w:val="20"/>
          <w:vertAlign w:val="subscript"/>
        </w:rPr>
        <w:t>LIM</w:t>
      </w:r>
      <w:r w:rsidRPr="00767FBD">
        <w:rPr>
          <w:rFonts w:ascii="Cambria" w:eastAsia="Calibri" w:hAnsi="Cambria" w:cs="Times New Roman"/>
          <w:sz w:val="20"/>
          <w:szCs w:val="20"/>
        </w:rPr>
        <w:t xml:space="preserve">, entonces la mortalidad por pesca se establecerá en </w:t>
      </w:r>
      <w:r w:rsidR="00B1297C" w:rsidRPr="00767FBD">
        <w:rPr>
          <w:rFonts w:ascii="Cambria" w:eastAsia="Calibri" w:hAnsi="Cambria" w:cs="Times New Roman"/>
          <w:sz w:val="20"/>
          <w:szCs w:val="20"/>
        </w:rPr>
        <w:t>F</w:t>
      </w:r>
      <w:r w:rsidR="00B1297C" w:rsidRPr="00767FBD">
        <w:rPr>
          <w:rFonts w:ascii="Cambria" w:eastAsia="Calibri" w:hAnsi="Cambria" w:cs="Times New Roman"/>
          <w:sz w:val="20"/>
          <w:szCs w:val="20"/>
          <w:vertAlign w:val="subscript"/>
        </w:rPr>
        <w:t>MIN</w:t>
      </w:r>
      <w:r w:rsidR="00B1297C" w:rsidRPr="00767FBD">
        <w:rPr>
          <w:rFonts w:ascii="Cambria" w:eastAsia="Calibri" w:hAnsi="Cambria" w:cs="Times New Roman"/>
          <w:sz w:val="20"/>
          <w:szCs w:val="20"/>
        </w:rPr>
        <w:t xml:space="preserve"> </w:t>
      </w:r>
      <w:r w:rsidRPr="00767FBD">
        <w:rPr>
          <w:rFonts w:ascii="Cambria" w:eastAsia="Calibri" w:hAnsi="Cambria" w:cs="Times New Roman"/>
          <w:sz w:val="20"/>
          <w:szCs w:val="20"/>
        </w:rPr>
        <w:t>con miras a garantizar un nivel de captura para el seguimiento científico.</w:t>
      </w:r>
    </w:p>
    <w:p w14:paraId="112E2B45" w14:textId="77777777" w:rsidR="00187268" w:rsidRPr="00767FBD" w:rsidRDefault="00187268" w:rsidP="00187268">
      <w:pPr>
        <w:tabs>
          <w:tab w:val="left" w:pos="426"/>
          <w:tab w:val="left" w:pos="709"/>
          <w:tab w:val="left" w:pos="993"/>
          <w:tab w:val="left" w:pos="1418"/>
        </w:tabs>
        <w:autoSpaceDE w:val="0"/>
        <w:autoSpaceDN w:val="0"/>
        <w:adjustRightInd w:val="0"/>
        <w:spacing w:after="0" w:line="240" w:lineRule="auto"/>
        <w:ind w:left="1080"/>
        <w:jc w:val="both"/>
        <w:rPr>
          <w:rFonts w:ascii="Cambria" w:eastAsia="Calibri" w:hAnsi="Cambria" w:cs="Times New Roman"/>
          <w:sz w:val="20"/>
          <w:szCs w:val="20"/>
        </w:rPr>
      </w:pPr>
    </w:p>
    <w:p w14:paraId="61D75F6B" w14:textId="49A302CD" w:rsidR="00187268" w:rsidRPr="00767FBD" w:rsidRDefault="00187268" w:rsidP="00187268">
      <w:pPr>
        <w:numPr>
          <w:ilvl w:val="1"/>
          <w:numId w:val="25"/>
        </w:numPr>
        <w:tabs>
          <w:tab w:val="left" w:pos="426"/>
          <w:tab w:val="left" w:pos="709"/>
          <w:tab w:val="left" w:pos="993"/>
          <w:tab w:val="left" w:pos="1418"/>
        </w:tabs>
        <w:autoSpaceDE w:val="0"/>
        <w:autoSpaceDN w:val="0"/>
        <w:adjustRightInd w:val="0"/>
        <w:spacing w:after="0" w:line="240" w:lineRule="auto"/>
        <w:ind w:left="1080"/>
        <w:jc w:val="both"/>
        <w:rPr>
          <w:rFonts w:ascii="Cambria" w:eastAsia="Calibri" w:hAnsi="Cambria" w:cs="Times New Roman"/>
          <w:sz w:val="20"/>
          <w:szCs w:val="20"/>
        </w:rPr>
      </w:pPr>
      <w:r w:rsidRPr="00767FBD">
        <w:rPr>
          <w:rFonts w:ascii="Cambria" w:eastAsia="Calibri" w:hAnsi="Cambria" w:cs="Times New Roman"/>
          <w:sz w:val="20"/>
          <w:szCs w:val="20"/>
        </w:rPr>
        <w:tab/>
        <w:t>El límite de captura máximo (</w:t>
      </w:r>
      <w:r w:rsidR="00B1297C" w:rsidRPr="00767FBD">
        <w:rPr>
          <w:rFonts w:ascii="Cambria" w:eastAsia="Calibri" w:hAnsi="Cambria" w:cs="Times New Roman"/>
          <w:sz w:val="20"/>
          <w:szCs w:val="20"/>
        </w:rPr>
        <w:t>C</w:t>
      </w:r>
      <w:r w:rsidR="00B1297C" w:rsidRPr="00767FBD">
        <w:rPr>
          <w:rFonts w:ascii="Cambria" w:eastAsia="Calibri" w:hAnsi="Cambria" w:cs="Times New Roman"/>
          <w:sz w:val="20"/>
          <w:szCs w:val="20"/>
          <w:vertAlign w:val="subscript"/>
        </w:rPr>
        <w:t>MAX</w:t>
      </w:r>
      <w:r w:rsidRPr="00767FBD">
        <w:rPr>
          <w:rFonts w:ascii="Cambria" w:eastAsia="Calibri" w:hAnsi="Cambria" w:cs="Times New Roman"/>
          <w:sz w:val="20"/>
          <w:szCs w:val="20"/>
        </w:rPr>
        <w:t xml:space="preserve">) recomendado es 50.000 t con el fin de evitar los efectos negativos de evaluaciones de stock potencialmente incorrectas.   </w:t>
      </w:r>
    </w:p>
    <w:p w14:paraId="22C4E05B" w14:textId="77777777" w:rsidR="00187268" w:rsidRPr="00767FBD" w:rsidRDefault="00187268" w:rsidP="00187268">
      <w:pPr>
        <w:tabs>
          <w:tab w:val="left" w:pos="426"/>
          <w:tab w:val="left" w:pos="709"/>
          <w:tab w:val="left" w:pos="993"/>
          <w:tab w:val="left" w:pos="1418"/>
        </w:tabs>
        <w:autoSpaceDE w:val="0"/>
        <w:autoSpaceDN w:val="0"/>
        <w:adjustRightInd w:val="0"/>
        <w:spacing w:after="0" w:line="240" w:lineRule="auto"/>
        <w:ind w:left="1080"/>
        <w:jc w:val="both"/>
        <w:rPr>
          <w:rFonts w:ascii="Cambria" w:eastAsia="Calibri" w:hAnsi="Cambria" w:cs="Times New Roman"/>
          <w:sz w:val="20"/>
          <w:szCs w:val="20"/>
        </w:rPr>
      </w:pPr>
    </w:p>
    <w:p w14:paraId="1E7478E5" w14:textId="19DD925A" w:rsidR="00187268" w:rsidRPr="00767FBD" w:rsidRDefault="00187268" w:rsidP="00187268">
      <w:pPr>
        <w:numPr>
          <w:ilvl w:val="1"/>
          <w:numId w:val="25"/>
        </w:numPr>
        <w:tabs>
          <w:tab w:val="left" w:pos="426"/>
          <w:tab w:val="left" w:pos="709"/>
          <w:tab w:val="left" w:pos="993"/>
          <w:tab w:val="left" w:pos="1418"/>
        </w:tabs>
        <w:autoSpaceDE w:val="0"/>
        <w:autoSpaceDN w:val="0"/>
        <w:adjustRightInd w:val="0"/>
        <w:spacing w:after="0" w:line="240" w:lineRule="auto"/>
        <w:ind w:left="1080"/>
        <w:jc w:val="both"/>
        <w:rPr>
          <w:rFonts w:ascii="Cambria" w:eastAsia="Calibri" w:hAnsi="Cambria" w:cs="Times New Roman"/>
          <w:sz w:val="20"/>
          <w:szCs w:val="20"/>
        </w:rPr>
      </w:pPr>
      <w:r w:rsidRPr="00767FBD">
        <w:rPr>
          <w:rFonts w:ascii="Cambria" w:eastAsia="Calibri" w:hAnsi="Cambria" w:cs="Times New Roman"/>
          <w:sz w:val="20"/>
          <w:szCs w:val="20"/>
        </w:rPr>
        <w:lastRenderedPageBreak/>
        <w:t xml:space="preserve">  El cambio máximo para el límite de captura (</w:t>
      </w:r>
      <w:r w:rsidR="00870F3C" w:rsidRPr="00767FBD">
        <w:rPr>
          <w:rFonts w:ascii="Cambria" w:eastAsia="Calibri" w:hAnsi="Cambria" w:cs="Times New Roman"/>
          <w:sz w:val="20"/>
          <w:szCs w:val="20"/>
        </w:rPr>
        <w:t>D</w:t>
      </w:r>
      <w:r w:rsidR="00870F3C" w:rsidRPr="00767FBD">
        <w:rPr>
          <w:rFonts w:ascii="Cambria" w:eastAsia="Calibri" w:hAnsi="Cambria" w:cs="Times New Roman"/>
          <w:sz w:val="20"/>
          <w:szCs w:val="20"/>
          <w:vertAlign w:val="subscript"/>
        </w:rPr>
        <w:t>MAX</w:t>
      </w:r>
      <w:r w:rsidRPr="00767FBD">
        <w:rPr>
          <w:rFonts w:ascii="Cambria" w:eastAsia="Calibri" w:hAnsi="Cambria" w:cs="Times New Roman"/>
          <w:sz w:val="20"/>
          <w:szCs w:val="20"/>
        </w:rPr>
        <w:t xml:space="preserve">) </w:t>
      </w:r>
      <w:r w:rsidR="00B865CA" w:rsidRPr="00767FBD">
        <w:rPr>
          <w:rFonts w:ascii="Cambria" w:eastAsia="Calibri" w:hAnsi="Cambria" w:cs="Times New Roman"/>
          <w:sz w:val="20"/>
          <w:szCs w:val="20"/>
        </w:rPr>
        <w:t xml:space="preserve">no excederá </w:t>
      </w:r>
      <w:r w:rsidR="000E76DF" w:rsidRPr="00767FBD">
        <w:rPr>
          <w:rFonts w:ascii="Cambria" w:eastAsia="Calibri" w:hAnsi="Cambria" w:cs="Times New Roman"/>
          <w:sz w:val="20"/>
          <w:szCs w:val="20"/>
        </w:rPr>
        <w:t xml:space="preserve">el </w:t>
      </w:r>
      <w:r w:rsidRPr="00767FBD">
        <w:rPr>
          <w:rFonts w:ascii="Cambria" w:eastAsia="Calibri" w:hAnsi="Cambria" w:cs="Times New Roman"/>
          <w:sz w:val="20"/>
          <w:szCs w:val="20"/>
        </w:rPr>
        <w:t>25</w:t>
      </w:r>
      <w:r w:rsidR="0010396D" w:rsidRPr="00767FBD">
        <w:rPr>
          <w:rFonts w:ascii="Cambria" w:eastAsia="Calibri" w:hAnsi="Cambria" w:cs="Times New Roman"/>
          <w:sz w:val="20"/>
          <w:szCs w:val="20"/>
        </w:rPr>
        <w:t> </w:t>
      </w:r>
      <w:r w:rsidRPr="00767FBD">
        <w:rPr>
          <w:rFonts w:ascii="Cambria" w:eastAsia="Calibri" w:hAnsi="Cambria" w:cs="Times New Roman"/>
          <w:sz w:val="20"/>
          <w:szCs w:val="20"/>
        </w:rPr>
        <w:t>%</w:t>
      </w:r>
      <w:r w:rsidR="000E76DF" w:rsidRPr="00767FBD">
        <w:rPr>
          <w:rFonts w:ascii="Cambria" w:eastAsia="Calibri" w:hAnsi="Cambria" w:cs="Times New Roman"/>
          <w:sz w:val="20"/>
          <w:szCs w:val="20"/>
        </w:rPr>
        <w:t xml:space="preserve"> en caso de</w:t>
      </w:r>
      <w:r w:rsidR="002646E7" w:rsidRPr="00767FBD">
        <w:rPr>
          <w:rFonts w:ascii="Cambria" w:eastAsia="Calibri" w:hAnsi="Cambria" w:cs="Times New Roman"/>
          <w:sz w:val="20"/>
          <w:szCs w:val="20"/>
        </w:rPr>
        <w:t xml:space="preserve"> un</w:t>
      </w:r>
      <w:r w:rsidR="000E76DF" w:rsidRPr="00767FBD">
        <w:rPr>
          <w:rFonts w:ascii="Cambria" w:eastAsia="Calibri" w:hAnsi="Cambria" w:cs="Times New Roman"/>
          <w:sz w:val="20"/>
          <w:szCs w:val="20"/>
        </w:rPr>
        <w:t xml:space="preserve"> incremento</w:t>
      </w:r>
      <w:r w:rsidRPr="00767FBD">
        <w:rPr>
          <w:rFonts w:ascii="Cambria" w:eastAsia="Calibri" w:hAnsi="Cambria" w:cs="Times New Roman"/>
          <w:sz w:val="20"/>
          <w:szCs w:val="20"/>
        </w:rPr>
        <w:t xml:space="preserve"> o </w:t>
      </w:r>
      <w:r w:rsidR="002646E7" w:rsidRPr="00767FBD">
        <w:rPr>
          <w:rFonts w:ascii="Cambria" w:eastAsia="Calibri" w:hAnsi="Cambria" w:cs="Times New Roman"/>
          <w:sz w:val="20"/>
          <w:szCs w:val="20"/>
        </w:rPr>
        <w:t xml:space="preserve">el </w:t>
      </w:r>
      <w:r w:rsidRPr="00767FBD">
        <w:rPr>
          <w:rFonts w:ascii="Cambria" w:eastAsia="Calibri" w:hAnsi="Cambria" w:cs="Times New Roman"/>
          <w:sz w:val="20"/>
          <w:szCs w:val="20"/>
        </w:rPr>
        <w:t>20</w:t>
      </w:r>
      <w:r w:rsidR="0010396D" w:rsidRPr="00767FBD">
        <w:rPr>
          <w:rFonts w:ascii="Cambria" w:eastAsia="Calibri" w:hAnsi="Cambria" w:cs="Times New Roman"/>
          <w:sz w:val="20"/>
          <w:szCs w:val="20"/>
        </w:rPr>
        <w:t> </w:t>
      </w:r>
      <w:r w:rsidRPr="00767FBD">
        <w:rPr>
          <w:rFonts w:ascii="Cambria" w:eastAsia="Calibri" w:hAnsi="Cambria" w:cs="Times New Roman"/>
          <w:sz w:val="20"/>
          <w:szCs w:val="20"/>
        </w:rPr>
        <w:t>%</w:t>
      </w:r>
      <w:r w:rsidR="00740BA4" w:rsidRPr="00767FBD">
        <w:rPr>
          <w:rFonts w:ascii="Cambria" w:eastAsia="Calibri" w:hAnsi="Cambria" w:cs="Times New Roman"/>
          <w:sz w:val="20"/>
          <w:szCs w:val="20"/>
        </w:rPr>
        <w:t xml:space="preserve"> en caso de un descenso</w:t>
      </w:r>
      <w:r w:rsidRPr="00767FBD">
        <w:rPr>
          <w:rFonts w:ascii="Cambria" w:eastAsia="Calibri" w:hAnsi="Cambria" w:cs="Times New Roman"/>
          <w:sz w:val="20"/>
          <w:szCs w:val="20"/>
        </w:rPr>
        <w:t xml:space="preserve"> con respecto al límite de captura previo recomendado cuando </w:t>
      </w:r>
      <w:r w:rsidR="00B1297C" w:rsidRPr="00767FBD">
        <w:rPr>
          <w:rFonts w:ascii="Cambria" w:eastAsia="Calibri" w:hAnsi="Cambria" w:cs="Times New Roman"/>
          <w:sz w:val="20"/>
          <w:szCs w:val="20"/>
        </w:rPr>
        <w:t>B</w:t>
      </w:r>
      <w:r w:rsidR="00B1297C" w:rsidRPr="00767FBD">
        <w:rPr>
          <w:rFonts w:ascii="Cambria" w:eastAsia="Calibri" w:hAnsi="Cambria" w:cs="Times New Roman"/>
          <w:sz w:val="20"/>
          <w:szCs w:val="20"/>
          <w:vertAlign w:val="subscript"/>
        </w:rPr>
        <w:t>ACTUAL</w:t>
      </w:r>
      <w:r w:rsidR="00B1297C" w:rsidRPr="00767FBD">
        <w:rPr>
          <w:rFonts w:ascii="Cambria" w:eastAsia="Calibri" w:hAnsi="Cambria" w:cs="Times New Roman"/>
          <w:sz w:val="20"/>
          <w:szCs w:val="20"/>
        </w:rPr>
        <w:t xml:space="preserve"> </w:t>
      </w:r>
      <w:r w:rsidRPr="00767FBD">
        <w:rPr>
          <w:rFonts w:ascii="Cambria" w:eastAsia="Calibri" w:hAnsi="Cambria" w:cs="Times New Roman"/>
          <w:sz w:val="20"/>
          <w:szCs w:val="20"/>
        </w:rPr>
        <w:t>≥</w:t>
      </w:r>
      <w:r w:rsidRPr="00767FBD">
        <w:rPr>
          <w:rFonts w:ascii="Cambria" w:eastAsia="Calibri" w:hAnsi="Cambria" w:cs="Times New Roman"/>
          <w:smallCaps/>
          <w:sz w:val="20"/>
          <w:szCs w:val="20"/>
        </w:rPr>
        <w:t xml:space="preserve"> </w:t>
      </w:r>
      <w:r w:rsidR="00870F3C" w:rsidRPr="00767FBD">
        <w:rPr>
          <w:rFonts w:ascii="Cambria" w:eastAsia="Calibri" w:hAnsi="Cambria" w:cs="Times New Roman"/>
          <w:sz w:val="20"/>
          <w:szCs w:val="20"/>
        </w:rPr>
        <w:t>B</w:t>
      </w:r>
      <w:r w:rsidR="0053167F" w:rsidRPr="00767FBD">
        <w:rPr>
          <w:rFonts w:ascii="Cambria" w:eastAsia="Calibri" w:hAnsi="Cambria" w:cs="Times New Roman"/>
          <w:sz w:val="20"/>
          <w:szCs w:val="20"/>
          <w:vertAlign w:val="subscript"/>
        </w:rPr>
        <w:t>UMB</w:t>
      </w:r>
    </w:p>
    <w:p w14:paraId="754EA7AE" w14:textId="77777777" w:rsidR="00187268" w:rsidRPr="00767FBD" w:rsidRDefault="00187268" w:rsidP="00187268">
      <w:pPr>
        <w:tabs>
          <w:tab w:val="left" w:pos="426"/>
          <w:tab w:val="left" w:pos="709"/>
          <w:tab w:val="left" w:pos="993"/>
          <w:tab w:val="left" w:pos="1418"/>
        </w:tabs>
        <w:autoSpaceDE w:val="0"/>
        <w:autoSpaceDN w:val="0"/>
        <w:adjustRightInd w:val="0"/>
        <w:spacing w:after="0" w:line="240" w:lineRule="auto"/>
        <w:ind w:left="1080"/>
        <w:jc w:val="both"/>
        <w:rPr>
          <w:rFonts w:ascii="Cambria" w:eastAsia="Times New Roman" w:hAnsi="Cambria" w:cs="Times New Roman"/>
          <w:sz w:val="20"/>
          <w:szCs w:val="20"/>
        </w:rPr>
      </w:pPr>
    </w:p>
    <w:p w14:paraId="6583AAC8" w14:textId="5D2F0283" w:rsidR="00187268" w:rsidRPr="00767FBD" w:rsidRDefault="00187268" w:rsidP="00187268">
      <w:pPr>
        <w:numPr>
          <w:ilvl w:val="0"/>
          <w:numId w:val="25"/>
        </w:numPr>
        <w:tabs>
          <w:tab w:val="left" w:pos="426"/>
          <w:tab w:val="left" w:pos="709"/>
          <w:tab w:val="left" w:pos="993"/>
          <w:tab w:val="left" w:pos="1418"/>
        </w:tabs>
        <w:autoSpaceDE w:val="0"/>
        <w:autoSpaceDN w:val="0"/>
        <w:adjustRightInd w:val="0"/>
        <w:spacing w:after="0" w:line="240" w:lineRule="auto"/>
        <w:ind w:left="360"/>
        <w:jc w:val="both"/>
        <w:rPr>
          <w:rFonts w:ascii="Cambria" w:eastAsia="Calibri" w:hAnsi="Cambria" w:cs="Times New Roman"/>
          <w:sz w:val="20"/>
          <w:szCs w:val="20"/>
        </w:rPr>
      </w:pPr>
      <w:r w:rsidRPr="00767FBD">
        <w:rPr>
          <w:rFonts w:ascii="Cambria" w:eastAsia="Calibri" w:hAnsi="Cambria" w:cs="Times New Roman"/>
          <w:sz w:val="20"/>
          <w:szCs w:val="20"/>
        </w:rPr>
        <w:t xml:space="preserve">La HCR descrita en el párrafo 4 (a-d) produce una relación entre el estado del stock y la mortalidad por pesca tal y como se muestra en el gráfico del </w:t>
      </w:r>
      <w:r w:rsidRPr="00767FBD">
        <w:rPr>
          <w:rFonts w:ascii="Cambria" w:eastAsia="Calibri" w:hAnsi="Cambria" w:cs="Times New Roman"/>
          <w:b/>
          <w:sz w:val="20"/>
          <w:szCs w:val="20"/>
        </w:rPr>
        <w:t>Apéndice B</w:t>
      </w:r>
      <w:r w:rsidR="00870F3C" w:rsidRPr="00767FBD">
        <w:rPr>
          <w:rFonts w:ascii="Cambria" w:eastAsia="Calibri" w:hAnsi="Cambria" w:cs="Times New Roman"/>
          <w:b/>
          <w:sz w:val="20"/>
          <w:szCs w:val="20"/>
        </w:rPr>
        <w:t xml:space="preserve"> </w:t>
      </w:r>
      <w:r w:rsidR="00F459A1" w:rsidRPr="00767FBD">
        <w:rPr>
          <w:rFonts w:ascii="Cambria" w:eastAsia="Calibri" w:hAnsi="Cambria" w:cs="Times New Roman"/>
          <w:bCs/>
          <w:sz w:val="20"/>
          <w:szCs w:val="20"/>
        </w:rPr>
        <w:t>a continuación</w:t>
      </w:r>
      <w:r w:rsidRPr="00767FBD">
        <w:rPr>
          <w:rFonts w:ascii="Cambria" w:eastAsia="Calibri" w:hAnsi="Cambria" w:cs="Times New Roman"/>
          <w:sz w:val="20"/>
          <w:szCs w:val="20"/>
        </w:rPr>
        <w:t xml:space="preserve">. La tabla del </w:t>
      </w:r>
      <w:r w:rsidRPr="00767FBD">
        <w:rPr>
          <w:rFonts w:ascii="Cambria" w:eastAsia="Calibri" w:hAnsi="Cambria" w:cs="Times New Roman"/>
          <w:b/>
          <w:sz w:val="20"/>
          <w:szCs w:val="20"/>
        </w:rPr>
        <w:t xml:space="preserve">Apéndice C </w:t>
      </w:r>
      <w:r w:rsidRPr="00767FBD">
        <w:rPr>
          <w:rFonts w:ascii="Cambria" w:eastAsia="Calibri" w:hAnsi="Cambria" w:cs="Times New Roman"/>
          <w:sz w:val="20"/>
          <w:szCs w:val="20"/>
        </w:rPr>
        <w:t>muestra los valores de la mortalidad por pesca a aplicar (</w:t>
      </w:r>
      <w:r w:rsidR="00870F3C" w:rsidRPr="00767FBD">
        <w:rPr>
          <w:rFonts w:ascii="Cambria" w:eastAsia="Calibri" w:hAnsi="Cambria" w:cs="Times New Roman"/>
          <w:sz w:val="20"/>
          <w:szCs w:val="20"/>
        </w:rPr>
        <w:t>F</w:t>
      </w:r>
      <w:r w:rsidR="00870F3C" w:rsidRPr="00767FBD">
        <w:rPr>
          <w:rFonts w:ascii="Cambria" w:eastAsia="Calibri" w:hAnsi="Cambria" w:cs="Times New Roman"/>
          <w:sz w:val="20"/>
          <w:szCs w:val="20"/>
          <w:vertAlign w:val="subscript"/>
        </w:rPr>
        <w:t>PROX</w:t>
      </w:r>
      <w:r w:rsidRPr="00767FBD">
        <w:rPr>
          <w:rFonts w:ascii="Cambria" w:eastAsia="Calibri" w:hAnsi="Cambria" w:cs="Times New Roman"/>
          <w:sz w:val="20"/>
          <w:szCs w:val="20"/>
        </w:rPr>
        <w:t>) para valores específicos de biomasa relativa (</w:t>
      </w:r>
      <w:r w:rsidR="00B1297C" w:rsidRPr="00767FBD">
        <w:rPr>
          <w:rFonts w:ascii="Cambria" w:eastAsia="Calibri" w:hAnsi="Cambria" w:cs="Times New Roman"/>
          <w:sz w:val="20"/>
          <w:szCs w:val="20"/>
        </w:rPr>
        <w:t>B</w:t>
      </w:r>
      <w:r w:rsidR="00B1297C" w:rsidRPr="00767FBD">
        <w:rPr>
          <w:rFonts w:ascii="Cambria" w:eastAsia="Calibri" w:hAnsi="Cambria" w:cs="Times New Roman"/>
          <w:sz w:val="20"/>
          <w:szCs w:val="20"/>
          <w:vertAlign w:val="subscript"/>
        </w:rPr>
        <w:t>ACTUAL</w:t>
      </w:r>
      <w:r w:rsidRPr="00767FBD">
        <w:rPr>
          <w:rFonts w:ascii="Cambria" w:eastAsia="Calibri" w:hAnsi="Cambria" w:cs="Times New Roman"/>
          <w:sz w:val="20"/>
          <w:szCs w:val="20"/>
        </w:rPr>
        <w:t>/B</w:t>
      </w:r>
      <w:r w:rsidRPr="00767FBD">
        <w:rPr>
          <w:rFonts w:ascii="Cambria" w:eastAsia="Calibri" w:hAnsi="Cambria" w:cs="Times New Roman"/>
          <w:sz w:val="20"/>
          <w:szCs w:val="20"/>
          <w:vertAlign w:val="subscript"/>
        </w:rPr>
        <w:t>RMS</w:t>
      </w:r>
      <w:r w:rsidRPr="00767FBD">
        <w:rPr>
          <w:rFonts w:ascii="Cambria" w:eastAsia="Calibri" w:hAnsi="Cambria" w:cs="Times New Roman"/>
          <w:sz w:val="20"/>
          <w:szCs w:val="20"/>
        </w:rPr>
        <w:t>).</w:t>
      </w:r>
    </w:p>
    <w:p w14:paraId="56E4CCC0" w14:textId="77777777" w:rsidR="00647ED6" w:rsidRPr="00767FBD" w:rsidRDefault="00647ED6" w:rsidP="000057BE">
      <w:pPr>
        <w:rPr>
          <w:rFonts w:asciiTheme="majorHAnsi" w:hAnsiTheme="majorHAnsi" w:cs="Cambria-Italic"/>
          <w:b/>
          <w:bCs/>
          <w:sz w:val="20"/>
          <w:szCs w:val="20"/>
        </w:rPr>
      </w:pPr>
    </w:p>
    <w:p w14:paraId="6725E600" w14:textId="77777777" w:rsidR="00870F3C" w:rsidRPr="00767FBD" w:rsidRDefault="00870F3C">
      <w:pPr>
        <w:rPr>
          <w:rFonts w:asciiTheme="majorHAnsi" w:hAnsiTheme="majorHAnsi"/>
          <w:b/>
          <w:bCs/>
          <w:sz w:val="20"/>
          <w:szCs w:val="20"/>
        </w:rPr>
      </w:pPr>
      <w:r w:rsidRPr="00767FBD">
        <w:rPr>
          <w:rFonts w:asciiTheme="majorHAnsi" w:hAnsiTheme="majorHAnsi"/>
          <w:b/>
          <w:bCs/>
          <w:sz w:val="20"/>
          <w:szCs w:val="20"/>
        </w:rPr>
        <w:br w:type="page"/>
      </w:r>
    </w:p>
    <w:p w14:paraId="35A958D0" w14:textId="10092B6E" w:rsidR="00323959" w:rsidRPr="00767FBD" w:rsidRDefault="00187268" w:rsidP="0053273C">
      <w:pPr>
        <w:jc w:val="right"/>
        <w:rPr>
          <w:rFonts w:asciiTheme="majorHAnsi" w:hAnsiTheme="majorHAnsi" w:cs="Cambria-Italic"/>
          <w:b/>
          <w:bCs/>
          <w:sz w:val="20"/>
          <w:szCs w:val="20"/>
        </w:rPr>
      </w:pPr>
      <w:r w:rsidRPr="00767FBD">
        <w:rPr>
          <w:rFonts w:asciiTheme="majorHAnsi" w:hAnsiTheme="majorHAnsi"/>
          <w:b/>
          <w:bCs/>
          <w:sz w:val="20"/>
          <w:szCs w:val="20"/>
        </w:rPr>
        <w:lastRenderedPageBreak/>
        <w:t>Apéndice</w:t>
      </w:r>
      <w:r w:rsidR="00323959" w:rsidRPr="00767FBD">
        <w:rPr>
          <w:rFonts w:asciiTheme="majorHAnsi" w:hAnsiTheme="majorHAnsi"/>
          <w:b/>
          <w:bCs/>
          <w:sz w:val="20"/>
          <w:szCs w:val="20"/>
        </w:rPr>
        <w:t xml:space="preserve"> A </w:t>
      </w:r>
      <w:r w:rsidRPr="00767FBD">
        <w:rPr>
          <w:rFonts w:asciiTheme="majorHAnsi" w:hAnsiTheme="majorHAnsi"/>
          <w:b/>
          <w:bCs/>
          <w:sz w:val="20"/>
          <w:szCs w:val="20"/>
        </w:rPr>
        <w:t xml:space="preserve">del </w:t>
      </w:r>
      <w:r w:rsidR="0053273C" w:rsidRPr="00767FBD">
        <w:rPr>
          <w:rFonts w:asciiTheme="majorHAnsi" w:hAnsiTheme="majorHAnsi"/>
          <w:b/>
          <w:bCs/>
          <w:sz w:val="20"/>
          <w:szCs w:val="20"/>
        </w:rPr>
        <w:t xml:space="preserve">Anexo </w:t>
      </w:r>
      <w:r w:rsidR="00D839E4" w:rsidRPr="00767FBD">
        <w:rPr>
          <w:rFonts w:asciiTheme="majorHAnsi" w:hAnsiTheme="majorHAnsi"/>
          <w:b/>
          <w:bCs/>
          <w:sz w:val="20"/>
          <w:szCs w:val="20"/>
        </w:rPr>
        <w:t>1</w:t>
      </w:r>
    </w:p>
    <w:p w14:paraId="3CC0F456" w14:textId="432A38C5" w:rsidR="00323959" w:rsidRPr="00767FBD" w:rsidRDefault="00BA01C9" w:rsidP="00323959">
      <w:pPr>
        <w:jc w:val="center"/>
        <w:rPr>
          <w:rFonts w:asciiTheme="majorHAnsi" w:hAnsiTheme="majorHAnsi" w:cs="Cambria-Italic"/>
          <w:b/>
          <w:bCs/>
          <w:sz w:val="20"/>
          <w:szCs w:val="20"/>
        </w:rPr>
      </w:pPr>
      <w:r w:rsidRPr="00767FBD">
        <w:rPr>
          <w:rFonts w:asciiTheme="majorHAnsi" w:hAnsiTheme="majorHAnsi"/>
          <w:b/>
          <w:bCs/>
          <w:sz w:val="20"/>
          <w:szCs w:val="20"/>
        </w:rPr>
        <w:t>Especificaciones de datos y evaluación de stock para el procedimiento de ordenación del atún blanco del Atlántico norte</w:t>
      </w:r>
    </w:p>
    <w:p w14:paraId="5B54AD8F" w14:textId="4AD3CC0A" w:rsidR="00BA01C9" w:rsidRPr="00767FBD" w:rsidRDefault="00602B38" w:rsidP="00DF1160">
      <w:pPr>
        <w:pStyle w:val="ListParagraph"/>
        <w:numPr>
          <w:ilvl w:val="0"/>
          <w:numId w:val="23"/>
        </w:numPr>
        <w:jc w:val="both"/>
        <w:rPr>
          <w:rFonts w:asciiTheme="majorHAnsi" w:hAnsiTheme="majorHAnsi" w:cs="Cambria-Italic"/>
          <w:sz w:val="20"/>
          <w:szCs w:val="20"/>
        </w:rPr>
      </w:pPr>
      <w:r w:rsidRPr="00767FBD">
        <w:rPr>
          <w:rFonts w:asciiTheme="majorHAnsi" w:hAnsiTheme="majorHAnsi"/>
          <w:sz w:val="20"/>
          <w:szCs w:val="20"/>
        </w:rPr>
        <w:t xml:space="preserve">Índices de CPUE y sus años de inicio; donde "t" es el año de la iteración del procedimiento de ordenación para establecer el TAC para los años t+1, t+2 y t+3 </w:t>
      </w:r>
    </w:p>
    <w:p w14:paraId="3A477480" w14:textId="77777777" w:rsidR="00A86C3A" w:rsidRPr="00767FBD" w:rsidRDefault="00A86C3A" w:rsidP="00A86C3A">
      <w:pPr>
        <w:pStyle w:val="ListParagraph"/>
        <w:jc w:val="both"/>
        <w:rPr>
          <w:rFonts w:asciiTheme="majorHAnsi" w:hAnsiTheme="majorHAnsi" w:cs="Cambria-Italic"/>
          <w:sz w:val="20"/>
          <w:szCs w:val="20"/>
        </w:rPr>
      </w:pPr>
    </w:p>
    <w:tbl>
      <w:tblPr>
        <w:tblStyle w:val="TableGrid"/>
        <w:tblW w:w="0" w:type="auto"/>
        <w:jc w:val="center"/>
        <w:tblLook w:val="04A0" w:firstRow="1" w:lastRow="0" w:firstColumn="1" w:lastColumn="0" w:noHBand="0" w:noVBand="1"/>
      </w:tblPr>
      <w:tblGrid>
        <w:gridCol w:w="3108"/>
        <w:gridCol w:w="1417"/>
        <w:gridCol w:w="3839"/>
      </w:tblGrid>
      <w:tr w:rsidR="0035444C" w:rsidRPr="00767FBD" w14:paraId="19E4C144" w14:textId="685E40F3" w:rsidTr="00187268">
        <w:trPr>
          <w:jc w:val="center"/>
        </w:trPr>
        <w:tc>
          <w:tcPr>
            <w:tcW w:w="3108" w:type="dxa"/>
          </w:tcPr>
          <w:p w14:paraId="110EFB03" w14:textId="73A20058" w:rsidR="000F2FA4" w:rsidRPr="00767FBD" w:rsidRDefault="000F2FA4" w:rsidP="00DF1160">
            <w:pPr>
              <w:pStyle w:val="ListParagraph"/>
              <w:ind w:left="0"/>
              <w:jc w:val="center"/>
              <w:rPr>
                <w:rFonts w:asciiTheme="majorHAnsi" w:hAnsiTheme="majorHAnsi" w:cs="Cambria-Italic"/>
                <w:sz w:val="20"/>
                <w:szCs w:val="20"/>
              </w:rPr>
            </w:pPr>
            <w:r w:rsidRPr="00767FBD">
              <w:rPr>
                <w:rFonts w:asciiTheme="majorHAnsi" w:hAnsiTheme="majorHAnsi"/>
                <w:sz w:val="20"/>
                <w:szCs w:val="20"/>
              </w:rPr>
              <w:t>Índices</w:t>
            </w:r>
          </w:p>
        </w:tc>
        <w:tc>
          <w:tcPr>
            <w:tcW w:w="1417" w:type="dxa"/>
          </w:tcPr>
          <w:p w14:paraId="06C04A08" w14:textId="1D19BD48" w:rsidR="000F2FA4" w:rsidRPr="00767FBD" w:rsidRDefault="000F2FA4" w:rsidP="00DF1160">
            <w:pPr>
              <w:pStyle w:val="ListParagraph"/>
              <w:ind w:left="0"/>
              <w:jc w:val="center"/>
              <w:rPr>
                <w:rFonts w:asciiTheme="majorHAnsi" w:hAnsiTheme="majorHAnsi" w:cs="Cambria-Italic"/>
                <w:sz w:val="20"/>
                <w:szCs w:val="20"/>
              </w:rPr>
            </w:pPr>
            <w:r w:rsidRPr="00767FBD">
              <w:rPr>
                <w:rFonts w:asciiTheme="majorHAnsi" w:hAnsiTheme="majorHAnsi"/>
                <w:sz w:val="20"/>
                <w:szCs w:val="20"/>
              </w:rPr>
              <w:t>Primer año</w:t>
            </w:r>
          </w:p>
        </w:tc>
        <w:tc>
          <w:tcPr>
            <w:tcW w:w="3839" w:type="dxa"/>
          </w:tcPr>
          <w:p w14:paraId="02EEA9CF" w14:textId="02EAE6EE" w:rsidR="000F2FA4" w:rsidRPr="00767FBD" w:rsidRDefault="000F2FA4" w:rsidP="00602B38">
            <w:pPr>
              <w:pStyle w:val="ListParagraph"/>
              <w:ind w:left="0"/>
              <w:jc w:val="center"/>
              <w:rPr>
                <w:rFonts w:asciiTheme="majorHAnsi" w:hAnsiTheme="majorHAnsi" w:cs="Cambria-Italic"/>
                <w:sz w:val="20"/>
                <w:szCs w:val="20"/>
              </w:rPr>
            </w:pPr>
            <w:r w:rsidRPr="00767FBD">
              <w:rPr>
                <w:rFonts w:asciiTheme="majorHAnsi" w:hAnsiTheme="majorHAnsi"/>
                <w:sz w:val="20"/>
                <w:szCs w:val="20"/>
              </w:rPr>
              <w:t>Año final</w:t>
            </w:r>
          </w:p>
        </w:tc>
      </w:tr>
      <w:tr w:rsidR="0035444C" w:rsidRPr="00767FBD" w14:paraId="1BA5F267" w14:textId="18F52386" w:rsidTr="00187268">
        <w:trPr>
          <w:jc w:val="center"/>
        </w:trPr>
        <w:tc>
          <w:tcPr>
            <w:tcW w:w="3108" w:type="dxa"/>
          </w:tcPr>
          <w:p w14:paraId="77D7158E" w14:textId="1E0E2CFC" w:rsidR="000F2FA4" w:rsidRPr="00767FBD" w:rsidRDefault="000F2FA4" w:rsidP="00A06D70">
            <w:pPr>
              <w:pStyle w:val="Default"/>
              <w:rPr>
                <w:rFonts w:asciiTheme="majorHAnsi" w:hAnsiTheme="majorHAnsi" w:cs="Cambria-Italic"/>
                <w:color w:val="auto"/>
                <w:sz w:val="20"/>
                <w:szCs w:val="20"/>
              </w:rPr>
            </w:pPr>
            <w:r w:rsidRPr="00767FBD">
              <w:rPr>
                <w:rFonts w:asciiTheme="majorHAnsi" w:hAnsiTheme="majorHAnsi"/>
                <w:color w:val="auto"/>
                <w:sz w:val="20"/>
                <w:szCs w:val="20"/>
              </w:rPr>
              <w:t xml:space="preserve">Palangre tardío de Taipei Chino </w:t>
            </w:r>
          </w:p>
        </w:tc>
        <w:tc>
          <w:tcPr>
            <w:tcW w:w="1417" w:type="dxa"/>
          </w:tcPr>
          <w:p w14:paraId="1162F036" w14:textId="181C3470" w:rsidR="000F2FA4" w:rsidRPr="00767FBD" w:rsidRDefault="000F2FA4" w:rsidP="00DF1160">
            <w:pPr>
              <w:pStyle w:val="ListParagraph"/>
              <w:ind w:left="0"/>
              <w:jc w:val="center"/>
              <w:rPr>
                <w:rFonts w:asciiTheme="majorHAnsi" w:hAnsiTheme="majorHAnsi" w:cs="Cambria-Italic"/>
                <w:sz w:val="20"/>
                <w:szCs w:val="20"/>
              </w:rPr>
            </w:pPr>
            <w:r w:rsidRPr="00767FBD">
              <w:rPr>
                <w:rFonts w:asciiTheme="majorHAnsi" w:hAnsiTheme="majorHAnsi"/>
                <w:sz w:val="20"/>
                <w:szCs w:val="20"/>
              </w:rPr>
              <w:t>1999</w:t>
            </w:r>
          </w:p>
        </w:tc>
        <w:tc>
          <w:tcPr>
            <w:tcW w:w="3839" w:type="dxa"/>
          </w:tcPr>
          <w:p w14:paraId="0F607D70" w14:textId="29D64B37" w:rsidR="000F2FA4" w:rsidRPr="00767FBD" w:rsidRDefault="000F2FA4" w:rsidP="00602B38">
            <w:pPr>
              <w:pStyle w:val="ListParagraph"/>
              <w:ind w:left="0"/>
              <w:jc w:val="center"/>
              <w:rPr>
                <w:rFonts w:asciiTheme="majorHAnsi" w:hAnsiTheme="majorHAnsi" w:cs="Cambria-Italic"/>
                <w:sz w:val="20"/>
                <w:szCs w:val="20"/>
              </w:rPr>
            </w:pPr>
            <w:r w:rsidRPr="00767FBD">
              <w:rPr>
                <w:rFonts w:asciiTheme="majorHAnsi" w:hAnsiTheme="majorHAnsi"/>
                <w:sz w:val="20"/>
                <w:szCs w:val="20"/>
              </w:rPr>
              <w:t>t-1 preferiblemente (si no t-2)</w:t>
            </w:r>
          </w:p>
        </w:tc>
      </w:tr>
      <w:tr w:rsidR="0035444C" w:rsidRPr="00767FBD" w14:paraId="22C98B8D" w14:textId="03B8ED2F" w:rsidTr="00187268">
        <w:trPr>
          <w:jc w:val="center"/>
        </w:trPr>
        <w:tc>
          <w:tcPr>
            <w:tcW w:w="3108" w:type="dxa"/>
          </w:tcPr>
          <w:p w14:paraId="48512864" w14:textId="7C8D4570" w:rsidR="000F2FA4" w:rsidRPr="00767FBD" w:rsidRDefault="000F2FA4" w:rsidP="000F2FA4">
            <w:pPr>
              <w:pStyle w:val="ListParagraph"/>
              <w:ind w:left="0"/>
              <w:rPr>
                <w:rFonts w:asciiTheme="majorHAnsi" w:hAnsiTheme="majorHAnsi" w:cs="Cambria-Italic"/>
                <w:sz w:val="20"/>
                <w:szCs w:val="20"/>
                <w:lang w:val="pt-BR"/>
              </w:rPr>
            </w:pPr>
            <w:r w:rsidRPr="00767FBD">
              <w:rPr>
                <w:rFonts w:asciiTheme="majorHAnsi" w:hAnsiTheme="majorHAnsi"/>
                <w:sz w:val="20"/>
                <w:szCs w:val="20"/>
                <w:lang w:val="pt-BR"/>
              </w:rPr>
              <w:t>Captura fortuita palangre de Japón</w:t>
            </w:r>
          </w:p>
        </w:tc>
        <w:tc>
          <w:tcPr>
            <w:tcW w:w="1417" w:type="dxa"/>
          </w:tcPr>
          <w:p w14:paraId="6C876F66" w14:textId="267F51A4" w:rsidR="000F2FA4" w:rsidRPr="00767FBD" w:rsidRDefault="000F2FA4" w:rsidP="00DF1160">
            <w:pPr>
              <w:pStyle w:val="ListParagraph"/>
              <w:ind w:left="0"/>
              <w:jc w:val="center"/>
              <w:rPr>
                <w:rFonts w:asciiTheme="majorHAnsi" w:hAnsiTheme="majorHAnsi" w:cs="Cambria-Italic"/>
                <w:sz w:val="20"/>
                <w:szCs w:val="20"/>
              </w:rPr>
            </w:pPr>
            <w:r w:rsidRPr="00767FBD">
              <w:rPr>
                <w:rFonts w:asciiTheme="majorHAnsi" w:hAnsiTheme="majorHAnsi"/>
                <w:sz w:val="20"/>
                <w:szCs w:val="20"/>
              </w:rPr>
              <w:t>1988</w:t>
            </w:r>
          </w:p>
        </w:tc>
        <w:tc>
          <w:tcPr>
            <w:tcW w:w="3839" w:type="dxa"/>
          </w:tcPr>
          <w:p w14:paraId="686FE017" w14:textId="2D4950B6" w:rsidR="000F2FA4" w:rsidRPr="00767FBD" w:rsidRDefault="000F2FA4" w:rsidP="000F2FA4">
            <w:pPr>
              <w:pStyle w:val="ListParagraph"/>
              <w:ind w:left="0"/>
              <w:jc w:val="center"/>
              <w:rPr>
                <w:rFonts w:asciiTheme="majorHAnsi" w:hAnsiTheme="majorHAnsi" w:cs="Cambria-Italic"/>
                <w:sz w:val="20"/>
                <w:szCs w:val="20"/>
              </w:rPr>
            </w:pPr>
            <w:r w:rsidRPr="00767FBD">
              <w:rPr>
                <w:rFonts w:asciiTheme="majorHAnsi" w:hAnsiTheme="majorHAnsi"/>
                <w:sz w:val="20"/>
                <w:szCs w:val="20"/>
              </w:rPr>
              <w:t>t-1 preferiblemente (</w:t>
            </w:r>
            <w:r w:rsidR="00870F3C" w:rsidRPr="00767FBD">
              <w:rPr>
                <w:rFonts w:asciiTheme="majorHAnsi" w:hAnsiTheme="majorHAnsi"/>
                <w:sz w:val="20"/>
                <w:szCs w:val="20"/>
              </w:rPr>
              <w:t xml:space="preserve">si no </w:t>
            </w:r>
            <w:r w:rsidRPr="00767FBD">
              <w:rPr>
                <w:rFonts w:asciiTheme="majorHAnsi" w:hAnsiTheme="majorHAnsi"/>
                <w:sz w:val="20"/>
                <w:szCs w:val="20"/>
              </w:rPr>
              <w:t>t-2)</w:t>
            </w:r>
          </w:p>
        </w:tc>
      </w:tr>
      <w:tr w:rsidR="0035444C" w:rsidRPr="00767FBD" w14:paraId="091CFBAD" w14:textId="26F4BF27" w:rsidTr="00187268">
        <w:trPr>
          <w:jc w:val="center"/>
        </w:trPr>
        <w:tc>
          <w:tcPr>
            <w:tcW w:w="3108" w:type="dxa"/>
          </w:tcPr>
          <w:p w14:paraId="28FB5E7D" w14:textId="02F92F15" w:rsidR="000F2FA4" w:rsidRPr="00767FBD" w:rsidRDefault="000F2FA4" w:rsidP="000F2FA4">
            <w:pPr>
              <w:pStyle w:val="ListParagraph"/>
              <w:ind w:left="0"/>
              <w:rPr>
                <w:rFonts w:asciiTheme="majorHAnsi" w:hAnsiTheme="majorHAnsi" w:cs="Cambria-Italic"/>
                <w:sz w:val="20"/>
                <w:szCs w:val="20"/>
              </w:rPr>
            </w:pPr>
            <w:r w:rsidRPr="00767FBD">
              <w:rPr>
                <w:rFonts w:asciiTheme="majorHAnsi" w:hAnsiTheme="majorHAnsi"/>
                <w:sz w:val="20"/>
                <w:szCs w:val="20"/>
              </w:rPr>
              <w:t>Cebo vivo de UE-España</w:t>
            </w:r>
          </w:p>
        </w:tc>
        <w:tc>
          <w:tcPr>
            <w:tcW w:w="1417" w:type="dxa"/>
          </w:tcPr>
          <w:p w14:paraId="4E64B913" w14:textId="6AA7F30C" w:rsidR="000F2FA4" w:rsidRPr="00767FBD" w:rsidRDefault="000F2FA4" w:rsidP="00DF1160">
            <w:pPr>
              <w:pStyle w:val="ListParagraph"/>
              <w:ind w:left="0"/>
              <w:jc w:val="center"/>
              <w:rPr>
                <w:rFonts w:asciiTheme="majorHAnsi" w:hAnsiTheme="majorHAnsi" w:cs="Cambria-Italic"/>
                <w:sz w:val="20"/>
                <w:szCs w:val="20"/>
              </w:rPr>
            </w:pPr>
            <w:r w:rsidRPr="00767FBD">
              <w:rPr>
                <w:rFonts w:asciiTheme="majorHAnsi" w:hAnsiTheme="majorHAnsi"/>
                <w:sz w:val="20"/>
                <w:szCs w:val="20"/>
              </w:rPr>
              <w:t>1981</w:t>
            </w:r>
          </w:p>
        </w:tc>
        <w:tc>
          <w:tcPr>
            <w:tcW w:w="3839" w:type="dxa"/>
          </w:tcPr>
          <w:p w14:paraId="16560B1F" w14:textId="0480EF72" w:rsidR="000F2FA4" w:rsidRPr="00767FBD" w:rsidRDefault="000F2FA4" w:rsidP="000F2FA4">
            <w:pPr>
              <w:pStyle w:val="ListParagraph"/>
              <w:ind w:left="0"/>
              <w:jc w:val="center"/>
              <w:rPr>
                <w:rFonts w:asciiTheme="majorHAnsi" w:hAnsiTheme="majorHAnsi" w:cs="Cambria-Italic"/>
                <w:sz w:val="20"/>
                <w:szCs w:val="20"/>
              </w:rPr>
            </w:pPr>
            <w:r w:rsidRPr="00767FBD">
              <w:rPr>
                <w:rFonts w:asciiTheme="majorHAnsi" w:hAnsiTheme="majorHAnsi"/>
                <w:sz w:val="20"/>
                <w:szCs w:val="20"/>
              </w:rPr>
              <w:t>t-1 preferiblemente (si no t-2)</w:t>
            </w:r>
          </w:p>
        </w:tc>
      </w:tr>
      <w:tr w:rsidR="0035444C" w:rsidRPr="00767FBD" w14:paraId="6FAF883F" w14:textId="7DF55077" w:rsidTr="00187268">
        <w:trPr>
          <w:jc w:val="center"/>
        </w:trPr>
        <w:tc>
          <w:tcPr>
            <w:tcW w:w="3108" w:type="dxa"/>
          </w:tcPr>
          <w:p w14:paraId="37EFD34C" w14:textId="62B160E1" w:rsidR="000F2FA4" w:rsidRPr="00767FBD" w:rsidRDefault="000F2FA4" w:rsidP="000F2FA4">
            <w:pPr>
              <w:pStyle w:val="ListParagraph"/>
              <w:ind w:left="0"/>
              <w:rPr>
                <w:rFonts w:asciiTheme="majorHAnsi" w:hAnsiTheme="majorHAnsi" w:cs="Cambria-Italic"/>
                <w:sz w:val="20"/>
                <w:szCs w:val="20"/>
              </w:rPr>
            </w:pPr>
            <w:r w:rsidRPr="00767FBD">
              <w:rPr>
                <w:rFonts w:asciiTheme="majorHAnsi" w:hAnsiTheme="majorHAnsi"/>
                <w:sz w:val="20"/>
                <w:szCs w:val="20"/>
              </w:rPr>
              <w:t>Palangre de Estados Unidos</w:t>
            </w:r>
          </w:p>
        </w:tc>
        <w:tc>
          <w:tcPr>
            <w:tcW w:w="1417" w:type="dxa"/>
          </w:tcPr>
          <w:p w14:paraId="0689CDF9" w14:textId="698D4779" w:rsidR="000F2FA4" w:rsidRPr="00767FBD" w:rsidRDefault="000F2FA4" w:rsidP="00DF1160">
            <w:pPr>
              <w:pStyle w:val="ListParagraph"/>
              <w:ind w:left="0"/>
              <w:jc w:val="center"/>
              <w:rPr>
                <w:rFonts w:asciiTheme="majorHAnsi" w:hAnsiTheme="majorHAnsi" w:cs="Cambria-Italic"/>
                <w:sz w:val="20"/>
                <w:szCs w:val="20"/>
              </w:rPr>
            </w:pPr>
            <w:r w:rsidRPr="00767FBD">
              <w:rPr>
                <w:rFonts w:asciiTheme="majorHAnsi" w:hAnsiTheme="majorHAnsi"/>
                <w:sz w:val="20"/>
                <w:szCs w:val="20"/>
              </w:rPr>
              <w:t>1987</w:t>
            </w:r>
          </w:p>
        </w:tc>
        <w:tc>
          <w:tcPr>
            <w:tcW w:w="3839" w:type="dxa"/>
          </w:tcPr>
          <w:p w14:paraId="471CEBE0" w14:textId="0B0D995F" w:rsidR="000F2FA4" w:rsidRPr="00767FBD" w:rsidRDefault="000F2FA4" w:rsidP="000F2FA4">
            <w:pPr>
              <w:pStyle w:val="ListParagraph"/>
              <w:ind w:left="0"/>
              <w:jc w:val="center"/>
              <w:rPr>
                <w:rFonts w:asciiTheme="majorHAnsi" w:hAnsiTheme="majorHAnsi" w:cs="Cambria-Italic"/>
                <w:sz w:val="20"/>
                <w:szCs w:val="20"/>
              </w:rPr>
            </w:pPr>
            <w:r w:rsidRPr="00767FBD">
              <w:rPr>
                <w:rFonts w:asciiTheme="majorHAnsi" w:hAnsiTheme="majorHAnsi"/>
                <w:sz w:val="20"/>
                <w:szCs w:val="20"/>
              </w:rPr>
              <w:t>t-1 preferiblemente (si no t-2)</w:t>
            </w:r>
          </w:p>
        </w:tc>
      </w:tr>
      <w:tr w:rsidR="00DF1160" w:rsidRPr="00767FBD" w14:paraId="2725F906" w14:textId="3B91D9F3" w:rsidTr="00187268">
        <w:trPr>
          <w:jc w:val="center"/>
        </w:trPr>
        <w:tc>
          <w:tcPr>
            <w:tcW w:w="3108" w:type="dxa"/>
          </w:tcPr>
          <w:p w14:paraId="170B4156" w14:textId="64BFF74A" w:rsidR="000F2FA4" w:rsidRPr="00767FBD" w:rsidRDefault="000F2FA4" w:rsidP="000F2FA4">
            <w:pPr>
              <w:pStyle w:val="ListParagraph"/>
              <w:ind w:left="0"/>
              <w:rPr>
                <w:rFonts w:asciiTheme="majorHAnsi" w:hAnsiTheme="majorHAnsi" w:cs="Cambria-Italic"/>
                <w:sz w:val="20"/>
                <w:szCs w:val="20"/>
              </w:rPr>
            </w:pPr>
            <w:r w:rsidRPr="00767FBD">
              <w:rPr>
                <w:rFonts w:asciiTheme="majorHAnsi" w:hAnsiTheme="majorHAnsi"/>
                <w:sz w:val="20"/>
                <w:szCs w:val="20"/>
              </w:rPr>
              <w:t>Palangre venezolano</w:t>
            </w:r>
          </w:p>
        </w:tc>
        <w:tc>
          <w:tcPr>
            <w:tcW w:w="1417" w:type="dxa"/>
          </w:tcPr>
          <w:p w14:paraId="25D63E6F" w14:textId="1AAA1637" w:rsidR="000F2FA4" w:rsidRPr="00767FBD" w:rsidRDefault="000F2FA4" w:rsidP="00DF1160">
            <w:pPr>
              <w:pStyle w:val="ListParagraph"/>
              <w:ind w:left="0"/>
              <w:jc w:val="center"/>
              <w:rPr>
                <w:rFonts w:asciiTheme="majorHAnsi" w:hAnsiTheme="majorHAnsi" w:cs="Cambria-Italic"/>
                <w:sz w:val="20"/>
                <w:szCs w:val="20"/>
              </w:rPr>
            </w:pPr>
            <w:r w:rsidRPr="00767FBD">
              <w:rPr>
                <w:rFonts w:asciiTheme="majorHAnsi" w:hAnsiTheme="majorHAnsi"/>
                <w:sz w:val="20"/>
                <w:szCs w:val="20"/>
              </w:rPr>
              <w:t>1991</w:t>
            </w:r>
          </w:p>
        </w:tc>
        <w:tc>
          <w:tcPr>
            <w:tcW w:w="3839" w:type="dxa"/>
          </w:tcPr>
          <w:p w14:paraId="6563167E" w14:textId="2D7BE639" w:rsidR="000F2FA4" w:rsidRPr="00767FBD" w:rsidRDefault="000F2FA4" w:rsidP="000F2FA4">
            <w:pPr>
              <w:pStyle w:val="ListParagraph"/>
              <w:ind w:left="0"/>
              <w:jc w:val="center"/>
              <w:rPr>
                <w:rFonts w:asciiTheme="majorHAnsi" w:hAnsiTheme="majorHAnsi" w:cs="Cambria-Italic"/>
                <w:sz w:val="20"/>
                <w:szCs w:val="20"/>
              </w:rPr>
            </w:pPr>
            <w:r w:rsidRPr="00767FBD">
              <w:rPr>
                <w:rFonts w:asciiTheme="majorHAnsi" w:hAnsiTheme="majorHAnsi"/>
                <w:sz w:val="20"/>
                <w:szCs w:val="20"/>
              </w:rPr>
              <w:t>t-1 preferiblemente (si no t-2)</w:t>
            </w:r>
          </w:p>
        </w:tc>
      </w:tr>
    </w:tbl>
    <w:p w14:paraId="13DE87BE" w14:textId="77777777" w:rsidR="00E514EF" w:rsidRPr="00767FBD" w:rsidRDefault="00E514EF" w:rsidP="00E514EF">
      <w:pPr>
        <w:pStyle w:val="ListParagraph"/>
        <w:rPr>
          <w:rFonts w:asciiTheme="majorHAnsi" w:hAnsiTheme="majorHAnsi" w:cs="Cambria-Italic"/>
          <w:sz w:val="20"/>
          <w:szCs w:val="20"/>
        </w:rPr>
      </w:pPr>
    </w:p>
    <w:p w14:paraId="3969173B" w14:textId="77777777" w:rsidR="00602B38" w:rsidRPr="00767FBD" w:rsidRDefault="00602B38" w:rsidP="00DF1160">
      <w:pPr>
        <w:pStyle w:val="ListParagraph"/>
        <w:rPr>
          <w:rFonts w:asciiTheme="majorHAnsi" w:hAnsiTheme="majorHAnsi" w:cs="Cambria-Italic"/>
          <w:sz w:val="20"/>
          <w:szCs w:val="20"/>
        </w:rPr>
      </w:pPr>
    </w:p>
    <w:p w14:paraId="7A1EE93B" w14:textId="624D164F" w:rsidR="00602B38" w:rsidRPr="00767FBD" w:rsidRDefault="00602B38" w:rsidP="00A86C3A">
      <w:pPr>
        <w:pStyle w:val="ListParagraph"/>
        <w:numPr>
          <w:ilvl w:val="0"/>
          <w:numId w:val="23"/>
        </w:numPr>
        <w:jc w:val="both"/>
        <w:rPr>
          <w:rFonts w:asciiTheme="majorHAnsi" w:hAnsiTheme="majorHAnsi" w:cs="Cambria-Italic"/>
          <w:sz w:val="20"/>
          <w:szCs w:val="20"/>
        </w:rPr>
      </w:pPr>
      <w:r w:rsidRPr="00767FBD">
        <w:rPr>
          <w:rFonts w:asciiTheme="majorHAnsi" w:hAnsiTheme="majorHAnsi"/>
          <w:sz w:val="20"/>
          <w:szCs w:val="20"/>
        </w:rPr>
        <w:t>Especificaciones del modelo dinámico de biomasa; donde "t" es el año de la iteración del procedimiento de ordenación para el establecimiento del TAC para los años t+1, t+2 y t+3</w:t>
      </w:r>
    </w:p>
    <w:p w14:paraId="425DBD4D" w14:textId="77777777" w:rsidR="00A86C3A" w:rsidRPr="00767FBD" w:rsidRDefault="00A86C3A" w:rsidP="00A86C3A">
      <w:pPr>
        <w:pStyle w:val="ListParagraph"/>
        <w:jc w:val="both"/>
        <w:rPr>
          <w:rFonts w:asciiTheme="majorHAnsi" w:hAnsiTheme="majorHAnsi" w:cs="Cambria-Italic"/>
          <w:sz w:val="20"/>
          <w:szCs w:val="20"/>
        </w:rPr>
      </w:pPr>
    </w:p>
    <w:tbl>
      <w:tblPr>
        <w:tblStyle w:val="TableGrid"/>
        <w:tblW w:w="8753" w:type="dxa"/>
        <w:jc w:val="center"/>
        <w:tblLook w:val="04A0" w:firstRow="1" w:lastRow="0" w:firstColumn="1" w:lastColumn="0" w:noHBand="0" w:noVBand="1"/>
      </w:tblPr>
      <w:tblGrid>
        <w:gridCol w:w="1275"/>
        <w:gridCol w:w="1418"/>
        <w:gridCol w:w="2693"/>
        <w:gridCol w:w="3367"/>
      </w:tblGrid>
      <w:tr w:rsidR="0035444C" w:rsidRPr="00767FBD" w14:paraId="673CC4BA" w14:textId="54217EE7" w:rsidTr="00A86C3A">
        <w:trPr>
          <w:jc w:val="center"/>
        </w:trPr>
        <w:tc>
          <w:tcPr>
            <w:tcW w:w="1275" w:type="dxa"/>
          </w:tcPr>
          <w:p w14:paraId="12159BF2" w14:textId="387C7277" w:rsidR="00602B38" w:rsidRPr="00767FBD" w:rsidRDefault="00602B38" w:rsidP="00602B38">
            <w:pPr>
              <w:pStyle w:val="ListParagraph"/>
              <w:ind w:left="0"/>
              <w:jc w:val="center"/>
              <w:rPr>
                <w:rFonts w:asciiTheme="majorHAnsi" w:hAnsiTheme="majorHAnsi" w:cs="Cambria-Italic"/>
                <w:sz w:val="20"/>
                <w:szCs w:val="20"/>
              </w:rPr>
            </w:pPr>
            <w:r w:rsidRPr="00767FBD">
              <w:rPr>
                <w:rFonts w:asciiTheme="majorHAnsi" w:hAnsiTheme="majorHAnsi"/>
                <w:sz w:val="20"/>
                <w:szCs w:val="20"/>
              </w:rPr>
              <w:t>Software</w:t>
            </w:r>
          </w:p>
        </w:tc>
        <w:tc>
          <w:tcPr>
            <w:tcW w:w="1418" w:type="dxa"/>
          </w:tcPr>
          <w:p w14:paraId="620C5E24" w14:textId="1B9DF804" w:rsidR="00602B38" w:rsidRPr="00767FBD" w:rsidRDefault="00602B38" w:rsidP="00602B38">
            <w:pPr>
              <w:pStyle w:val="ListParagraph"/>
              <w:ind w:left="0"/>
              <w:jc w:val="center"/>
              <w:rPr>
                <w:rFonts w:asciiTheme="majorHAnsi" w:hAnsiTheme="majorHAnsi" w:cs="Cambria-Italic"/>
                <w:sz w:val="20"/>
                <w:szCs w:val="20"/>
              </w:rPr>
            </w:pPr>
            <w:r w:rsidRPr="00767FBD">
              <w:rPr>
                <w:rFonts w:asciiTheme="majorHAnsi" w:hAnsiTheme="majorHAnsi"/>
                <w:sz w:val="20"/>
                <w:szCs w:val="20"/>
              </w:rPr>
              <w:t xml:space="preserve">Modelo </w:t>
            </w:r>
          </w:p>
        </w:tc>
        <w:tc>
          <w:tcPr>
            <w:tcW w:w="2693" w:type="dxa"/>
          </w:tcPr>
          <w:p w14:paraId="0F847302" w14:textId="70AA1B33" w:rsidR="00602B38" w:rsidRPr="00767FBD" w:rsidRDefault="000F2FA4" w:rsidP="000F2FA4">
            <w:pPr>
              <w:pStyle w:val="ListParagraph"/>
              <w:ind w:left="0"/>
              <w:jc w:val="center"/>
              <w:rPr>
                <w:rFonts w:asciiTheme="majorHAnsi" w:hAnsiTheme="majorHAnsi" w:cs="Cambria-Italic"/>
                <w:sz w:val="20"/>
                <w:szCs w:val="20"/>
              </w:rPr>
            </w:pPr>
            <w:r w:rsidRPr="00767FBD">
              <w:rPr>
                <w:rFonts w:asciiTheme="majorHAnsi" w:hAnsiTheme="majorHAnsi"/>
                <w:sz w:val="20"/>
                <w:szCs w:val="20"/>
              </w:rPr>
              <w:t>Serie de captura</w:t>
            </w:r>
          </w:p>
        </w:tc>
        <w:tc>
          <w:tcPr>
            <w:tcW w:w="3367" w:type="dxa"/>
          </w:tcPr>
          <w:p w14:paraId="240E5835" w14:textId="06ADBF67" w:rsidR="00602B38" w:rsidRPr="00767FBD" w:rsidRDefault="000F2FA4" w:rsidP="000F2FA4">
            <w:pPr>
              <w:pStyle w:val="ListParagraph"/>
              <w:ind w:left="0"/>
              <w:jc w:val="center"/>
              <w:rPr>
                <w:rFonts w:asciiTheme="majorHAnsi" w:hAnsiTheme="majorHAnsi" w:cs="Cambria-Italic"/>
                <w:sz w:val="20"/>
                <w:szCs w:val="20"/>
              </w:rPr>
            </w:pPr>
            <w:r w:rsidRPr="00767FBD">
              <w:rPr>
                <w:rFonts w:asciiTheme="majorHAnsi" w:hAnsiTheme="majorHAnsi"/>
                <w:sz w:val="20"/>
                <w:szCs w:val="20"/>
              </w:rPr>
              <w:t xml:space="preserve">Valores de inicio </w:t>
            </w:r>
          </w:p>
        </w:tc>
      </w:tr>
      <w:tr w:rsidR="00DF1160" w:rsidRPr="00767FBD" w14:paraId="62DD18F9" w14:textId="555ABF7F" w:rsidTr="00A86C3A">
        <w:trPr>
          <w:jc w:val="center"/>
        </w:trPr>
        <w:tc>
          <w:tcPr>
            <w:tcW w:w="1275" w:type="dxa"/>
          </w:tcPr>
          <w:p w14:paraId="21540BD5" w14:textId="7056AB16" w:rsidR="00602B38" w:rsidRPr="00767FBD" w:rsidRDefault="00602B38" w:rsidP="00DF1160">
            <w:pPr>
              <w:pStyle w:val="Default"/>
              <w:jc w:val="center"/>
              <w:rPr>
                <w:rFonts w:asciiTheme="majorHAnsi" w:hAnsiTheme="majorHAnsi" w:cs="Cambria-Italic"/>
                <w:color w:val="auto"/>
                <w:sz w:val="20"/>
                <w:szCs w:val="20"/>
              </w:rPr>
            </w:pPr>
            <w:proofErr w:type="spellStart"/>
            <w:r w:rsidRPr="00767FBD">
              <w:rPr>
                <w:color w:val="auto"/>
                <w:sz w:val="20"/>
                <w:szCs w:val="20"/>
              </w:rPr>
              <w:t>mpb</w:t>
            </w:r>
            <w:proofErr w:type="spellEnd"/>
          </w:p>
        </w:tc>
        <w:tc>
          <w:tcPr>
            <w:tcW w:w="1418" w:type="dxa"/>
          </w:tcPr>
          <w:p w14:paraId="3056B250" w14:textId="0BC72D8A" w:rsidR="00602B38" w:rsidRPr="00767FBD" w:rsidRDefault="000F2FA4" w:rsidP="00602B38">
            <w:pPr>
              <w:pStyle w:val="ListParagraph"/>
              <w:ind w:left="0"/>
              <w:jc w:val="center"/>
              <w:rPr>
                <w:rFonts w:asciiTheme="majorHAnsi" w:hAnsiTheme="majorHAnsi" w:cs="Cambria-Italic"/>
                <w:sz w:val="20"/>
                <w:szCs w:val="20"/>
              </w:rPr>
            </w:pPr>
            <w:r w:rsidRPr="00767FBD">
              <w:rPr>
                <w:rFonts w:ascii="Cambria" w:hAnsi="Cambria"/>
                <w:sz w:val="20"/>
                <w:szCs w:val="20"/>
              </w:rPr>
              <w:t>Fox (dinámica de biomasa)</w:t>
            </w:r>
            <w:r w:rsidRPr="00767FBD">
              <w:rPr>
                <w:rFonts w:asciiTheme="majorHAnsi" w:hAnsiTheme="majorHAnsi"/>
                <w:sz w:val="20"/>
                <w:szCs w:val="20"/>
              </w:rPr>
              <w:t xml:space="preserve"> </w:t>
            </w:r>
          </w:p>
        </w:tc>
        <w:tc>
          <w:tcPr>
            <w:tcW w:w="2693" w:type="dxa"/>
          </w:tcPr>
          <w:p w14:paraId="06437267" w14:textId="77777777" w:rsidR="000F2FA4" w:rsidRPr="00767FBD" w:rsidRDefault="000F2FA4" w:rsidP="00DF1160">
            <w:pPr>
              <w:pStyle w:val="ListParagraph"/>
              <w:ind w:left="0"/>
              <w:rPr>
                <w:rFonts w:asciiTheme="majorHAnsi" w:hAnsiTheme="majorHAnsi" w:cs="Cambria-Italic"/>
                <w:sz w:val="20"/>
                <w:szCs w:val="20"/>
              </w:rPr>
            </w:pPr>
            <w:r w:rsidRPr="00767FBD">
              <w:rPr>
                <w:rFonts w:asciiTheme="majorHAnsi" w:hAnsiTheme="majorHAnsi"/>
                <w:sz w:val="20"/>
                <w:szCs w:val="20"/>
              </w:rPr>
              <w:t>Inicio 1930:</w:t>
            </w:r>
          </w:p>
          <w:p w14:paraId="090368EE" w14:textId="3C242C52" w:rsidR="00602B38" w:rsidRPr="00767FBD" w:rsidRDefault="000F2FA4" w:rsidP="00DF1160">
            <w:pPr>
              <w:pStyle w:val="Default"/>
              <w:rPr>
                <w:rFonts w:asciiTheme="majorHAnsi" w:hAnsiTheme="majorHAnsi" w:cs="Cambria-Italic"/>
                <w:color w:val="auto"/>
                <w:sz w:val="20"/>
                <w:szCs w:val="20"/>
              </w:rPr>
            </w:pPr>
            <w:r w:rsidRPr="00767FBD">
              <w:rPr>
                <w:rFonts w:asciiTheme="majorHAnsi" w:hAnsiTheme="majorHAnsi"/>
                <w:color w:val="auto"/>
                <w:sz w:val="20"/>
                <w:szCs w:val="20"/>
              </w:rPr>
              <w:t xml:space="preserve">Año final </w:t>
            </w:r>
            <w:r w:rsidRPr="00767FBD">
              <w:rPr>
                <w:color w:val="auto"/>
                <w:sz w:val="20"/>
                <w:szCs w:val="20"/>
              </w:rPr>
              <w:t xml:space="preserve">t-1 preferiblemente (si no t-2) </w:t>
            </w:r>
          </w:p>
        </w:tc>
        <w:tc>
          <w:tcPr>
            <w:tcW w:w="3367" w:type="dxa"/>
          </w:tcPr>
          <w:p w14:paraId="13BA0593" w14:textId="47EE6965" w:rsidR="00267D0F" w:rsidRPr="00767FBD" w:rsidRDefault="00267D0F" w:rsidP="00DF1160">
            <w:pPr>
              <w:jc w:val="both"/>
              <w:rPr>
                <w:rFonts w:asciiTheme="majorHAnsi" w:hAnsiTheme="majorHAnsi" w:cs="Cambria-Italic"/>
                <w:sz w:val="20"/>
                <w:szCs w:val="20"/>
              </w:rPr>
            </w:pPr>
            <w:r w:rsidRPr="00767FBD">
              <w:rPr>
                <w:rFonts w:asciiTheme="majorHAnsi" w:hAnsiTheme="majorHAnsi"/>
                <w:sz w:val="20"/>
                <w:szCs w:val="20"/>
              </w:rPr>
              <w:t xml:space="preserve">Biomasa en t=0 (fija): 1x K </w:t>
            </w:r>
          </w:p>
          <w:p w14:paraId="1571479A" w14:textId="4E4203B1" w:rsidR="00602B38" w:rsidRPr="00767FBD" w:rsidRDefault="00267D0F" w:rsidP="00DF1160">
            <w:pPr>
              <w:pStyle w:val="ListParagraph"/>
              <w:ind w:left="0"/>
              <w:jc w:val="both"/>
              <w:rPr>
                <w:rFonts w:asciiTheme="majorHAnsi" w:hAnsiTheme="majorHAnsi" w:cs="Cambria-Italic"/>
                <w:sz w:val="20"/>
                <w:szCs w:val="20"/>
              </w:rPr>
            </w:pPr>
            <w:r w:rsidRPr="00767FBD">
              <w:rPr>
                <w:rFonts w:asciiTheme="majorHAnsi" w:hAnsiTheme="majorHAnsi"/>
                <w:sz w:val="20"/>
                <w:szCs w:val="20"/>
              </w:rPr>
              <w:t>Tratamiento de la varianza para los índices de CPUE: ponderad</w:t>
            </w:r>
            <w:r w:rsidR="009D221B" w:rsidRPr="00767FBD">
              <w:rPr>
                <w:rFonts w:asciiTheme="majorHAnsi" w:hAnsiTheme="majorHAnsi"/>
                <w:sz w:val="20"/>
                <w:szCs w:val="20"/>
              </w:rPr>
              <w:t>a</w:t>
            </w:r>
            <w:r w:rsidRPr="00767FBD">
              <w:rPr>
                <w:rFonts w:asciiTheme="majorHAnsi" w:hAnsiTheme="majorHAnsi"/>
                <w:sz w:val="20"/>
                <w:szCs w:val="20"/>
              </w:rPr>
              <w:t xml:space="preserve"> por el modelo.</w:t>
            </w:r>
          </w:p>
        </w:tc>
      </w:tr>
    </w:tbl>
    <w:p w14:paraId="29E7C10F" w14:textId="52947482" w:rsidR="00691C03" w:rsidRPr="00767FBD" w:rsidRDefault="00691C03" w:rsidP="00691C03">
      <w:pPr>
        <w:rPr>
          <w:rFonts w:asciiTheme="majorHAnsi" w:hAnsiTheme="majorHAnsi" w:cs="Cambria-Italic"/>
          <w:b/>
          <w:sz w:val="20"/>
          <w:szCs w:val="20"/>
        </w:rPr>
      </w:pPr>
    </w:p>
    <w:p w14:paraId="7345C4B2" w14:textId="77777777" w:rsidR="00691C03" w:rsidRPr="00767FBD" w:rsidRDefault="00691C03" w:rsidP="000057BE">
      <w:pPr>
        <w:rPr>
          <w:rFonts w:asciiTheme="majorHAnsi" w:hAnsiTheme="majorHAnsi" w:cs="Cambria-Italic"/>
          <w:sz w:val="20"/>
          <w:szCs w:val="20"/>
        </w:rPr>
        <w:sectPr w:rsidR="00691C03" w:rsidRPr="00767FBD" w:rsidSect="00E41D39">
          <w:footerReference w:type="default" r:id="rId8"/>
          <w:footnotePr>
            <w:numRestart w:val="eachSect"/>
          </w:footnotePr>
          <w:pgSz w:w="11907" w:h="16840" w:code="9"/>
          <w:pgMar w:top="1560" w:right="1418" w:bottom="1418" w:left="1418" w:header="851" w:footer="1134" w:gutter="0"/>
          <w:cols w:space="708"/>
          <w:docGrid w:linePitch="360"/>
        </w:sectPr>
      </w:pPr>
    </w:p>
    <w:p w14:paraId="1113516F" w14:textId="5EA79B8D" w:rsidR="0054057C" w:rsidRPr="00767FBD" w:rsidRDefault="00D46B4B" w:rsidP="0053273C">
      <w:pPr>
        <w:jc w:val="right"/>
        <w:rPr>
          <w:rFonts w:asciiTheme="majorHAnsi" w:hAnsiTheme="majorHAnsi" w:cs="Cambria-Italic"/>
          <w:b/>
          <w:bCs/>
          <w:sz w:val="20"/>
          <w:szCs w:val="20"/>
        </w:rPr>
      </w:pPr>
      <w:r w:rsidRPr="00767FBD">
        <w:rPr>
          <w:rFonts w:asciiTheme="majorHAnsi" w:hAnsiTheme="majorHAnsi"/>
          <w:b/>
          <w:bCs/>
          <w:sz w:val="20"/>
          <w:szCs w:val="20"/>
        </w:rPr>
        <w:lastRenderedPageBreak/>
        <w:t xml:space="preserve">Apéndice </w:t>
      </w:r>
      <w:r w:rsidR="00141744" w:rsidRPr="00767FBD">
        <w:rPr>
          <w:rFonts w:asciiTheme="majorHAnsi" w:hAnsiTheme="majorHAnsi"/>
          <w:b/>
          <w:bCs/>
          <w:sz w:val="20"/>
          <w:szCs w:val="20"/>
        </w:rPr>
        <w:t xml:space="preserve">B </w:t>
      </w:r>
      <w:r w:rsidRPr="00767FBD">
        <w:rPr>
          <w:rFonts w:asciiTheme="majorHAnsi" w:hAnsiTheme="majorHAnsi"/>
          <w:b/>
          <w:bCs/>
          <w:sz w:val="20"/>
          <w:szCs w:val="20"/>
        </w:rPr>
        <w:t xml:space="preserve">del Anexo </w:t>
      </w:r>
      <w:r w:rsidR="00693F67" w:rsidRPr="00767FBD">
        <w:rPr>
          <w:rFonts w:asciiTheme="majorHAnsi" w:hAnsiTheme="majorHAnsi"/>
          <w:b/>
          <w:bCs/>
          <w:sz w:val="20"/>
          <w:szCs w:val="20"/>
        </w:rPr>
        <w:t>1</w:t>
      </w:r>
    </w:p>
    <w:p w14:paraId="1283680A" w14:textId="77777777" w:rsidR="007B5F50" w:rsidRPr="00767FBD" w:rsidRDefault="007B5F50" w:rsidP="007B5F50">
      <w:pPr>
        <w:tabs>
          <w:tab w:val="left" w:pos="7371"/>
        </w:tabs>
        <w:jc w:val="center"/>
        <w:rPr>
          <w:rFonts w:ascii="Cambria" w:hAnsi="Cambria"/>
          <w:b/>
          <w:sz w:val="20"/>
          <w:szCs w:val="20"/>
        </w:rPr>
      </w:pPr>
      <w:r w:rsidRPr="00767FBD">
        <w:rPr>
          <w:rFonts w:ascii="Cambria" w:hAnsi="Cambria"/>
          <w:b/>
          <w:sz w:val="20"/>
          <w:szCs w:val="20"/>
        </w:rPr>
        <w:t>Representación gráfica de la forma de la norma de control de la captura</w:t>
      </w:r>
    </w:p>
    <w:p w14:paraId="563B0EE3" w14:textId="77777777" w:rsidR="007B5F50" w:rsidRPr="00767FBD" w:rsidRDefault="007B5F50" w:rsidP="007B5F50">
      <w:pPr>
        <w:tabs>
          <w:tab w:val="left" w:pos="7371"/>
        </w:tabs>
        <w:ind w:left="720"/>
        <w:jc w:val="center"/>
        <w:rPr>
          <w:rFonts w:ascii="Cambria" w:hAnsi="Cambria"/>
          <w:b/>
          <w:sz w:val="20"/>
          <w:szCs w:val="20"/>
        </w:rPr>
      </w:pPr>
    </w:p>
    <w:p w14:paraId="04941A23" w14:textId="40BB520F" w:rsidR="00DE6C3E" w:rsidRPr="00767FBD" w:rsidRDefault="00DE6C3E" w:rsidP="007B3001">
      <w:pPr>
        <w:jc w:val="center"/>
        <w:rPr>
          <w:rFonts w:asciiTheme="majorHAnsi" w:hAnsiTheme="majorHAnsi" w:cs="Cambria-Italic"/>
          <w:sz w:val="20"/>
          <w:szCs w:val="20"/>
        </w:rPr>
        <w:sectPr w:rsidR="00DE6C3E" w:rsidRPr="00767FBD" w:rsidSect="00B046A3">
          <w:footnotePr>
            <w:numRestart w:val="eachSect"/>
          </w:footnotePr>
          <w:pgSz w:w="11907" w:h="16840" w:code="9"/>
          <w:pgMar w:top="1418" w:right="1418" w:bottom="1418" w:left="1418" w:header="851" w:footer="1134" w:gutter="0"/>
          <w:cols w:space="708"/>
          <w:docGrid w:linePitch="360"/>
        </w:sectPr>
      </w:pPr>
      <w:r w:rsidRPr="00767FBD">
        <w:rPr>
          <w:rFonts w:ascii="Cambria" w:hAnsi="Cambria"/>
          <w:b/>
          <w:noProof/>
          <w:sz w:val="20"/>
          <w:szCs w:val="20"/>
        </w:rPr>
        <w:drawing>
          <wp:inline distT="0" distB="0" distL="0" distR="0" wp14:anchorId="6D47DCC4" wp14:editId="78ED4ACE">
            <wp:extent cx="4572000" cy="4572000"/>
            <wp:effectExtent l="0" t="0" r="0" b="0"/>
            <wp:docPr id="3" name="Imagen 3" descr="C:\Users\harri\AppData\Local\Microsoft\Windows\Temporary Internet Files\Content.Outlook\I5O4DN7R\HCR proposal3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rri\AppData\Local\Microsoft\Windows\Temporary Internet Files\Content.Outlook\I5O4DN7R\HCR proposal3 (00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14:paraId="13557B63" w14:textId="03E609FF" w:rsidR="00141744" w:rsidRPr="00767FBD" w:rsidRDefault="007B5F50" w:rsidP="0053273C">
      <w:pPr>
        <w:jc w:val="right"/>
        <w:rPr>
          <w:rFonts w:asciiTheme="majorHAnsi" w:hAnsiTheme="majorHAnsi" w:cs="Cambria-Italic"/>
          <w:b/>
          <w:bCs/>
          <w:sz w:val="20"/>
          <w:szCs w:val="20"/>
        </w:rPr>
      </w:pPr>
      <w:r w:rsidRPr="00767FBD">
        <w:rPr>
          <w:rFonts w:ascii="Cambria" w:hAnsi="Cambria"/>
          <w:b/>
          <w:bCs/>
          <w:sz w:val="20"/>
          <w:szCs w:val="20"/>
        </w:rPr>
        <w:lastRenderedPageBreak/>
        <w:t xml:space="preserve">Apéndice </w:t>
      </w:r>
      <w:r w:rsidR="00141744" w:rsidRPr="00767FBD">
        <w:rPr>
          <w:rFonts w:asciiTheme="majorHAnsi" w:hAnsiTheme="majorHAnsi"/>
          <w:b/>
          <w:bCs/>
          <w:sz w:val="20"/>
          <w:szCs w:val="20"/>
        </w:rPr>
        <w:t xml:space="preserve">C </w:t>
      </w:r>
      <w:r w:rsidR="009D221B" w:rsidRPr="00767FBD">
        <w:rPr>
          <w:rFonts w:asciiTheme="majorHAnsi" w:hAnsiTheme="majorHAnsi"/>
          <w:b/>
          <w:bCs/>
          <w:sz w:val="20"/>
          <w:szCs w:val="20"/>
        </w:rPr>
        <w:t>d</w:t>
      </w:r>
      <w:r w:rsidRPr="00767FBD">
        <w:rPr>
          <w:rFonts w:asciiTheme="majorHAnsi" w:hAnsiTheme="majorHAnsi"/>
          <w:b/>
          <w:bCs/>
          <w:sz w:val="20"/>
          <w:szCs w:val="20"/>
        </w:rPr>
        <w:t xml:space="preserve">el </w:t>
      </w:r>
      <w:r w:rsidR="0053273C" w:rsidRPr="00767FBD">
        <w:rPr>
          <w:rFonts w:asciiTheme="majorHAnsi" w:hAnsiTheme="majorHAnsi"/>
          <w:b/>
          <w:bCs/>
          <w:sz w:val="20"/>
          <w:szCs w:val="20"/>
        </w:rPr>
        <w:t xml:space="preserve">Anexo </w:t>
      </w:r>
      <w:r w:rsidR="00CD49D1" w:rsidRPr="00767FBD">
        <w:rPr>
          <w:rFonts w:asciiTheme="majorHAnsi" w:hAnsiTheme="majorHAnsi"/>
          <w:b/>
          <w:bCs/>
          <w:sz w:val="20"/>
          <w:szCs w:val="20"/>
        </w:rPr>
        <w:t>1</w:t>
      </w:r>
    </w:p>
    <w:p w14:paraId="5028909E" w14:textId="5818F733" w:rsidR="007B3001" w:rsidRPr="00767FBD" w:rsidRDefault="007B5F50" w:rsidP="007B5F50">
      <w:pPr>
        <w:jc w:val="center"/>
        <w:rPr>
          <w:rFonts w:ascii="Cambria" w:hAnsi="Cambria"/>
          <w:b/>
          <w:sz w:val="20"/>
          <w:szCs w:val="20"/>
        </w:rPr>
      </w:pPr>
      <w:r w:rsidRPr="00767FBD">
        <w:rPr>
          <w:rFonts w:ascii="Cambria" w:hAnsi="Cambria"/>
          <w:b/>
          <w:sz w:val="20"/>
          <w:szCs w:val="20"/>
        </w:rPr>
        <w:t xml:space="preserve">Valores de biomasa relativa y de mortalidad por pesca correspondientes basados en una relación lineal gradual entre </w:t>
      </w:r>
      <w:r w:rsidR="00B1297C" w:rsidRPr="00767FBD">
        <w:rPr>
          <w:rFonts w:ascii="Cambria" w:hAnsi="Cambria"/>
          <w:b/>
          <w:sz w:val="20"/>
          <w:szCs w:val="20"/>
        </w:rPr>
        <w:t>B</w:t>
      </w:r>
      <w:r w:rsidR="00B1297C" w:rsidRPr="00767FBD">
        <w:rPr>
          <w:rFonts w:ascii="Cambria" w:hAnsi="Cambria"/>
          <w:b/>
          <w:sz w:val="20"/>
          <w:szCs w:val="20"/>
          <w:vertAlign w:val="subscript"/>
        </w:rPr>
        <w:t>LIM</w:t>
      </w:r>
      <w:r w:rsidR="00B1297C" w:rsidRPr="00767FBD">
        <w:rPr>
          <w:rFonts w:ascii="Cambria" w:hAnsi="Cambria"/>
          <w:b/>
          <w:sz w:val="20"/>
          <w:szCs w:val="20"/>
        </w:rPr>
        <w:t xml:space="preserve"> </w:t>
      </w:r>
      <w:r w:rsidRPr="00767FBD">
        <w:rPr>
          <w:rFonts w:ascii="Cambria" w:hAnsi="Cambria"/>
          <w:b/>
          <w:sz w:val="20"/>
          <w:szCs w:val="20"/>
        </w:rPr>
        <w:t xml:space="preserve">y </w:t>
      </w:r>
      <w:r w:rsidR="00B1297C" w:rsidRPr="00767FBD">
        <w:rPr>
          <w:rFonts w:ascii="Cambria" w:hAnsi="Cambria"/>
          <w:b/>
          <w:sz w:val="20"/>
          <w:szCs w:val="20"/>
        </w:rPr>
        <w:t>B</w:t>
      </w:r>
      <w:r w:rsidR="00B1297C" w:rsidRPr="00767FBD">
        <w:rPr>
          <w:rFonts w:ascii="Cambria" w:hAnsi="Cambria"/>
          <w:b/>
          <w:sz w:val="20"/>
          <w:szCs w:val="20"/>
          <w:vertAlign w:val="subscript"/>
        </w:rPr>
        <w:t>UMBRAL</w:t>
      </w:r>
      <w:r w:rsidRPr="00767FBD">
        <w:rPr>
          <w:rFonts w:ascii="Cambria" w:hAnsi="Cambria"/>
          <w:b/>
          <w:sz w:val="20"/>
          <w:szCs w:val="20"/>
        </w:rPr>
        <w:t xml:space="preserve">, tal y </w:t>
      </w:r>
      <w:r w:rsidR="009D221B" w:rsidRPr="00767FBD">
        <w:rPr>
          <w:rFonts w:ascii="Cambria" w:hAnsi="Cambria"/>
          <w:b/>
          <w:sz w:val="20"/>
          <w:szCs w:val="20"/>
        </w:rPr>
        <w:t xml:space="preserve">como </w:t>
      </w:r>
      <w:r w:rsidRPr="00767FBD">
        <w:rPr>
          <w:rFonts w:ascii="Cambria" w:hAnsi="Cambria"/>
          <w:b/>
          <w:sz w:val="20"/>
          <w:szCs w:val="20"/>
        </w:rPr>
        <w:t>se producen mediante la HCR</w:t>
      </w:r>
    </w:p>
    <w:p w14:paraId="35E72CD3" w14:textId="77777777" w:rsidR="007B5F50" w:rsidRPr="00767FBD" w:rsidRDefault="007B5F50" w:rsidP="007B5F50">
      <w:pPr>
        <w:ind w:left="720"/>
        <w:jc w:val="center"/>
        <w:rPr>
          <w:rFonts w:ascii="Cambria" w:hAnsi="Cambria"/>
          <w:b/>
          <w:sz w:val="20"/>
          <w:szCs w:val="20"/>
        </w:rPr>
      </w:pPr>
    </w:p>
    <w:tbl>
      <w:tblPr>
        <w:tblStyle w:val="TableGrid"/>
        <w:tblW w:w="0" w:type="auto"/>
        <w:tblInd w:w="1809" w:type="dxa"/>
        <w:tblLook w:val="04A0" w:firstRow="1" w:lastRow="0" w:firstColumn="1" w:lastColumn="0" w:noHBand="0" w:noVBand="1"/>
      </w:tblPr>
      <w:tblGrid>
        <w:gridCol w:w="2835"/>
        <w:gridCol w:w="2910"/>
      </w:tblGrid>
      <w:tr w:rsidR="0035444C" w:rsidRPr="00767FBD" w14:paraId="6677A6F0" w14:textId="77777777" w:rsidTr="00C93B01">
        <w:trPr>
          <w:trHeight w:val="287"/>
        </w:trPr>
        <w:tc>
          <w:tcPr>
            <w:tcW w:w="2835" w:type="dxa"/>
            <w:tcBorders>
              <w:top w:val="single" w:sz="4" w:space="0" w:color="auto"/>
              <w:left w:val="single" w:sz="4" w:space="0" w:color="auto"/>
              <w:bottom w:val="single" w:sz="4" w:space="0" w:color="auto"/>
              <w:right w:val="single" w:sz="4" w:space="0" w:color="auto"/>
            </w:tcBorders>
            <w:vAlign w:val="bottom"/>
          </w:tcPr>
          <w:p w14:paraId="00AF6762" w14:textId="4A0AAA11" w:rsidR="007B5F50" w:rsidRPr="00767FBD" w:rsidRDefault="00B1297C" w:rsidP="00C93B01">
            <w:pPr>
              <w:pStyle w:val="Title"/>
              <w:spacing w:after="0"/>
              <w:ind w:left="34"/>
              <w:jc w:val="center"/>
              <w:rPr>
                <w:rStyle w:val="BookTitle"/>
                <w:rFonts w:ascii="Cambria" w:hAnsi="Cambria"/>
                <w:i/>
                <w:color w:val="auto"/>
                <w:sz w:val="20"/>
                <w:szCs w:val="20"/>
              </w:rPr>
            </w:pPr>
            <w:r w:rsidRPr="00767FBD">
              <w:rPr>
                <w:rFonts w:ascii="Cambria" w:hAnsi="Cambria"/>
                <w:color w:val="auto"/>
                <w:sz w:val="20"/>
                <w:szCs w:val="20"/>
              </w:rPr>
              <w:t>B</w:t>
            </w:r>
            <w:r w:rsidRPr="00767FBD">
              <w:rPr>
                <w:rFonts w:ascii="Cambria" w:hAnsi="Cambria"/>
                <w:color w:val="auto"/>
                <w:sz w:val="20"/>
                <w:szCs w:val="20"/>
                <w:vertAlign w:val="subscript"/>
              </w:rPr>
              <w:t>ACTUAL</w:t>
            </w:r>
            <w:r w:rsidR="007B5F50" w:rsidRPr="00767FBD">
              <w:rPr>
                <w:rFonts w:ascii="Cambria" w:hAnsi="Cambria"/>
                <w:color w:val="auto"/>
                <w:sz w:val="20"/>
                <w:szCs w:val="20"/>
              </w:rPr>
              <w:t>/B</w:t>
            </w:r>
            <w:r w:rsidR="007B5F50" w:rsidRPr="00767FBD">
              <w:rPr>
                <w:rFonts w:ascii="Cambria" w:hAnsi="Cambria"/>
                <w:color w:val="auto"/>
                <w:sz w:val="20"/>
                <w:szCs w:val="20"/>
                <w:vertAlign w:val="subscript"/>
              </w:rPr>
              <w:t>RMS</w:t>
            </w:r>
          </w:p>
        </w:tc>
        <w:tc>
          <w:tcPr>
            <w:tcW w:w="2910" w:type="dxa"/>
            <w:tcBorders>
              <w:top w:val="single" w:sz="4" w:space="0" w:color="auto"/>
              <w:left w:val="single" w:sz="4" w:space="0" w:color="auto"/>
              <w:bottom w:val="single" w:sz="4" w:space="0" w:color="auto"/>
              <w:right w:val="single" w:sz="4" w:space="0" w:color="auto"/>
            </w:tcBorders>
            <w:vAlign w:val="bottom"/>
          </w:tcPr>
          <w:p w14:paraId="641DCE13" w14:textId="1450D711" w:rsidR="007B5F50" w:rsidRPr="00767FBD" w:rsidRDefault="009D221B" w:rsidP="00C93B01">
            <w:pPr>
              <w:pStyle w:val="Title"/>
              <w:spacing w:after="0"/>
              <w:jc w:val="center"/>
              <w:rPr>
                <w:rStyle w:val="BookTitle"/>
                <w:rFonts w:ascii="Cambria" w:hAnsi="Cambria"/>
                <w:i/>
                <w:color w:val="auto"/>
                <w:sz w:val="20"/>
                <w:szCs w:val="20"/>
              </w:rPr>
            </w:pPr>
            <w:r w:rsidRPr="00767FBD">
              <w:rPr>
                <w:rFonts w:ascii="Cambria" w:hAnsi="Cambria"/>
                <w:color w:val="auto"/>
                <w:sz w:val="20"/>
                <w:szCs w:val="20"/>
              </w:rPr>
              <w:t>F</w:t>
            </w:r>
            <w:r w:rsidRPr="00767FBD">
              <w:rPr>
                <w:rFonts w:ascii="Cambria" w:hAnsi="Cambria"/>
                <w:color w:val="auto"/>
                <w:sz w:val="20"/>
                <w:szCs w:val="20"/>
                <w:vertAlign w:val="subscript"/>
              </w:rPr>
              <w:t>PROX</w:t>
            </w:r>
            <w:r w:rsidR="007B5F50" w:rsidRPr="00767FBD">
              <w:rPr>
                <w:rFonts w:ascii="Cambria" w:hAnsi="Cambria"/>
                <w:color w:val="auto"/>
                <w:sz w:val="20"/>
                <w:szCs w:val="20"/>
                <w:vertAlign w:val="subscript"/>
              </w:rPr>
              <w:t>.</w:t>
            </w:r>
          </w:p>
        </w:tc>
      </w:tr>
      <w:tr w:rsidR="0035444C" w:rsidRPr="00767FBD" w14:paraId="6F28E24B" w14:textId="77777777" w:rsidTr="00C93B01">
        <w:tc>
          <w:tcPr>
            <w:tcW w:w="2835" w:type="dxa"/>
            <w:tcBorders>
              <w:top w:val="single" w:sz="4" w:space="0" w:color="auto"/>
              <w:left w:val="single" w:sz="4" w:space="0" w:color="auto"/>
              <w:bottom w:val="single" w:sz="4" w:space="0" w:color="auto"/>
              <w:right w:val="single" w:sz="4" w:space="0" w:color="auto"/>
            </w:tcBorders>
            <w:vAlign w:val="bottom"/>
          </w:tcPr>
          <w:p w14:paraId="174C2A0B" w14:textId="77777777" w:rsidR="007B5F50" w:rsidRPr="00767FBD" w:rsidRDefault="007B5F50" w:rsidP="00C93B01">
            <w:pPr>
              <w:ind w:left="34"/>
              <w:jc w:val="center"/>
              <w:rPr>
                <w:rFonts w:ascii="Cambria" w:hAnsi="Cambria"/>
                <w:sz w:val="20"/>
                <w:szCs w:val="20"/>
              </w:rPr>
            </w:pPr>
            <w:r w:rsidRPr="00767FBD">
              <w:rPr>
                <w:rFonts w:ascii="Cambria" w:hAnsi="Cambria"/>
                <w:sz w:val="20"/>
                <w:szCs w:val="20"/>
              </w:rPr>
              <w:t xml:space="preserve">1 o más </w:t>
            </w:r>
          </w:p>
        </w:tc>
        <w:tc>
          <w:tcPr>
            <w:tcW w:w="2910" w:type="dxa"/>
            <w:tcBorders>
              <w:top w:val="single" w:sz="4" w:space="0" w:color="auto"/>
              <w:left w:val="single" w:sz="4" w:space="0" w:color="auto"/>
              <w:bottom w:val="single" w:sz="4" w:space="0" w:color="auto"/>
              <w:right w:val="single" w:sz="4" w:space="0" w:color="auto"/>
            </w:tcBorders>
            <w:vAlign w:val="bottom"/>
          </w:tcPr>
          <w:p w14:paraId="5FF5AE34" w14:textId="36C17225" w:rsidR="007B5F50" w:rsidRPr="00767FBD" w:rsidRDefault="007B5F50" w:rsidP="00C93B01">
            <w:pPr>
              <w:ind w:left="34"/>
              <w:jc w:val="center"/>
              <w:rPr>
                <w:rFonts w:ascii="Cambria" w:hAnsi="Cambria"/>
                <w:sz w:val="20"/>
                <w:szCs w:val="20"/>
              </w:rPr>
            </w:pPr>
            <w:r w:rsidRPr="00767FBD">
              <w:rPr>
                <w:rFonts w:ascii="Cambria" w:hAnsi="Cambria"/>
                <w:sz w:val="20"/>
                <w:szCs w:val="20"/>
              </w:rPr>
              <w:t>0,80</w:t>
            </w:r>
            <w:r w:rsidRPr="00767FBD">
              <w:rPr>
                <w:rFonts w:ascii="Cambria" w:hAnsi="Cambria"/>
                <w:sz w:val="20"/>
                <w:szCs w:val="20"/>
                <w:lang w:val="en-GB"/>
              </w:rPr>
              <w:t>* F</w:t>
            </w:r>
            <w:r w:rsidRPr="00767FBD">
              <w:rPr>
                <w:rFonts w:ascii="Cambria" w:hAnsi="Cambria"/>
                <w:sz w:val="20"/>
                <w:szCs w:val="20"/>
                <w:vertAlign w:val="subscript"/>
                <w:lang w:val="en-GB"/>
              </w:rPr>
              <w:t>RMS</w:t>
            </w:r>
          </w:p>
        </w:tc>
      </w:tr>
      <w:tr w:rsidR="0035444C" w:rsidRPr="00767FBD" w14:paraId="461B1D9A" w14:textId="77777777" w:rsidTr="00C93B01">
        <w:tc>
          <w:tcPr>
            <w:tcW w:w="2835" w:type="dxa"/>
            <w:tcBorders>
              <w:top w:val="single" w:sz="4" w:space="0" w:color="auto"/>
              <w:left w:val="single" w:sz="4" w:space="0" w:color="auto"/>
              <w:bottom w:val="single" w:sz="4" w:space="0" w:color="auto"/>
              <w:right w:val="single" w:sz="4" w:space="0" w:color="auto"/>
            </w:tcBorders>
            <w:vAlign w:val="bottom"/>
          </w:tcPr>
          <w:p w14:paraId="0E7E5C8C" w14:textId="77777777" w:rsidR="007B5F50" w:rsidRPr="00767FBD" w:rsidRDefault="007B5F50" w:rsidP="00C93B01">
            <w:pPr>
              <w:ind w:left="34"/>
              <w:jc w:val="center"/>
              <w:rPr>
                <w:rFonts w:ascii="Cambria" w:hAnsi="Cambria"/>
                <w:sz w:val="20"/>
                <w:szCs w:val="20"/>
              </w:rPr>
            </w:pPr>
            <w:r w:rsidRPr="00767FBD">
              <w:rPr>
                <w:rFonts w:ascii="Cambria" w:hAnsi="Cambria"/>
                <w:sz w:val="20"/>
                <w:szCs w:val="20"/>
              </w:rPr>
              <w:t>0,98</w:t>
            </w:r>
          </w:p>
        </w:tc>
        <w:tc>
          <w:tcPr>
            <w:tcW w:w="2910" w:type="dxa"/>
            <w:tcBorders>
              <w:top w:val="single" w:sz="4" w:space="0" w:color="auto"/>
              <w:left w:val="single" w:sz="4" w:space="0" w:color="auto"/>
              <w:bottom w:val="single" w:sz="4" w:space="0" w:color="auto"/>
              <w:right w:val="single" w:sz="4" w:space="0" w:color="auto"/>
            </w:tcBorders>
            <w:vAlign w:val="bottom"/>
          </w:tcPr>
          <w:p w14:paraId="20B11FBB" w14:textId="317F071C" w:rsidR="007B5F50" w:rsidRPr="00767FBD" w:rsidRDefault="007B5F50" w:rsidP="00C93B01">
            <w:pPr>
              <w:ind w:left="34"/>
              <w:jc w:val="center"/>
              <w:rPr>
                <w:rFonts w:ascii="Cambria" w:hAnsi="Cambria"/>
                <w:sz w:val="20"/>
                <w:szCs w:val="20"/>
              </w:rPr>
            </w:pPr>
            <w:r w:rsidRPr="00767FBD">
              <w:rPr>
                <w:rFonts w:ascii="Cambria" w:hAnsi="Cambria"/>
                <w:sz w:val="20"/>
                <w:szCs w:val="20"/>
              </w:rPr>
              <w:t>0,78</w:t>
            </w:r>
            <w:r w:rsidR="0053273C" w:rsidRPr="00767FBD">
              <w:rPr>
                <w:rFonts w:ascii="Cambria" w:hAnsi="Cambria"/>
                <w:sz w:val="20"/>
                <w:szCs w:val="20"/>
                <w:lang w:val="en-GB"/>
              </w:rPr>
              <w:t>* F</w:t>
            </w:r>
            <w:r w:rsidR="0053273C" w:rsidRPr="00767FBD">
              <w:rPr>
                <w:rFonts w:ascii="Cambria" w:hAnsi="Cambria"/>
                <w:sz w:val="20"/>
                <w:szCs w:val="20"/>
                <w:vertAlign w:val="subscript"/>
                <w:lang w:val="en-GB"/>
              </w:rPr>
              <w:t>RMS</w:t>
            </w:r>
          </w:p>
        </w:tc>
      </w:tr>
      <w:tr w:rsidR="0035444C" w:rsidRPr="00767FBD" w14:paraId="757FFB79" w14:textId="77777777" w:rsidTr="00C93B01">
        <w:tc>
          <w:tcPr>
            <w:tcW w:w="2835" w:type="dxa"/>
            <w:tcBorders>
              <w:top w:val="single" w:sz="4" w:space="0" w:color="auto"/>
              <w:left w:val="single" w:sz="4" w:space="0" w:color="auto"/>
              <w:bottom w:val="single" w:sz="4" w:space="0" w:color="auto"/>
              <w:right w:val="single" w:sz="4" w:space="0" w:color="auto"/>
            </w:tcBorders>
            <w:vAlign w:val="bottom"/>
          </w:tcPr>
          <w:p w14:paraId="194B8087" w14:textId="77777777" w:rsidR="007B5F50" w:rsidRPr="00767FBD" w:rsidRDefault="007B5F50" w:rsidP="00C93B01">
            <w:pPr>
              <w:ind w:left="34"/>
              <w:jc w:val="center"/>
              <w:rPr>
                <w:rFonts w:ascii="Cambria" w:hAnsi="Cambria"/>
                <w:sz w:val="20"/>
                <w:szCs w:val="20"/>
              </w:rPr>
            </w:pPr>
            <w:r w:rsidRPr="00767FBD">
              <w:rPr>
                <w:rFonts w:ascii="Cambria" w:hAnsi="Cambria"/>
                <w:sz w:val="20"/>
                <w:szCs w:val="20"/>
              </w:rPr>
              <w:t>0,96</w:t>
            </w:r>
          </w:p>
        </w:tc>
        <w:tc>
          <w:tcPr>
            <w:tcW w:w="2910" w:type="dxa"/>
            <w:tcBorders>
              <w:top w:val="single" w:sz="4" w:space="0" w:color="auto"/>
              <w:left w:val="single" w:sz="4" w:space="0" w:color="auto"/>
              <w:bottom w:val="single" w:sz="4" w:space="0" w:color="auto"/>
              <w:right w:val="single" w:sz="4" w:space="0" w:color="auto"/>
            </w:tcBorders>
            <w:vAlign w:val="bottom"/>
          </w:tcPr>
          <w:p w14:paraId="008E7DE2" w14:textId="52170BFE" w:rsidR="007B5F50" w:rsidRPr="00767FBD" w:rsidRDefault="007B5F50" w:rsidP="00C93B01">
            <w:pPr>
              <w:ind w:left="34"/>
              <w:jc w:val="center"/>
              <w:rPr>
                <w:rFonts w:ascii="Cambria" w:hAnsi="Cambria"/>
                <w:sz w:val="20"/>
                <w:szCs w:val="20"/>
              </w:rPr>
            </w:pPr>
            <w:r w:rsidRPr="00767FBD">
              <w:rPr>
                <w:rFonts w:ascii="Cambria" w:hAnsi="Cambria"/>
                <w:sz w:val="20"/>
                <w:szCs w:val="20"/>
              </w:rPr>
              <w:t>0,75</w:t>
            </w:r>
            <w:r w:rsidR="0053273C" w:rsidRPr="00767FBD">
              <w:rPr>
                <w:rFonts w:ascii="Cambria" w:hAnsi="Cambria"/>
                <w:sz w:val="20"/>
                <w:szCs w:val="20"/>
                <w:lang w:val="en-GB"/>
              </w:rPr>
              <w:t>* F</w:t>
            </w:r>
            <w:r w:rsidR="0053273C" w:rsidRPr="00767FBD">
              <w:rPr>
                <w:rFonts w:ascii="Cambria" w:hAnsi="Cambria"/>
                <w:sz w:val="20"/>
                <w:szCs w:val="20"/>
                <w:vertAlign w:val="subscript"/>
                <w:lang w:val="en-GB"/>
              </w:rPr>
              <w:t>RMS</w:t>
            </w:r>
          </w:p>
        </w:tc>
      </w:tr>
      <w:tr w:rsidR="0035444C" w:rsidRPr="00767FBD" w14:paraId="3EBB2F02" w14:textId="77777777" w:rsidTr="00C93B01">
        <w:tc>
          <w:tcPr>
            <w:tcW w:w="2835" w:type="dxa"/>
            <w:tcBorders>
              <w:top w:val="single" w:sz="4" w:space="0" w:color="auto"/>
              <w:left w:val="single" w:sz="4" w:space="0" w:color="auto"/>
              <w:bottom w:val="single" w:sz="4" w:space="0" w:color="auto"/>
              <w:right w:val="single" w:sz="4" w:space="0" w:color="auto"/>
            </w:tcBorders>
            <w:vAlign w:val="bottom"/>
          </w:tcPr>
          <w:p w14:paraId="49DF4FE3" w14:textId="77777777" w:rsidR="007B5F50" w:rsidRPr="00767FBD" w:rsidRDefault="007B5F50" w:rsidP="00C93B01">
            <w:pPr>
              <w:ind w:left="34"/>
              <w:jc w:val="center"/>
              <w:rPr>
                <w:rFonts w:ascii="Cambria" w:hAnsi="Cambria"/>
                <w:sz w:val="20"/>
                <w:szCs w:val="20"/>
              </w:rPr>
            </w:pPr>
            <w:r w:rsidRPr="00767FBD">
              <w:rPr>
                <w:rFonts w:ascii="Cambria" w:hAnsi="Cambria"/>
                <w:sz w:val="20"/>
                <w:szCs w:val="20"/>
              </w:rPr>
              <w:t>0,94</w:t>
            </w:r>
          </w:p>
        </w:tc>
        <w:tc>
          <w:tcPr>
            <w:tcW w:w="2910" w:type="dxa"/>
            <w:tcBorders>
              <w:top w:val="single" w:sz="4" w:space="0" w:color="auto"/>
              <w:left w:val="single" w:sz="4" w:space="0" w:color="auto"/>
              <w:bottom w:val="single" w:sz="4" w:space="0" w:color="auto"/>
              <w:right w:val="single" w:sz="4" w:space="0" w:color="auto"/>
            </w:tcBorders>
            <w:vAlign w:val="bottom"/>
          </w:tcPr>
          <w:p w14:paraId="1708914F" w14:textId="78044673" w:rsidR="007B5F50" w:rsidRPr="00767FBD" w:rsidRDefault="007B5F50" w:rsidP="00C93B01">
            <w:pPr>
              <w:ind w:left="34"/>
              <w:jc w:val="center"/>
              <w:rPr>
                <w:rFonts w:ascii="Cambria" w:hAnsi="Cambria"/>
                <w:sz w:val="20"/>
                <w:szCs w:val="20"/>
              </w:rPr>
            </w:pPr>
            <w:r w:rsidRPr="00767FBD">
              <w:rPr>
                <w:rFonts w:ascii="Cambria" w:hAnsi="Cambria"/>
                <w:sz w:val="20"/>
                <w:szCs w:val="20"/>
              </w:rPr>
              <w:t>0,73</w:t>
            </w:r>
            <w:r w:rsidR="0053273C" w:rsidRPr="00767FBD">
              <w:rPr>
                <w:rFonts w:ascii="Cambria" w:hAnsi="Cambria"/>
                <w:sz w:val="20"/>
                <w:szCs w:val="20"/>
                <w:lang w:val="en-GB"/>
              </w:rPr>
              <w:t>* F</w:t>
            </w:r>
            <w:r w:rsidR="0053273C" w:rsidRPr="00767FBD">
              <w:rPr>
                <w:rFonts w:ascii="Cambria" w:hAnsi="Cambria"/>
                <w:sz w:val="20"/>
                <w:szCs w:val="20"/>
                <w:vertAlign w:val="subscript"/>
                <w:lang w:val="en-GB"/>
              </w:rPr>
              <w:t>RMS</w:t>
            </w:r>
          </w:p>
        </w:tc>
      </w:tr>
      <w:tr w:rsidR="0035444C" w:rsidRPr="00767FBD" w14:paraId="01895162" w14:textId="77777777" w:rsidTr="00C93B01">
        <w:tc>
          <w:tcPr>
            <w:tcW w:w="2835" w:type="dxa"/>
            <w:tcBorders>
              <w:top w:val="single" w:sz="4" w:space="0" w:color="auto"/>
              <w:left w:val="single" w:sz="4" w:space="0" w:color="auto"/>
              <w:bottom w:val="single" w:sz="4" w:space="0" w:color="auto"/>
              <w:right w:val="single" w:sz="4" w:space="0" w:color="auto"/>
            </w:tcBorders>
            <w:vAlign w:val="bottom"/>
          </w:tcPr>
          <w:p w14:paraId="2E07391E" w14:textId="77777777" w:rsidR="007B5F50" w:rsidRPr="00767FBD" w:rsidRDefault="007B5F50" w:rsidP="00C93B01">
            <w:pPr>
              <w:ind w:left="34"/>
              <w:jc w:val="center"/>
              <w:rPr>
                <w:rFonts w:ascii="Cambria" w:hAnsi="Cambria"/>
                <w:sz w:val="20"/>
                <w:szCs w:val="20"/>
              </w:rPr>
            </w:pPr>
            <w:r w:rsidRPr="00767FBD">
              <w:rPr>
                <w:rFonts w:ascii="Cambria" w:hAnsi="Cambria"/>
                <w:sz w:val="20"/>
                <w:szCs w:val="20"/>
              </w:rPr>
              <w:t>0,92</w:t>
            </w:r>
          </w:p>
        </w:tc>
        <w:tc>
          <w:tcPr>
            <w:tcW w:w="2910" w:type="dxa"/>
            <w:tcBorders>
              <w:top w:val="single" w:sz="4" w:space="0" w:color="auto"/>
              <w:left w:val="single" w:sz="4" w:space="0" w:color="auto"/>
              <w:bottom w:val="single" w:sz="4" w:space="0" w:color="auto"/>
              <w:right w:val="single" w:sz="4" w:space="0" w:color="auto"/>
            </w:tcBorders>
            <w:vAlign w:val="bottom"/>
          </w:tcPr>
          <w:p w14:paraId="6627021F" w14:textId="33749250" w:rsidR="007B5F50" w:rsidRPr="00767FBD" w:rsidRDefault="007B5F50" w:rsidP="00C93B01">
            <w:pPr>
              <w:ind w:left="34"/>
              <w:jc w:val="center"/>
              <w:rPr>
                <w:rFonts w:ascii="Cambria" w:hAnsi="Cambria"/>
                <w:sz w:val="20"/>
                <w:szCs w:val="20"/>
              </w:rPr>
            </w:pPr>
            <w:r w:rsidRPr="00767FBD">
              <w:rPr>
                <w:rFonts w:ascii="Cambria" w:hAnsi="Cambria"/>
                <w:sz w:val="20"/>
                <w:szCs w:val="20"/>
              </w:rPr>
              <w:t>0,71</w:t>
            </w:r>
            <w:r w:rsidR="0053273C" w:rsidRPr="00767FBD">
              <w:rPr>
                <w:rFonts w:ascii="Cambria" w:hAnsi="Cambria"/>
                <w:sz w:val="20"/>
                <w:szCs w:val="20"/>
                <w:lang w:val="en-GB"/>
              </w:rPr>
              <w:t>* F</w:t>
            </w:r>
            <w:r w:rsidR="0053273C" w:rsidRPr="00767FBD">
              <w:rPr>
                <w:rFonts w:ascii="Cambria" w:hAnsi="Cambria"/>
                <w:sz w:val="20"/>
                <w:szCs w:val="20"/>
                <w:vertAlign w:val="subscript"/>
                <w:lang w:val="en-GB"/>
              </w:rPr>
              <w:t>RMS</w:t>
            </w:r>
          </w:p>
        </w:tc>
      </w:tr>
      <w:tr w:rsidR="0035444C" w:rsidRPr="00767FBD" w14:paraId="077B364F" w14:textId="77777777" w:rsidTr="00C93B01">
        <w:tc>
          <w:tcPr>
            <w:tcW w:w="2835" w:type="dxa"/>
            <w:tcBorders>
              <w:top w:val="single" w:sz="4" w:space="0" w:color="auto"/>
              <w:left w:val="single" w:sz="4" w:space="0" w:color="auto"/>
              <w:bottom w:val="single" w:sz="4" w:space="0" w:color="auto"/>
              <w:right w:val="single" w:sz="4" w:space="0" w:color="auto"/>
            </w:tcBorders>
            <w:vAlign w:val="bottom"/>
          </w:tcPr>
          <w:p w14:paraId="0C03C238" w14:textId="77777777" w:rsidR="007B5F50" w:rsidRPr="00767FBD" w:rsidRDefault="007B5F50" w:rsidP="00C93B01">
            <w:pPr>
              <w:tabs>
                <w:tab w:val="left" w:pos="284"/>
              </w:tabs>
              <w:ind w:left="34"/>
              <w:jc w:val="center"/>
              <w:rPr>
                <w:rFonts w:ascii="Cambria" w:hAnsi="Cambria"/>
                <w:b/>
                <w:sz w:val="20"/>
                <w:szCs w:val="20"/>
              </w:rPr>
            </w:pPr>
            <w:r w:rsidRPr="00767FBD">
              <w:rPr>
                <w:rFonts w:ascii="Cambria" w:hAnsi="Cambria"/>
                <w:sz w:val="20"/>
                <w:szCs w:val="20"/>
              </w:rPr>
              <w:t>0,90</w:t>
            </w:r>
          </w:p>
        </w:tc>
        <w:tc>
          <w:tcPr>
            <w:tcW w:w="2910" w:type="dxa"/>
            <w:tcBorders>
              <w:top w:val="single" w:sz="4" w:space="0" w:color="auto"/>
              <w:left w:val="single" w:sz="4" w:space="0" w:color="auto"/>
              <w:bottom w:val="single" w:sz="4" w:space="0" w:color="auto"/>
              <w:right w:val="single" w:sz="4" w:space="0" w:color="auto"/>
            </w:tcBorders>
            <w:vAlign w:val="bottom"/>
          </w:tcPr>
          <w:p w14:paraId="073E98DE" w14:textId="4F1236E5" w:rsidR="007B5F50" w:rsidRPr="00767FBD" w:rsidRDefault="007B5F50" w:rsidP="00C93B01">
            <w:pPr>
              <w:tabs>
                <w:tab w:val="left" w:pos="284"/>
              </w:tabs>
              <w:ind w:left="34"/>
              <w:jc w:val="center"/>
              <w:rPr>
                <w:rFonts w:ascii="Cambria" w:hAnsi="Cambria"/>
                <w:b/>
                <w:sz w:val="20"/>
                <w:szCs w:val="20"/>
              </w:rPr>
            </w:pPr>
            <w:r w:rsidRPr="00767FBD">
              <w:rPr>
                <w:rFonts w:ascii="Cambria" w:hAnsi="Cambria"/>
                <w:sz w:val="20"/>
                <w:szCs w:val="20"/>
              </w:rPr>
              <w:t>0,68</w:t>
            </w:r>
            <w:r w:rsidR="0053273C" w:rsidRPr="00767FBD">
              <w:rPr>
                <w:rFonts w:ascii="Cambria" w:hAnsi="Cambria"/>
                <w:sz w:val="20"/>
                <w:szCs w:val="20"/>
                <w:lang w:val="en-GB"/>
              </w:rPr>
              <w:t>* F</w:t>
            </w:r>
            <w:r w:rsidR="0053273C" w:rsidRPr="00767FBD">
              <w:rPr>
                <w:rFonts w:ascii="Cambria" w:hAnsi="Cambria"/>
                <w:sz w:val="20"/>
                <w:szCs w:val="20"/>
                <w:vertAlign w:val="subscript"/>
                <w:lang w:val="en-GB"/>
              </w:rPr>
              <w:t>RMS</w:t>
            </w:r>
          </w:p>
        </w:tc>
      </w:tr>
      <w:tr w:rsidR="0035444C" w:rsidRPr="00767FBD" w14:paraId="33A604F4" w14:textId="77777777" w:rsidTr="00C93B01">
        <w:tc>
          <w:tcPr>
            <w:tcW w:w="2835" w:type="dxa"/>
            <w:tcBorders>
              <w:top w:val="single" w:sz="4" w:space="0" w:color="auto"/>
              <w:left w:val="single" w:sz="4" w:space="0" w:color="auto"/>
              <w:bottom w:val="single" w:sz="4" w:space="0" w:color="auto"/>
              <w:right w:val="single" w:sz="4" w:space="0" w:color="auto"/>
            </w:tcBorders>
            <w:vAlign w:val="bottom"/>
          </w:tcPr>
          <w:p w14:paraId="1CDF32A1" w14:textId="77777777" w:rsidR="007B5F50" w:rsidRPr="00767FBD" w:rsidRDefault="007B5F50" w:rsidP="00C93B01">
            <w:pPr>
              <w:ind w:left="34"/>
              <w:jc w:val="center"/>
              <w:rPr>
                <w:rFonts w:ascii="Cambria" w:hAnsi="Cambria"/>
                <w:sz w:val="20"/>
                <w:szCs w:val="20"/>
              </w:rPr>
            </w:pPr>
            <w:r w:rsidRPr="00767FBD">
              <w:rPr>
                <w:rFonts w:ascii="Cambria" w:hAnsi="Cambria"/>
                <w:sz w:val="20"/>
                <w:szCs w:val="20"/>
              </w:rPr>
              <w:t>0,88</w:t>
            </w:r>
          </w:p>
        </w:tc>
        <w:tc>
          <w:tcPr>
            <w:tcW w:w="2910" w:type="dxa"/>
            <w:tcBorders>
              <w:top w:val="single" w:sz="4" w:space="0" w:color="auto"/>
              <w:left w:val="single" w:sz="4" w:space="0" w:color="auto"/>
              <w:bottom w:val="single" w:sz="4" w:space="0" w:color="auto"/>
              <w:right w:val="single" w:sz="4" w:space="0" w:color="auto"/>
            </w:tcBorders>
            <w:vAlign w:val="bottom"/>
          </w:tcPr>
          <w:p w14:paraId="39A615FB" w14:textId="66ECDBD0" w:rsidR="007B5F50" w:rsidRPr="00767FBD" w:rsidRDefault="007B5F50" w:rsidP="00C93B01">
            <w:pPr>
              <w:ind w:left="34"/>
              <w:jc w:val="center"/>
              <w:rPr>
                <w:rFonts w:ascii="Cambria" w:hAnsi="Cambria"/>
                <w:sz w:val="20"/>
                <w:szCs w:val="20"/>
              </w:rPr>
            </w:pPr>
            <w:r w:rsidRPr="00767FBD">
              <w:rPr>
                <w:rFonts w:ascii="Cambria" w:hAnsi="Cambria"/>
                <w:sz w:val="20"/>
                <w:szCs w:val="20"/>
              </w:rPr>
              <w:t>0,66</w:t>
            </w:r>
            <w:r w:rsidR="0053273C" w:rsidRPr="00767FBD">
              <w:rPr>
                <w:rFonts w:ascii="Cambria" w:hAnsi="Cambria"/>
                <w:sz w:val="20"/>
                <w:szCs w:val="20"/>
                <w:lang w:val="en-GB"/>
              </w:rPr>
              <w:t>* F</w:t>
            </w:r>
            <w:r w:rsidR="0053273C" w:rsidRPr="00767FBD">
              <w:rPr>
                <w:rFonts w:ascii="Cambria" w:hAnsi="Cambria"/>
                <w:sz w:val="20"/>
                <w:szCs w:val="20"/>
                <w:vertAlign w:val="subscript"/>
                <w:lang w:val="en-GB"/>
              </w:rPr>
              <w:t>RMS</w:t>
            </w:r>
          </w:p>
        </w:tc>
      </w:tr>
      <w:tr w:rsidR="0035444C" w:rsidRPr="00767FBD" w14:paraId="5FE7DD0F" w14:textId="77777777" w:rsidTr="00C93B01">
        <w:tc>
          <w:tcPr>
            <w:tcW w:w="2835" w:type="dxa"/>
            <w:tcBorders>
              <w:top w:val="single" w:sz="4" w:space="0" w:color="auto"/>
              <w:left w:val="single" w:sz="4" w:space="0" w:color="auto"/>
              <w:bottom w:val="single" w:sz="4" w:space="0" w:color="auto"/>
              <w:right w:val="single" w:sz="4" w:space="0" w:color="auto"/>
            </w:tcBorders>
            <w:vAlign w:val="bottom"/>
          </w:tcPr>
          <w:p w14:paraId="0318E0CE" w14:textId="77777777" w:rsidR="007B5F50" w:rsidRPr="00767FBD" w:rsidRDefault="007B5F50" w:rsidP="00C93B01">
            <w:pPr>
              <w:ind w:left="34"/>
              <w:jc w:val="center"/>
              <w:rPr>
                <w:rFonts w:ascii="Cambria" w:eastAsiaTheme="minorEastAsia" w:hAnsi="Cambria"/>
                <w:sz w:val="20"/>
                <w:szCs w:val="20"/>
              </w:rPr>
            </w:pPr>
            <w:r w:rsidRPr="00767FBD">
              <w:rPr>
                <w:rFonts w:ascii="Cambria" w:hAnsi="Cambria"/>
                <w:sz w:val="20"/>
                <w:szCs w:val="20"/>
              </w:rPr>
              <w:t>0,86</w:t>
            </w:r>
          </w:p>
        </w:tc>
        <w:tc>
          <w:tcPr>
            <w:tcW w:w="2910" w:type="dxa"/>
            <w:tcBorders>
              <w:top w:val="single" w:sz="4" w:space="0" w:color="auto"/>
              <w:left w:val="single" w:sz="4" w:space="0" w:color="auto"/>
              <w:bottom w:val="single" w:sz="4" w:space="0" w:color="auto"/>
              <w:right w:val="single" w:sz="4" w:space="0" w:color="auto"/>
            </w:tcBorders>
            <w:vAlign w:val="bottom"/>
          </w:tcPr>
          <w:p w14:paraId="6C750258" w14:textId="5CDBA1D5" w:rsidR="007B5F50" w:rsidRPr="00767FBD" w:rsidRDefault="007B5F50" w:rsidP="00C93B01">
            <w:pPr>
              <w:ind w:left="34"/>
              <w:jc w:val="center"/>
              <w:rPr>
                <w:rFonts w:ascii="Cambria" w:eastAsiaTheme="minorEastAsia" w:hAnsi="Cambria"/>
                <w:sz w:val="20"/>
                <w:szCs w:val="20"/>
              </w:rPr>
            </w:pPr>
            <w:r w:rsidRPr="00767FBD">
              <w:rPr>
                <w:rFonts w:ascii="Cambria" w:hAnsi="Cambria"/>
                <w:sz w:val="20"/>
                <w:szCs w:val="20"/>
              </w:rPr>
              <w:t>0,64</w:t>
            </w:r>
            <w:r w:rsidR="0053273C" w:rsidRPr="00767FBD">
              <w:rPr>
                <w:rFonts w:ascii="Cambria" w:hAnsi="Cambria"/>
                <w:sz w:val="20"/>
                <w:szCs w:val="20"/>
                <w:lang w:val="en-GB"/>
              </w:rPr>
              <w:t>* F</w:t>
            </w:r>
            <w:r w:rsidR="0053273C" w:rsidRPr="00767FBD">
              <w:rPr>
                <w:rFonts w:ascii="Cambria" w:hAnsi="Cambria"/>
                <w:sz w:val="20"/>
                <w:szCs w:val="20"/>
                <w:vertAlign w:val="subscript"/>
                <w:lang w:val="en-GB"/>
              </w:rPr>
              <w:t>RMS</w:t>
            </w:r>
          </w:p>
        </w:tc>
      </w:tr>
      <w:tr w:rsidR="0035444C" w:rsidRPr="00767FBD" w14:paraId="6277C14C" w14:textId="77777777" w:rsidTr="00C93B01">
        <w:tc>
          <w:tcPr>
            <w:tcW w:w="2835" w:type="dxa"/>
            <w:tcBorders>
              <w:top w:val="single" w:sz="4" w:space="0" w:color="auto"/>
              <w:left w:val="single" w:sz="4" w:space="0" w:color="auto"/>
              <w:bottom w:val="single" w:sz="4" w:space="0" w:color="auto"/>
              <w:right w:val="single" w:sz="4" w:space="0" w:color="auto"/>
            </w:tcBorders>
            <w:vAlign w:val="bottom"/>
          </w:tcPr>
          <w:p w14:paraId="5D18795D" w14:textId="77777777" w:rsidR="007B5F50" w:rsidRPr="00767FBD" w:rsidRDefault="007B5F50" w:rsidP="00C93B01">
            <w:pPr>
              <w:tabs>
                <w:tab w:val="left" w:pos="284"/>
              </w:tabs>
              <w:ind w:left="34"/>
              <w:jc w:val="center"/>
              <w:rPr>
                <w:rFonts w:ascii="Cambria" w:hAnsi="Cambria"/>
                <w:b/>
                <w:sz w:val="20"/>
                <w:szCs w:val="20"/>
              </w:rPr>
            </w:pPr>
            <w:r w:rsidRPr="00767FBD">
              <w:rPr>
                <w:rFonts w:ascii="Cambria" w:hAnsi="Cambria"/>
                <w:sz w:val="20"/>
                <w:szCs w:val="20"/>
              </w:rPr>
              <w:t>0,84</w:t>
            </w:r>
          </w:p>
        </w:tc>
        <w:tc>
          <w:tcPr>
            <w:tcW w:w="2910" w:type="dxa"/>
            <w:tcBorders>
              <w:top w:val="single" w:sz="4" w:space="0" w:color="auto"/>
              <w:left w:val="single" w:sz="4" w:space="0" w:color="auto"/>
              <w:bottom w:val="single" w:sz="4" w:space="0" w:color="auto"/>
              <w:right w:val="single" w:sz="4" w:space="0" w:color="auto"/>
            </w:tcBorders>
            <w:vAlign w:val="bottom"/>
          </w:tcPr>
          <w:p w14:paraId="0EF4DABA" w14:textId="48EE5554" w:rsidR="007B5F50" w:rsidRPr="00767FBD" w:rsidRDefault="007B5F50" w:rsidP="00C93B01">
            <w:pPr>
              <w:tabs>
                <w:tab w:val="left" w:pos="284"/>
              </w:tabs>
              <w:ind w:left="34"/>
              <w:jc w:val="center"/>
              <w:rPr>
                <w:rFonts w:ascii="Cambria" w:hAnsi="Cambria"/>
                <w:b/>
                <w:sz w:val="20"/>
                <w:szCs w:val="20"/>
              </w:rPr>
            </w:pPr>
            <w:r w:rsidRPr="00767FBD">
              <w:rPr>
                <w:rFonts w:ascii="Cambria" w:hAnsi="Cambria"/>
                <w:sz w:val="20"/>
                <w:szCs w:val="20"/>
              </w:rPr>
              <w:t>0,61</w:t>
            </w:r>
            <w:r w:rsidR="0053273C" w:rsidRPr="00767FBD">
              <w:rPr>
                <w:rFonts w:ascii="Cambria" w:hAnsi="Cambria"/>
                <w:sz w:val="20"/>
                <w:szCs w:val="20"/>
                <w:lang w:val="en-GB"/>
              </w:rPr>
              <w:t>* F</w:t>
            </w:r>
            <w:r w:rsidR="0053273C" w:rsidRPr="00767FBD">
              <w:rPr>
                <w:rFonts w:ascii="Cambria" w:hAnsi="Cambria"/>
                <w:sz w:val="20"/>
                <w:szCs w:val="20"/>
                <w:vertAlign w:val="subscript"/>
                <w:lang w:val="en-GB"/>
              </w:rPr>
              <w:t>RMS</w:t>
            </w:r>
          </w:p>
        </w:tc>
      </w:tr>
      <w:tr w:rsidR="0035444C" w:rsidRPr="00767FBD" w14:paraId="2871CAB3" w14:textId="77777777" w:rsidTr="00C93B01">
        <w:tc>
          <w:tcPr>
            <w:tcW w:w="2835" w:type="dxa"/>
            <w:tcBorders>
              <w:top w:val="single" w:sz="4" w:space="0" w:color="auto"/>
              <w:left w:val="single" w:sz="4" w:space="0" w:color="auto"/>
              <w:bottom w:val="single" w:sz="4" w:space="0" w:color="auto"/>
              <w:right w:val="single" w:sz="4" w:space="0" w:color="auto"/>
            </w:tcBorders>
            <w:vAlign w:val="bottom"/>
          </w:tcPr>
          <w:p w14:paraId="273F7580" w14:textId="77777777" w:rsidR="007B5F50" w:rsidRPr="00767FBD" w:rsidRDefault="007B5F50" w:rsidP="00C93B01">
            <w:pPr>
              <w:ind w:left="34"/>
              <w:jc w:val="center"/>
              <w:rPr>
                <w:rFonts w:ascii="Cambria" w:hAnsi="Cambria"/>
                <w:sz w:val="20"/>
                <w:szCs w:val="20"/>
              </w:rPr>
            </w:pPr>
            <w:r w:rsidRPr="00767FBD">
              <w:rPr>
                <w:rFonts w:ascii="Cambria" w:hAnsi="Cambria"/>
                <w:sz w:val="20"/>
                <w:szCs w:val="20"/>
              </w:rPr>
              <w:t>0,82</w:t>
            </w:r>
          </w:p>
        </w:tc>
        <w:tc>
          <w:tcPr>
            <w:tcW w:w="2910" w:type="dxa"/>
            <w:tcBorders>
              <w:top w:val="single" w:sz="4" w:space="0" w:color="auto"/>
              <w:left w:val="single" w:sz="4" w:space="0" w:color="auto"/>
              <w:bottom w:val="single" w:sz="4" w:space="0" w:color="auto"/>
              <w:right w:val="single" w:sz="4" w:space="0" w:color="auto"/>
            </w:tcBorders>
            <w:vAlign w:val="bottom"/>
          </w:tcPr>
          <w:p w14:paraId="488B70C3" w14:textId="5AD87CE0" w:rsidR="007B5F50" w:rsidRPr="00767FBD" w:rsidRDefault="007B5F50" w:rsidP="00C93B01">
            <w:pPr>
              <w:ind w:left="34"/>
              <w:jc w:val="center"/>
              <w:rPr>
                <w:rFonts w:ascii="Cambria" w:hAnsi="Cambria"/>
                <w:sz w:val="20"/>
                <w:szCs w:val="20"/>
              </w:rPr>
            </w:pPr>
            <w:r w:rsidRPr="00767FBD">
              <w:rPr>
                <w:rFonts w:ascii="Cambria" w:hAnsi="Cambria"/>
                <w:sz w:val="20"/>
                <w:szCs w:val="20"/>
              </w:rPr>
              <w:t>0,59</w:t>
            </w:r>
            <w:r w:rsidRPr="00767FBD">
              <w:rPr>
                <w:rFonts w:ascii="Cambria" w:hAnsi="Cambria"/>
                <w:sz w:val="20"/>
                <w:szCs w:val="20"/>
                <w:lang w:val="en-GB"/>
              </w:rPr>
              <w:t xml:space="preserve"> </w:t>
            </w:r>
            <w:r w:rsidR="0053273C" w:rsidRPr="00767FBD">
              <w:rPr>
                <w:rFonts w:ascii="Cambria" w:hAnsi="Cambria"/>
                <w:sz w:val="20"/>
                <w:szCs w:val="20"/>
                <w:lang w:val="en-GB"/>
              </w:rPr>
              <w:t>* F</w:t>
            </w:r>
            <w:r w:rsidR="0053273C" w:rsidRPr="00767FBD">
              <w:rPr>
                <w:rFonts w:ascii="Cambria" w:hAnsi="Cambria"/>
                <w:sz w:val="20"/>
                <w:szCs w:val="20"/>
                <w:vertAlign w:val="subscript"/>
                <w:lang w:val="en-GB"/>
              </w:rPr>
              <w:t>RMS</w:t>
            </w:r>
          </w:p>
        </w:tc>
      </w:tr>
      <w:tr w:rsidR="0035444C" w:rsidRPr="00767FBD" w14:paraId="7ECD7EB1" w14:textId="77777777" w:rsidTr="00C93B01">
        <w:tc>
          <w:tcPr>
            <w:tcW w:w="2835" w:type="dxa"/>
            <w:tcBorders>
              <w:top w:val="single" w:sz="4" w:space="0" w:color="auto"/>
              <w:left w:val="single" w:sz="4" w:space="0" w:color="auto"/>
              <w:bottom w:val="single" w:sz="4" w:space="0" w:color="auto"/>
              <w:right w:val="single" w:sz="4" w:space="0" w:color="auto"/>
            </w:tcBorders>
            <w:vAlign w:val="bottom"/>
          </w:tcPr>
          <w:p w14:paraId="3079F10C" w14:textId="77777777" w:rsidR="007B5F50" w:rsidRPr="00767FBD" w:rsidRDefault="007B5F50" w:rsidP="00C93B01">
            <w:pPr>
              <w:ind w:left="34"/>
              <w:jc w:val="center"/>
              <w:rPr>
                <w:rFonts w:ascii="Cambria" w:hAnsi="Cambria"/>
                <w:sz w:val="20"/>
                <w:szCs w:val="20"/>
              </w:rPr>
            </w:pPr>
            <w:r w:rsidRPr="00767FBD">
              <w:rPr>
                <w:rFonts w:ascii="Cambria" w:hAnsi="Cambria"/>
                <w:sz w:val="20"/>
                <w:szCs w:val="20"/>
              </w:rPr>
              <w:t>0,80</w:t>
            </w:r>
          </w:p>
        </w:tc>
        <w:tc>
          <w:tcPr>
            <w:tcW w:w="2910" w:type="dxa"/>
            <w:tcBorders>
              <w:top w:val="single" w:sz="4" w:space="0" w:color="auto"/>
              <w:left w:val="single" w:sz="4" w:space="0" w:color="auto"/>
              <w:bottom w:val="single" w:sz="4" w:space="0" w:color="auto"/>
              <w:right w:val="single" w:sz="4" w:space="0" w:color="auto"/>
            </w:tcBorders>
            <w:vAlign w:val="bottom"/>
          </w:tcPr>
          <w:p w14:paraId="51211FCB" w14:textId="0D8C85CC" w:rsidR="007B5F50" w:rsidRPr="00767FBD" w:rsidRDefault="007B5F50" w:rsidP="00C93B01">
            <w:pPr>
              <w:ind w:left="34"/>
              <w:jc w:val="center"/>
              <w:rPr>
                <w:rFonts w:ascii="Cambria" w:hAnsi="Cambria"/>
                <w:sz w:val="20"/>
                <w:szCs w:val="20"/>
              </w:rPr>
            </w:pPr>
            <w:r w:rsidRPr="00767FBD">
              <w:rPr>
                <w:rFonts w:ascii="Cambria" w:hAnsi="Cambria"/>
                <w:sz w:val="20"/>
                <w:szCs w:val="20"/>
              </w:rPr>
              <w:t>0,57</w:t>
            </w:r>
            <w:r w:rsidR="0053273C" w:rsidRPr="00767FBD">
              <w:rPr>
                <w:rFonts w:ascii="Cambria" w:hAnsi="Cambria"/>
                <w:sz w:val="20"/>
                <w:szCs w:val="20"/>
                <w:lang w:val="en-GB"/>
              </w:rPr>
              <w:t>* F</w:t>
            </w:r>
            <w:r w:rsidR="0053273C" w:rsidRPr="00767FBD">
              <w:rPr>
                <w:rFonts w:ascii="Cambria" w:hAnsi="Cambria"/>
                <w:sz w:val="20"/>
                <w:szCs w:val="20"/>
                <w:vertAlign w:val="subscript"/>
                <w:lang w:val="en-GB"/>
              </w:rPr>
              <w:t>RMS</w:t>
            </w:r>
          </w:p>
        </w:tc>
      </w:tr>
      <w:tr w:rsidR="0035444C" w:rsidRPr="00767FBD" w14:paraId="4B347B81" w14:textId="77777777" w:rsidTr="00C93B01">
        <w:tc>
          <w:tcPr>
            <w:tcW w:w="2835" w:type="dxa"/>
            <w:tcBorders>
              <w:top w:val="single" w:sz="4" w:space="0" w:color="auto"/>
              <w:left w:val="single" w:sz="4" w:space="0" w:color="auto"/>
              <w:bottom w:val="single" w:sz="4" w:space="0" w:color="auto"/>
              <w:right w:val="single" w:sz="4" w:space="0" w:color="auto"/>
            </w:tcBorders>
            <w:vAlign w:val="bottom"/>
          </w:tcPr>
          <w:p w14:paraId="2C82453D" w14:textId="77777777" w:rsidR="007B5F50" w:rsidRPr="00767FBD" w:rsidRDefault="007B5F50" w:rsidP="00C93B01">
            <w:pPr>
              <w:ind w:left="34"/>
              <w:jc w:val="center"/>
              <w:rPr>
                <w:rFonts w:ascii="Cambria" w:hAnsi="Cambria"/>
                <w:sz w:val="20"/>
                <w:szCs w:val="20"/>
              </w:rPr>
            </w:pPr>
            <w:r w:rsidRPr="00767FBD">
              <w:rPr>
                <w:rFonts w:ascii="Cambria" w:hAnsi="Cambria"/>
                <w:sz w:val="20"/>
                <w:szCs w:val="20"/>
              </w:rPr>
              <w:t>0,78</w:t>
            </w:r>
          </w:p>
        </w:tc>
        <w:tc>
          <w:tcPr>
            <w:tcW w:w="2910" w:type="dxa"/>
            <w:tcBorders>
              <w:top w:val="single" w:sz="4" w:space="0" w:color="auto"/>
              <w:left w:val="single" w:sz="4" w:space="0" w:color="auto"/>
              <w:bottom w:val="single" w:sz="4" w:space="0" w:color="auto"/>
              <w:right w:val="single" w:sz="4" w:space="0" w:color="auto"/>
            </w:tcBorders>
            <w:vAlign w:val="bottom"/>
          </w:tcPr>
          <w:p w14:paraId="1CA6EF3B" w14:textId="3E303342" w:rsidR="007B5F50" w:rsidRPr="00767FBD" w:rsidRDefault="007B5F50" w:rsidP="00C93B01">
            <w:pPr>
              <w:ind w:left="34"/>
              <w:jc w:val="center"/>
              <w:rPr>
                <w:rFonts w:ascii="Cambria" w:hAnsi="Cambria"/>
                <w:sz w:val="20"/>
                <w:szCs w:val="20"/>
              </w:rPr>
            </w:pPr>
            <w:r w:rsidRPr="00767FBD">
              <w:rPr>
                <w:rFonts w:ascii="Cambria" w:hAnsi="Cambria"/>
                <w:sz w:val="20"/>
                <w:szCs w:val="20"/>
              </w:rPr>
              <w:t>0,54</w:t>
            </w:r>
            <w:r w:rsidR="0053273C" w:rsidRPr="00767FBD">
              <w:rPr>
                <w:rFonts w:ascii="Cambria" w:hAnsi="Cambria"/>
                <w:sz w:val="20"/>
                <w:szCs w:val="20"/>
                <w:lang w:val="en-GB"/>
              </w:rPr>
              <w:t>* F</w:t>
            </w:r>
            <w:r w:rsidR="0053273C" w:rsidRPr="00767FBD">
              <w:rPr>
                <w:rFonts w:ascii="Cambria" w:hAnsi="Cambria"/>
                <w:sz w:val="20"/>
                <w:szCs w:val="20"/>
                <w:vertAlign w:val="subscript"/>
                <w:lang w:val="en-GB"/>
              </w:rPr>
              <w:t>RMS</w:t>
            </w:r>
          </w:p>
        </w:tc>
      </w:tr>
      <w:tr w:rsidR="0035444C" w:rsidRPr="00767FBD" w14:paraId="215BD93F" w14:textId="77777777" w:rsidTr="00C93B01">
        <w:tc>
          <w:tcPr>
            <w:tcW w:w="2835" w:type="dxa"/>
            <w:tcBorders>
              <w:top w:val="single" w:sz="4" w:space="0" w:color="auto"/>
              <w:left w:val="single" w:sz="4" w:space="0" w:color="auto"/>
              <w:bottom w:val="single" w:sz="4" w:space="0" w:color="auto"/>
              <w:right w:val="single" w:sz="4" w:space="0" w:color="auto"/>
            </w:tcBorders>
            <w:vAlign w:val="bottom"/>
          </w:tcPr>
          <w:p w14:paraId="3772F23C" w14:textId="77777777" w:rsidR="007B5F50" w:rsidRPr="00767FBD" w:rsidRDefault="007B5F50" w:rsidP="00C93B01">
            <w:pPr>
              <w:tabs>
                <w:tab w:val="left" w:pos="284"/>
              </w:tabs>
              <w:ind w:left="34"/>
              <w:jc w:val="center"/>
              <w:rPr>
                <w:rFonts w:ascii="Cambria" w:hAnsi="Cambria"/>
                <w:b/>
                <w:sz w:val="20"/>
                <w:szCs w:val="20"/>
              </w:rPr>
            </w:pPr>
            <w:r w:rsidRPr="00767FBD">
              <w:rPr>
                <w:rFonts w:ascii="Cambria" w:hAnsi="Cambria"/>
                <w:sz w:val="20"/>
                <w:szCs w:val="20"/>
              </w:rPr>
              <w:t>0,76</w:t>
            </w:r>
          </w:p>
        </w:tc>
        <w:tc>
          <w:tcPr>
            <w:tcW w:w="2910" w:type="dxa"/>
            <w:tcBorders>
              <w:top w:val="single" w:sz="4" w:space="0" w:color="auto"/>
              <w:left w:val="single" w:sz="4" w:space="0" w:color="auto"/>
              <w:bottom w:val="single" w:sz="4" w:space="0" w:color="auto"/>
              <w:right w:val="single" w:sz="4" w:space="0" w:color="auto"/>
            </w:tcBorders>
            <w:vAlign w:val="bottom"/>
          </w:tcPr>
          <w:p w14:paraId="4FC3B0A0" w14:textId="133FD607" w:rsidR="007B5F50" w:rsidRPr="00767FBD" w:rsidRDefault="007B5F50" w:rsidP="00C93B01">
            <w:pPr>
              <w:tabs>
                <w:tab w:val="left" w:pos="284"/>
              </w:tabs>
              <w:ind w:left="34"/>
              <w:jc w:val="center"/>
              <w:rPr>
                <w:rFonts w:ascii="Cambria" w:hAnsi="Cambria"/>
                <w:b/>
                <w:sz w:val="20"/>
                <w:szCs w:val="20"/>
              </w:rPr>
            </w:pPr>
            <w:r w:rsidRPr="00767FBD">
              <w:rPr>
                <w:rFonts w:ascii="Cambria" w:hAnsi="Cambria"/>
                <w:sz w:val="20"/>
                <w:szCs w:val="20"/>
              </w:rPr>
              <w:t>0,52</w:t>
            </w:r>
            <w:r w:rsidR="0053273C" w:rsidRPr="00767FBD">
              <w:rPr>
                <w:rFonts w:ascii="Cambria" w:hAnsi="Cambria"/>
                <w:sz w:val="20"/>
                <w:szCs w:val="20"/>
                <w:lang w:val="en-GB"/>
              </w:rPr>
              <w:t>* F</w:t>
            </w:r>
            <w:r w:rsidR="0053273C" w:rsidRPr="00767FBD">
              <w:rPr>
                <w:rFonts w:ascii="Cambria" w:hAnsi="Cambria"/>
                <w:sz w:val="20"/>
                <w:szCs w:val="20"/>
                <w:vertAlign w:val="subscript"/>
                <w:lang w:val="en-GB"/>
              </w:rPr>
              <w:t>RMS</w:t>
            </w:r>
          </w:p>
        </w:tc>
      </w:tr>
      <w:tr w:rsidR="0035444C" w:rsidRPr="00767FBD" w14:paraId="6F4F0102" w14:textId="77777777" w:rsidTr="00C93B01">
        <w:tc>
          <w:tcPr>
            <w:tcW w:w="2835" w:type="dxa"/>
            <w:tcBorders>
              <w:top w:val="single" w:sz="4" w:space="0" w:color="auto"/>
              <w:left w:val="single" w:sz="4" w:space="0" w:color="auto"/>
              <w:bottom w:val="single" w:sz="4" w:space="0" w:color="auto"/>
              <w:right w:val="single" w:sz="4" w:space="0" w:color="auto"/>
            </w:tcBorders>
            <w:vAlign w:val="bottom"/>
          </w:tcPr>
          <w:p w14:paraId="5BAA07AC" w14:textId="77777777" w:rsidR="007B5F50" w:rsidRPr="00767FBD" w:rsidRDefault="007B5F50" w:rsidP="00C93B01">
            <w:pPr>
              <w:ind w:left="34"/>
              <w:jc w:val="center"/>
              <w:rPr>
                <w:rFonts w:ascii="Cambria" w:hAnsi="Cambria"/>
                <w:sz w:val="20"/>
                <w:szCs w:val="20"/>
              </w:rPr>
            </w:pPr>
            <w:r w:rsidRPr="00767FBD">
              <w:rPr>
                <w:rFonts w:ascii="Cambria" w:hAnsi="Cambria"/>
                <w:sz w:val="20"/>
                <w:szCs w:val="20"/>
              </w:rPr>
              <w:t>0,74</w:t>
            </w:r>
          </w:p>
        </w:tc>
        <w:tc>
          <w:tcPr>
            <w:tcW w:w="2910" w:type="dxa"/>
            <w:tcBorders>
              <w:top w:val="single" w:sz="4" w:space="0" w:color="auto"/>
              <w:left w:val="single" w:sz="4" w:space="0" w:color="auto"/>
              <w:bottom w:val="single" w:sz="4" w:space="0" w:color="auto"/>
              <w:right w:val="single" w:sz="4" w:space="0" w:color="auto"/>
            </w:tcBorders>
            <w:vAlign w:val="bottom"/>
          </w:tcPr>
          <w:p w14:paraId="24F53DC2" w14:textId="7673CF1E" w:rsidR="007B5F50" w:rsidRPr="00767FBD" w:rsidRDefault="007B5F50" w:rsidP="00C93B01">
            <w:pPr>
              <w:ind w:left="34"/>
              <w:jc w:val="center"/>
              <w:rPr>
                <w:rFonts w:ascii="Cambria" w:hAnsi="Cambria"/>
                <w:sz w:val="20"/>
                <w:szCs w:val="20"/>
              </w:rPr>
            </w:pPr>
            <w:r w:rsidRPr="00767FBD">
              <w:rPr>
                <w:rFonts w:ascii="Cambria" w:hAnsi="Cambria"/>
                <w:sz w:val="20"/>
                <w:szCs w:val="20"/>
              </w:rPr>
              <w:t>0,50</w:t>
            </w:r>
            <w:r w:rsidR="00966E13" w:rsidRPr="00767FBD">
              <w:rPr>
                <w:rFonts w:ascii="Cambria" w:hAnsi="Cambria"/>
                <w:sz w:val="20"/>
                <w:szCs w:val="20"/>
                <w:lang w:val="en-GB"/>
              </w:rPr>
              <w:t>* F</w:t>
            </w:r>
            <w:r w:rsidR="00966E13" w:rsidRPr="00767FBD">
              <w:rPr>
                <w:rFonts w:ascii="Cambria" w:hAnsi="Cambria"/>
                <w:sz w:val="20"/>
                <w:szCs w:val="20"/>
                <w:vertAlign w:val="subscript"/>
                <w:lang w:val="en-GB"/>
              </w:rPr>
              <w:t>RMS</w:t>
            </w:r>
          </w:p>
        </w:tc>
      </w:tr>
      <w:tr w:rsidR="0035444C" w:rsidRPr="00767FBD" w14:paraId="2B5CE71B" w14:textId="77777777" w:rsidTr="00C93B01">
        <w:tc>
          <w:tcPr>
            <w:tcW w:w="2835" w:type="dxa"/>
            <w:tcBorders>
              <w:top w:val="single" w:sz="4" w:space="0" w:color="auto"/>
              <w:left w:val="single" w:sz="4" w:space="0" w:color="auto"/>
              <w:bottom w:val="single" w:sz="4" w:space="0" w:color="auto"/>
              <w:right w:val="single" w:sz="4" w:space="0" w:color="auto"/>
            </w:tcBorders>
            <w:vAlign w:val="bottom"/>
          </w:tcPr>
          <w:p w14:paraId="44E69925" w14:textId="77777777" w:rsidR="007B5F50" w:rsidRPr="00767FBD" w:rsidRDefault="007B5F50" w:rsidP="00C93B01">
            <w:pPr>
              <w:ind w:left="34"/>
              <w:jc w:val="center"/>
              <w:rPr>
                <w:rFonts w:ascii="Cambria" w:hAnsi="Cambria"/>
                <w:sz w:val="20"/>
                <w:szCs w:val="20"/>
              </w:rPr>
            </w:pPr>
            <w:r w:rsidRPr="00767FBD">
              <w:rPr>
                <w:rFonts w:ascii="Cambria" w:hAnsi="Cambria"/>
                <w:sz w:val="20"/>
                <w:szCs w:val="20"/>
              </w:rPr>
              <w:t>0,72</w:t>
            </w:r>
          </w:p>
        </w:tc>
        <w:tc>
          <w:tcPr>
            <w:tcW w:w="2910" w:type="dxa"/>
            <w:tcBorders>
              <w:top w:val="single" w:sz="4" w:space="0" w:color="auto"/>
              <w:left w:val="single" w:sz="4" w:space="0" w:color="auto"/>
              <w:bottom w:val="single" w:sz="4" w:space="0" w:color="auto"/>
              <w:right w:val="single" w:sz="4" w:space="0" w:color="auto"/>
            </w:tcBorders>
            <w:vAlign w:val="bottom"/>
          </w:tcPr>
          <w:p w14:paraId="5D8DFE2D" w14:textId="58D28007" w:rsidR="007B5F50" w:rsidRPr="00767FBD" w:rsidRDefault="007B5F50" w:rsidP="00C93B01">
            <w:pPr>
              <w:ind w:left="34"/>
              <w:jc w:val="center"/>
              <w:rPr>
                <w:rFonts w:ascii="Cambria" w:hAnsi="Cambria"/>
                <w:sz w:val="20"/>
                <w:szCs w:val="20"/>
              </w:rPr>
            </w:pPr>
            <w:r w:rsidRPr="00767FBD">
              <w:rPr>
                <w:rFonts w:ascii="Cambria" w:hAnsi="Cambria"/>
                <w:sz w:val="20"/>
                <w:szCs w:val="20"/>
              </w:rPr>
              <w:t>0,47</w:t>
            </w:r>
            <w:r w:rsidR="00966E13" w:rsidRPr="00767FBD">
              <w:rPr>
                <w:rFonts w:ascii="Cambria" w:hAnsi="Cambria"/>
                <w:sz w:val="20"/>
                <w:szCs w:val="20"/>
                <w:lang w:val="en-GB"/>
              </w:rPr>
              <w:t>* F</w:t>
            </w:r>
            <w:r w:rsidR="00966E13" w:rsidRPr="00767FBD">
              <w:rPr>
                <w:rFonts w:ascii="Cambria" w:hAnsi="Cambria"/>
                <w:sz w:val="20"/>
                <w:szCs w:val="20"/>
                <w:vertAlign w:val="subscript"/>
                <w:lang w:val="en-GB"/>
              </w:rPr>
              <w:t>RMS</w:t>
            </w:r>
          </w:p>
        </w:tc>
      </w:tr>
      <w:tr w:rsidR="0035444C" w:rsidRPr="00767FBD" w14:paraId="269C5AAB" w14:textId="77777777" w:rsidTr="00C93B01">
        <w:tc>
          <w:tcPr>
            <w:tcW w:w="2835" w:type="dxa"/>
            <w:tcBorders>
              <w:top w:val="single" w:sz="4" w:space="0" w:color="auto"/>
              <w:left w:val="single" w:sz="4" w:space="0" w:color="auto"/>
              <w:bottom w:val="single" w:sz="4" w:space="0" w:color="auto"/>
              <w:right w:val="single" w:sz="4" w:space="0" w:color="auto"/>
            </w:tcBorders>
            <w:vAlign w:val="bottom"/>
          </w:tcPr>
          <w:p w14:paraId="261AB9B9" w14:textId="77777777" w:rsidR="007B5F50" w:rsidRPr="00767FBD" w:rsidRDefault="007B5F50" w:rsidP="00C93B01">
            <w:pPr>
              <w:ind w:left="34"/>
              <w:jc w:val="center"/>
              <w:rPr>
                <w:rFonts w:ascii="Cambria" w:hAnsi="Cambria"/>
                <w:sz w:val="20"/>
                <w:szCs w:val="20"/>
              </w:rPr>
            </w:pPr>
            <w:r w:rsidRPr="00767FBD">
              <w:rPr>
                <w:rFonts w:ascii="Cambria" w:hAnsi="Cambria"/>
                <w:sz w:val="20"/>
                <w:szCs w:val="20"/>
              </w:rPr>
              <w:t>0,70</w:t>
            </w:r>
          </w:p>
        </w:tc>
        <w:tc>
          <w:tcPr>
            <w:tcW w:w="2910" w:type="dxa"/>
            <w:tcBorders>
              <w:top w:val="single" w:sz="4" w:space="0" w:color="auto"/>
              <w:left w:val="single" w:sz="4" w:space="0" w:color="auto"/>
              <w:bottom w:val="single" w:sz="4" w:space="0" w:color="auto"/>
              <w:right w:val="single" w:sz="4" w:space="0" w:color="auto"/>
            </w:tcBorders>
            <w:vAlign w:val="bottom"/>
          </w:tcPr>
          <w:p w14:paraId="6A53A98C" w14:textId="5A2771A7" w:rsidR="007B5F50" w:rsidRPr="00767FBD" w:rsidRDefault="007B5F50" w:rsidP="00C93B01">
            <w:pPr>
              <w:ind w:left="34"/>
              <w:jc w:val="center"/>
              <w:rPr>
                <w:rFonts w:ascii="Cambria" w:hAnsi="Cambria"/>
                <w:sz w:val="20"/>
                <w:szCs w:val="20"/>
              </w:rPr>
            </w:pPr>
            <w:r w:rsidRPr="00767FBD">
              <w:rPr>
                <w:rFonts w:ascii="Cambria" w:hAnsi="Cambria"/>
                <w:sz w:val="20"/>
                <w:szCs w:val="20"/>
              </w:rPr>
              <w:t>0,45</w:t>
            </w:r>
            <w:r w:rsidR="00966E13" w:rsidRPr="00767FBD">
              <w:rPr>
                <w:rFonts w:ascii="Cambria" w:hAnsi="Cambria"/>
                <w:sz w:val="20"/>
                <w:szCs w:val="20"/>
                <w:lang w:val="en-GB"/>
              </w:rPr>
              <w:t>* F</w:t>
            </w:r>
            <w:r w:rsidR="00966E13" w:rsidRPr="00767FBD">
              <w:rPr>
                <w:rFonts w:ascii="Cambria" w:hAnsi="Cambria"/>
                <w:sz w:val="20"/>
                <w:szCs w:val="20"/>
                <w:vertAlign w:val="subscript"/>
                <w:lang w:val="en-GB"/>
              </w:rPr>
              <w:t>RMS</w:t>
            </w:r>
          </w:p>
        </w:tc>
      </w:tr>
      <w:tr w:rsidR="0035444C" w:rsidRPr="00767FBD" w14:paraId="42010D50" w14:textId="77777777" w:rsidTr="00C93B01">
        <w:tc>
          <w:tcPr>
            <w:tcW w:w="2835" w:type="dxa"/>
            <w:tcBorders>
              <w:top w:val="single" w:sz="4" w:space="0" w:color="auto"/>
              <w:left w:val="single" w:sz="4" w:space="0" w:color="auto"/>
              <w:bottom w:val="single" w:sz="4" w:space="0" w:color="auto"/>
              <w:right w:val="single" w:sz="4" w:space="0" w:color="auto"/>
            </w:tcBorders>
            <w:vAlign w:val="bottom"/>
          </w:tcPr>
          <w:p w14:paraId="574F20CB" w14:textId="77777777" w:rsidR="007B5F50" w:rsidRPr="00767FBD" w:rsidRDefault="007B5F50" w:rsidP="00C93B01">
            <w:pPr>
              <w:ind w:left="34"/>
              <w:jc w:val="center"/>
              <w:rPr>
                <w:rFonts w:ascii="Cambria" w:eastAsiaTheme="minorEastAsia" w:hAnsi="Cambria"/>
                <w:sz w:val="20"/>
                <w:szCs w:val="20"/>
              </w:rPr>
            </w:pPr>
            <w:r w:rsidRPr="00767FBD">
              <w:rPr>
                <w:rFonts w:ascii="Cambria" w:hAnsi="Cambria"/>
                <w:sz w:val="20"/>
                <w:szCs w:val="20"/>
              </w:rPr>
              <w:t>0,68</w:t>
            </w:r>
          </w:p>
        </w:tc>
        <w:tc>
          <w:tcPr>
            <w:tcW w:w="2910" w:type="dxa"/>
            <w:tcBorders>
              <w:top w:val="single" w:sz="4" w:space="0" w:color="auto"/>
              <w:left w:val="single" w:sz="4" w:space="0" w:color="auto"/>
              <w:bottom w:val="single" w:sz="4" w:space="0" w:color="auto"/>
              <w:right w:val="single" w:sz="4" w:space="0" w:color="auto"/>
            </w:tcBorders>
            <w:vAlign w:val="bottom"/>
          </w:tcPr>
          <w:p w14:paraId="11AA0150" w14:textId="244346F0" w:rsidR="007B5F50" w:rsidRPr="00767FBD" w:rsidRDefault="007B5F50" w:rsidP="00C93B01">
            <w:pPr>
              <w:ind w:left="34"/>
              <w:jc w:val="center"/>
              <w:rPr>
                <w:rFonts w:ascii="Cambria" w:eastAsiaTheme="minorEastAsia" w:hAnsi="Cambria"/>
                <w:sz w:val="20"/>
                <w:szCs w:val="20"/>
              </w:rPr>
            </w:pPr>
            <w:r w:rsidRPr="00767FBD">
              <w:rPr>
                <w:rFonts w:ascii="Cambria" w:hAnsi="Cambria"/>
                <w:sz w:val="20"/>
                <w:szCs w:val="20"/>
              </w:rPr>
              <w:t>0,43</w:t>
            </w:r>
            <w:r w:rsidR="0053273C" w:rsidRPr="00767FBD">
              <w:rPr>
                <w:rFonts w:ascii="Cambria" w:hAnsi="Cambria"/>
                <w:sz w:val="20"/>
                <w:szCs w:val="20"/>
                <w:lang w:val="en-GB"/>
              </w:rPr>
              <w:t>* F</w:t>
            </w:r>
            <w:r w:rsidR="0053273C" w:rsidRPr="00767FBD">
              <w:rPr>
                <w:rFonts w:ascii="Cambria" w:hAnsi="Cambria"/>
                <w:sz w:val="20"/>
                <w:szCs w:val="20"/>
                <w:vertAlign w:val="subscript"/>
                <w:lang w:val="en-GB"/>
              </w:rPr>
              <w:t>RMS</w:t>
            </w:r>
          </w:p>
        </w:tc>
      </w:tr>
      <w:tr w:rsidR="0035444C" w:rsidRPr="00767FBD" w14:paraId="099F5EB1" w14:textId="77777777" w:rsidTr="00C93B01">
        <w:tc>
          <w:tcPr>
            <w:tcW w:w="2835" w:type="dxa"/>
            <w:tcBorders>
              <w:top w:val="single" w:sz="4" w:space="0" w:color="auto"/>
              <w:left w:val="single" w:sz="4" w:space="0" w:color="auto"/>
              <w:bottom w:val="single" w:sz="4" w:space="0" w:color="auto"/>
              <w:right w:val="single" w:sz="4" w:space="0" w:color="auto"/>
            </w:tcBorders>
            <w:vAlign w:val="bottom"/>
          </w:tcPr>
          <w:p w14:paraId="3D689931" w14:textId="77777777" w:rsidR="007B5F50" w:rsidRPr="00767FBD" w:rsidRDefault="007B5F50" w:rsidP="00C93B01">
            <w:pPr>
              <w:ind w:left="34"/>
              <w:jc w:val="center"/>
              <w:rPr>
                <w:rFonts w:ascii="Cambria" w:hAnsi="Cambria"/>
                <w:sz w:val="20"/>
                <w:szCs w:val="20"/>
              </w:rPr>
            </w:pPr>
            <w:r w:rsidRPr="00767FBD">
              <w:rPr>
                <w:rFonts w:ascii="Cambria" w:hAnsi="Cambria"/>
                <w:sz w:val="20"/>
                <w:szCs w:val="20"/>
              </w:rPr>
              <w:t>0,66</w:t>
            </w:r>
          </w:p>
        </w:tc>
        <w:tc>
          <w:tcPr>
            <w:tcW w:w="2910" w:type="dxa"/>
            <w:tcBorders>
              <w:top w:val="single" w:sz="4" w:space="0" w:color="auto"/>
              <w:left w:val="single" w:sz="4" w:space="0" w:color="auto"/>
              <w:bottom w:val="single" w:sz="4" w:space="0" w:color="auto"/>
              <w:right w:val="single" w:sz="4" w:space="0" w:color="auto"/>
            </w:tcBorders>
            <w:vAlign w:val="bottom"/>
          </w:tcPr>
          <w:p w14:paraId="70C9D28D" w14:textId="5AF4EDF2" w:rsidR="007B5F50" w:rsidRPr="00767FBD" w:rsidRDefault="007B5F50" w:rsidP="00C93B01">
            <w:pPr>
              <w:ind w:left="34"/>
              <w:jc w:val="center"/>
              <w:rPr>
                <w:rFonts w:ascii="Cambria" w:hAnsi="Cambria"/>
                <w:sz w:val="20"/>
                <w:szCs w:val="20"/>
              </w:rPr>
            </w:pPr>
            <w:r w:rsidRPr="00767FBD">
              <w:rPr>
                <w:rFonts w:ascii="Cambria" w:hAnsi="Cambria"/>
                <w:sz w:val="20"/>
                <w:szCs w:val="20"/>
              </w:rPr>
              <w:t>0,40</w:t>
            </w:r>
            <w:r w:rsidR="0053273C" w:rsidRPr="00767FBD">
              <w:rPr>
                <w:rFonts w:ascii="Cambria" w:hAnsi="Cambria"/>
                <w:sz w:val="20"/>
                <w:szCs w:val="20"/>
                <w:lang w:val="en-GB"/>
              </w:rPr>
              <w:t>* F</w:t>
            </w:r>
            <w:r w:rsidR="0053273C" w:rsidRPr="00767FBD">
              <w:rPr>
                <w:rFonts w:ascii="Cambria" w:hAnsi="Cambria"/>
                <w:sz w:val="20"/>
                <w:szCs w:val="20"/>
                <w:vertAlign w:val="subscript"/>
                <w:lang w:val="en-GB"/>
              </w:rPr>
              <w:t>RMS</w:t>
            </w:r>
          </w:p>
        </w:tc>
      </w:tr>
      <w:tr w:rsidR="0035444C" w:rsidRPr="00767FBD" w14:paraId="76A7A425" w14:textId="77777777" w:rsidTr="00C93B01">
        <w:tc>
          <w:tcPr>
            <w:tcW w:w="2835" w:type="dxa"/>
            <w:tcBorders>
              <w:top w:val="single" w:sz="4" w:space="0" w:color="auto"/>
              <w:left w:val="single" w:sz="4" w:space="0" w:color="auto"/>
              <w:bottom w:val="single" w:sz="4" w:space="0" w:color="auto"/>
              <w:right w:val="single" w:sz="4" w:space="0" w:color="auto"/>
            </w:tcBorders>
            <w:vAlign w:val="bottom"/>
          </w:tcPr>
          <w:p w14:paraId="42005C54" w14:textId="77777777" w:rsidR="007B5F50" w:rsidRPr="00767FBD" w:rsidRDefault="007B5F50" w:rsidP="00C93B01">
            <w:pPr>
              <w:ind w:left="34"/>
              <w:jc w:val="center"/>
              <w:rPr>
                <w:rFonts w:ascii="Cambria" w:hAnsi="Cambria" w:cs="Calibri"/>
                <w:sz w:val="20"/>
                <w:szCs w:val="20"/>
              </w:rPr>
            </w:pPr>
            <w:r w:rsidRPr="00767FBD">
              <w:rPr>
                <w:rFonts w:ascii="Cambria" w:hAnsi="Cambria"/>
                <w:sz w:val="20"/>
                <w:szCs w:val="20"/>
              </w:rPr>
              <w:t>0,64</w:t>
            </w:r>
          </w:p>
        </w:tc>
        <w:tc>
          <w:tcPr>
            <w:tcW w:w="2910" w:type="dxa"/>
            <w:tcBorders>
              <w:top w:val="single" w:sz="4" w:space="0" w:color="auto"/>
              <w:left w:val="single" w:sz="4" w:space="0" w:color="auto"/>
              <w:bottom w:val="single" w:sz="4" w:space="0" w:color="auto"/>
              <w:right w:val="single" w:sz="4" w:space="0" w:color="auto"/>
            </w:tcBorders>
            <w:vAlign w:val="bottom"/>
          </w:tcPr>
          <w:p w14:paraId="22E2ECEA" w14:textId="437351AE" w:rsidR="007B5F50" w:rsidRPr="00767FBD" w:rsidRDefault="007B5F50" w:rsidP="00C93B01">
            <w:pPr>
              <w:ind w:left="34"/>
              <w:jc w:val="center"/>
              <w:rPr>
                <w:rFonts w:ascii="Cambria" w:hAnsi="Cambria"/>
                <w:sz w:val="20"/>
                <w:szCs w:val="20"/>
              </w:rPr>
            </w:pPr>
            <w:r w:rsidRPr="00767FBD">
              <w:rPr>
                <w:rFonts w:ascii="Cambria" w:hAnsi="Cambria"/>
                <w:sz w:val="20"/>
                <w:szCs w:val="20"/>
              </w:rPr>
              <w:t>0,38</w:t>
            </w:r>
            <w:r w:rsidR="0053273C" w:rsidRPr="00767FBD">
              <w:rPr>
                <w:rFonts w:ascii="Cambria" w:hAnsi="Cambria"/>
                <w:sz w:val="20"/>
                <w:szCs w:val="20"/>
                <w:lang w:val="en-GB"/>
              </w:rPr>
              <w:t>* F</w:t>
            </w:r>
            <w:r w:rsidR="0053273C" w:rsidRPr="00767FBD">
              <w:rPr>
                <w:rFonts w:ascii="Cambria" w:hAnsi="Cambria"/>
                <w:sz w:val="20"/>
                <w:szCs w:val="20"/>
                <w:vertAlign w:val="subscript"/>
                <w:lang w:val="en-GB"/>
              </w:rPr>
              <w:t>RMS</w:t>
            </w:r>
          </w:p>
        </w:tc>
      </w:tr>
      <w:tr w:rsidR="0035444C" w:rsidRPr="00767FBD" w14:paraId="5BF27E47" w14:textId="77777777" w:rsidTr="00C93B01">
        <w:tc>
          <w:tcPr>
            <w:tcW w:w="2835" w:type="dxa"/>
            <w:tcBorders>
              <w:top w:val="single" w:sz="4" w:space="0" w:color="auto"/>
              <w:left w:val="single" w:sz="4" w:space="0" w:color="auto"/>
              <w:bottom w:val="single" w:sz="4" w:space="0" w:color="auto"/>
              <w:right w:val="single" w:sz="4" w:space="0" w:color="auto"/>
            </w:tcBorders>
            <w:vAlign w:val="bottom"/>
          </w:tcPr>
          <w:p w14:paraId="1851292A" w14:textId="77777777" w:rsidR="007B5F50" w:rsidRPr="00767FBD" w:rsidRDefault="007B5F50" w:rsidP="00C93B01">
            <w:pPr>
              <w:ind w:left="34"/>
              <w:jc w:val="center"/>
              <w:rPr>
                <w:rFonts w:ascii="Cambria" w:hAnsi="Cambria" w:cs="Calibri"/>
                <w:sz w:val="20"/>
                <w:szCs w:val="20"/>
              </w:rPr>
            </w:pPr>
            <w:r w:rsidRPr="00767FBD">
              <w:rPr>
                <w:rFonts w:ascii="Cambria" w:hAnsi="Cambria"/>
                <w:sz w:val="20"/>
                <w:szCs w:val="20"/>
              </w:rPr>
              <w:t>0,62</w:t>
            </w:r>
          </w:p>
        </w:tc>
        <w:tc>
          <w:tcPr>
            <w:tcW w:w="2910" w:type="dxa"/>
            <w:tcBorders>
              <w:top w:val="single" w:sz="4" w:space="0" w:color="auto"/>
              <w:left w:val="single" w:sz="4" w:space="0" w:color="auto"/>
              <w:bottom w:val="single" w:sz="4" w:space="0" w:color="auto"/>
              <w:right w:val="single" w:sz="4" w:space="0" w:color="auto"/>
            </w:tcBorders>
            <w:vAlign w:val="bottom"/>
          </w:tcPr>
          <w:p w14:paraId="7CA4DE56" w14:textId="6E1BEF31" w:rsidR="007B5F50" w:rsidRPr="00767FBD" w:rsidRDefault="007B5F50" w:rsidP="00C93B01">
            <w:pPr>
              <w:ind w:left="34"/>
              <w:jc w:val="center"/>
              <w:rPr>
                <w:rFonts w:ascii="Cambria" w:hAnsi="Cambria"/>
                <w:sz w:val="20"/>
                <w:szCs w:val="20"/>
              </w:rPr>
            </w:pPr>
            <w:r w:rsidRPr="00767FBD">
              <w:rPr>
                <w:rFonts w:ascii="Cambria" w:hAnsi="Cambria"/>
                <w:sz w:val="20"/>
                <w:szCs w:val="20"/>
              </w:rPr>
              <w:t>0,36</w:t>
            </w:r>
            <w:r w:rsidR="0053273C" w:rsidRPr="00767FBD">
              <w:rPr>
                <w:rFonts w:ascii="Cambria" w:hAnsi="Cambria"/>
                <w:sz w:val="20"/>
                <w:szCs w:val="20"/>
                <w:lang w:val="en-GB"/>
              </w:rPr>
              <w:t>* F</w:t>
            </w:r>
            <w:r w:rsidR="0053273C" w:rsidRPr="00767FBD">
              <w:rPr>
                <w:rFonts w:ascii="Cambria" w:hAnsi="Cambria"/>
                <w:sz w:val="20"/>
                <w:szCs w:val="20"/>
                <w:vertAlign w:val="subscript"/>
                <w:lang w:val="en-GB"/>
              </w:rPr>
              <w:t>RMS</w:t>
            </w:r>
          </w:p>
        </w:tc>
      </w:tr>
      <w:tr w:rsidR="0035444C" w:rsidRPr="00767FBD" w14:paraId="2F632066" w14:textId="77777777" w:rsidTr="00C93B01">
        <w:tc>
          <w:tcPr>
            <w:tcW w:w="2835" w:type="dxa"/>
            <w:tcBorders>
              <w:top w:val="single" w:sz="4" w:space="0" w:color="auto"/>
              <w:left w:val="single" w:sz="4" w:space="0" w:color="auto"/>
              <w:bottom w:val="single" w:sz="4" w:space="0" w:color="auto"/>
              <w:right w:val="single" w:sz="4" w:space="0" w:color="auto"/>
            </w:tcBorders>
            <w:vAlign w:val="bottom"/>
          </w:tcPr>
          <w:p w14:paraId="00E35F82" w14:textId="77777777" w:rsidR="007B5F50" w:rsidRPr="00767FBD" w:rsidRDefault="007B5F50" w:rsidP="00C93B01">
            <w:pPr>
              <w:ind w:left="34"/>
              <w:jc w:val="center"/>
              <w:rPr>
                <w:rFonts w:ascii="Cambria" w:hAnsi="Cambria" w:cs="Calibri"/>
                <w:sz w:val="20"/>
                <w:szCs w:val="20"/>
              </w:rPr>
            </w:pPr>
            <w:r w:rsidRPr="00767FBD">
              <w:rPr>
                <w:rFonts w:ascii="Cambria" w:hAnsi="Cambria"/>
                <w:sz w:val="20"/>
                <w:szCs w:val="20"/>
              </w:rPr>
              <w:t>0,60</w:t>
            </w:r>
          </w:p>
        </w:tc>
        <w:tc>
          <w:tcPr>
            <w:tcW w:w="2910" w:type="dxa"/>
            <w:tcBorders>
              <w:top w:val="single" w:sz="4" w:space="0" w:color="auto"/>
              <w:left w:val="single" w:sz="4" w:space="0" w:color="auto"/>
              <w:bottom w:val="single" w:sz="4" w:space="0" w:color="auto"/>
              <w:right w:val="single" w:sz="4" w:space="0" w:color="auto"/>
            </w:tcBorders>
            <w:vAlign w:val="bottom"/>
          </w:tcPr>
          <w:p w14:paraId="2DD3BF6A" w14:textId="0059B1B6" w:rsidR="007B5F50" w:rsidRPr="00767FBD" w:rsidRDefault="007B5F50" w:rsidP="00C93B01">
            <w:pPr>
              <w:ind w:left="34"/>
              <w:jc w:val="center"/>
              <w:rPr>
                <w:rFonts w:ascii="Cambria" w:hAnsi="Cambria"/>
                <w:sz w:val="20"/>
                <w:szCs w:val="20"/>
              </w:rPr>
            </w:pPr>
            <w:r w:rsidRPr="00767FBD">
              <w:rPr>
                <w:rFonts w:ascii="Cambria" w:hAnsi="Cambria"/>
                <w:sz w:val="20"/>
                <w:szCs w:val="20"/>
              </w:rPr>
              <w:t>0,33</w:t>
            </w:r>
            <w:r w:rsidR="0053273C" w:rsidRPr="00767FBD">
              <w:rPr>
                <w:rFonts w:ascii="Cambria" w:hAnsi="Cambria"/>
                <w:sz w:val="20"/>
                <w:szCs w:val="20"/>
                <w:lang w:val="en-GB"/>
              </w:rPr>
              <w:t>* F</w:t>
            </w:r>
            <w:r w:rsidR="0053273C" w:rsidRPr="00767FBD">
              <w:rPr>
                <w:rFonts w:ascii="Cambria" w:hAnsi="Cambria"/>
                <w:sz w:val="20"/>
                <w:szCs w:val="20"/>
                <w:vertAlign w:val="subscript"/>
                <w:lang w:val="en-GB"/>
              </w:rPr>
              <w:t>RMS</w:t>
            </w:r>
          </w:p>
        </w:tc>
      </w:tr>
      <w:tr w:rsidR="0035444C" w:rsidRPr="00767FBD" w14:paraId="035A4166" w14:textId="77777777" w:rsidTr="00C93B01">
        <w:tc>
          <w:tcPr>
            <w:tcW w:w="2835" w:type="dxa"/>
            <w:tcBorders>
              <w:top w:val="single" w:sz="4" w:space="0" w:color="auto"/>
              <w:left w:val="single" w:sz="4" w:space="0" w:color="auto"/>
              <w:bottom w:val="single" w:sz="4" w:space="0" w:color="auto"/>
              <w:right w:val="single" w:sz="4" w:space="0" w:color="auto"/>
            </w:tcBorders>
            <w:vAlign w:val="bottom"/>
          </w:tcPr>
          <w:p w14:paraId="08DEB4B3" w14:textId="77777777" w:rsidR="007B5F50" w:rsidRPr="00767FBD" w:rsidRDefault="007B5F50" w:rsidP="00C93B01">
            <w:pPr>
              <w:ind w:left="34"/>
              <w:jc w:val="center"/>
              <w:rPr>
                <w:rFonts w:ascii="Cambria" w:hAnsi="Cambria" w:cs="Calibri"/>
                <w:sz w:val="20"/>
                <w:szCs w:val="20"/>
              </w:rPr>
            </w:pPr>
            <w:r w:rsidRPr="00767FBD">
              <w:rPr>
                <w:rFonts w:ascii="Cambria" w:hAnsi="Cambria"/>
                <w:sz w:val="20"/>
                <w:szCs w:val="20"/>
              </w:rPr>
              <w:t>0,58</w:t>
            </w:r>
          </w:p>
        </w:tc>
        <w:tc>
          <w:tcPr>
            <w:tcW w:w="2910" w:type="dxa"/>
            <w:tcBorders>
              <w:top w:val="single" w:sz="4" w:space="0" w:color="auto"/>
              <w:left w:val="single" w:sz="4" w:space="0" w:color="auto"/>
              <w:bottom w:val="single" w:sz="4" w:space="0" w:color="auto"/>
              <w:right w:val="single" w:sz="4" w:space="0" w:color="auto"/>
            </w:tcBorders>
            <w:vAlign w:val="bottom"/>
          </w:tcPr>
          <w:p w14:paraId="62C6E55E" w14:textId="66F986F4" w:rsidR="007B5F50" w:rsidRPr="00767FBD" w:rsidRDefault="007B5F50" w:rsidP="00C93B01">
            <w:pPr>
              <w:ind w:left="34"/>
              <w:jc w:val="center"/>
              <w:rPr>
                <w:rFonts w:ascii="Cambria" w:hAnsi="Cambria"/>
                <w:sz w:val="20"/>
                <w:szCs w:val="20"/>
              </w:rPr>
            </w:pPr>
            <w:r w:rsidRPr="00767FBD">
              <w:rPr>
                <w:rFonts w:ascii="Cambria" w:hAnsi="Cambria"/>
                <w:sz w:val="20"/>
                <w:szCs w:val="20"/>
              </w:rPr>
              <w:t>0,31</w:t>
            </w:r>
            <w:r w:rsidR="0053273C" w:rsidRPr="00767FBD">
              <w:rPr>
                <w:rFonts w:ascii="Cambria" w:hAnsi="Cambria"/>
                <w:sz w:val="20"/>
                <w:szCs w:val="20"/>
                <w:lang w:val="en-GB"/>
              </w:rPr>
              <w:t>* F</w:t>
            </w:r>
            <w:r w:rsidR="0053273C" w:rsidRPr="00767FBD">
              <w:rPr>
                <w:rFonts w:ascii="Cambria" w:hAnsi="Cambria"/>
                <w:sz w:val="20"/>
                <w:szCs w:val="20"/>
                <w:vertAlign w:val="subscript"/>
                <w:lang w:val="en-GB"/>
              </w:rPr>
              <w:t>RMS</w:t>
            </w:r>
          </w:p>
        </w:tc>
      </w:tr>
      <w:tr w:rsidR="0035444C" w:rsidRPr="00767FBD" w14:paraId="7886D34A" w14:textId="77777777" w:rsidTr="00C93B01">
        <w:tc>
          <w:tcPr>
            <w:tcW w:w="2835" w:type="dxa"/>
            <w:tcBorders>
              <w:top w:val="single" w:sz="4" w:space="0" w:color="auto"/>
              <w:left w:val="single" w:sz="4" w:space="0" w:color="auto"/>
              <w:bottom w:val="single" w:sz="4" w:space="0" w:color="auto"/>
              <w:right w:val="single" w:sz="4" w:space="0" w:color="auto"/>
            </w:tcBorders>
            <w:vAlign w:val="bottom"/>
          </w:tcPr>
          <w:p w14:paraId="388B939D" w14:textId="77777777" w:rsidR="007B5F50" w:rsidRPr="00767FBD" w:rsidRDefault="007B5F50" w:rsidP="00C93B01">
            <w:pPr>
              <w:ind w:left="34"/>
              <w:jc w:val="center"/>
              <w:rPr>
                <w:rFonts w:ascii="Cambria" w:hAnsi="Cambria" w:cs="Calibri"/>
                <w:sz w:val="20"/>
                <w:szCs w:val="20"/>
              </w:rPr>
            </w:pPr>
            <w:r w:rsidRPr="00767FBD">
              <w:rPr>
                <w:rFonts w:ascii="Cambria" w:hAnsi="Cambria"/>
                <w:sz w:val="20"/>
                <w:szCs w:val="20"/>
              </w:rPr>
              <w:t>0,56</w:t>
            </w:r>
          </w:p>
        </w:tc>
        <w:tc>
          <w:tcPr>
            <w:tcW w:w="2910" w:type="dxa"/>
            <w:tcBorders>
              <w:top w:val="single" w:sz="4" w:space="0" w:color="auto"/>
              <w:left w:val="single" w:sz="4" w:space="0" w:color="auto"/>
              <w:bottom w:val="single" w:sz="4" w:space="0" w:color="auto"/>
              <w:right w:val="single" w:sz="4" w:space="0" w:color="auto"/>
            </w:tcBorders>
            <w:vAlign w:val="bottom"/>
          </w:tcPr>
          <w:p w14:paraId="5DAAB24B" w14:textId="3731ED72" w:rsidR="007B5F50" w:rsidRPr="00767FBD" w:rsidRDefault="007B5F50" w:rsidP="00C93B01">
            <w:pPr>
              <w:ind w:left="34"/>
              <w:jc w:val="center"/>
              <w:rPr>
                <w:rFonts w:ascii="Cambria" w:hAnsi="Cambria"/>
                <w:sz w:val="20"/>
                <w:szCs w:val="20"/>
              </w:rPr>
            </w:pPr>
            <w:r w:rsidRPr="00767FBD">
              <w:rPr>
                <w:rFonts w:ascii="Cambria" w:hAnsi="Cambria"/>
                <w:sz w:val="20"/>
                <w:szCs w:val="20"/>
              </w:rPr>
              <w:t>0,29</w:t>
            </w:r>
            <w:r w:rsidR="0053273C" w:rsidRPr="00767FBD">
              <w:rPr>
                <w:rFonts w:ascii="Cambria" w:hAnsi="Cambria"/>
                <w:sz w:val="20"/>
                <w:szCs w:val="20"/>
                <w:lang w:val="en-GB"/>
              </w:rPr>
              <w:t>* F</w:t>
            </w:r>
            <w:r w:rsidR="0053273C" w:rsidRPr="00767FBD">
              <w:rPr>
                <w:rFonts w:ascii="Cambria" w:hAnsi="Cambria"/>
                <w:sz w:val="20"/>
                <w:szCs w:val="20"/>
                <w:vertAlign w:val="subscript"/>
                <w:lang w:val="en-GB"/>
              </w:rPr>
              <w:t>RMS</w:t>
            </w:r>
          </w:p>
        </w:tc>
      </w:tr>
      <w:tr w:rsidR="0035444C" w:rsidRPr="00767FBD" w14:paraId="463D322C" w14:textId="77777777" w:rsidTr="00C93B01">
        <w:tc>
          <w:tcPr>
            <w:tcW w:w="2835" w:type="dxa"/>
            <w:tcBorders>
              <w:top w:val="single" w:sz="4" w:space="0" w:color="auto"/>
              <w:left w:val="single" w:sz="4" w:space="0" w:color="auto"/>
              <w:bottom w:val="single" w:sz="4" w:space="0" w:color="auto"/>
              <w:right w:val="single" w:sz="4" w:space="0" w:color="auto"/>
            </w:tcBorders>
            <w:vAlign w:val="bottom"/>
          </w:tcPr>
          <w:p w14:paraId="6764BB3C" w14:textId="77777777" w:rsidR="007B5F50" w:rsidRPr="00767FBD" w:rsidRDefault="007B5F50" w:rsidP="00C93B01">
            <w:pPr>
              <w:ind w:left="34"/>
              <w:jc w:val="center"/>
              <w:rPr>
                <w:rFonts w:ascii="Cambria" w:hAnsi="Cambria" w:cs="Calibri"/>
                <w:sz w:val="20"/>
                <w:szCs w:val="20"/>
              </w:rPr>
            </w:pPr>
            <w:r w:rsidRPr="00767FBD">
              <w:rPr>
                <w:rFonts w:ascii="Cambria" w:hAnsi="Cambria"/>
                <w:sz w:val="20"/>
                <w:szCs w:val="20"/>
              </w:rPr>
              <w:t>0,54</w:t>
            </w:r>
          </w:p>
        </w:tc>
        <w:tc>
          <w:tcPr>
            <w:tcW w:w="2910" w:type="dxa"/>
            <w:tcBorders>
              <w:top w:val="single" w:sz="4" w:space="0" w:color="auto"/>
              <w:left w:val="single" w:sz="4" w:space="0" w:color="auto"/>
              <w:bottom w:val="single" w:sz="4" w:space="0" w:color="auto"/>
              <w:right w:val="single" w:sz="4" w:space="0" w:color="auto"/>
            </w:tcBorders>
            <w:vAlign w:val="bottom"/>
          </w:tcPr>
          <w:p w14:paraId="1E6FE8A8" w14:textId="485955AA" w:rsidR="007B5F50" w:rsidRPr="00767FBD" w:rsidRDefault="007B5F50" w:rsidP="00C93B01">
            <w:pPr>
              <w:ind w:left="34"/>
              <w:jc w:val="center"/>
              <w:rPr>
                <w:rFonts w:ascii="Cambria" w:hAnsi="Cambria"/>
                <w:sz w:val="20"/>
                <w:szCs w:val="20"/>
              </w:rPr>
            </w:pPr>
            <w:r w:rsidRPr="00767FBD">
              <w:rPr>
                <w:rFonts w:ascii="Cambria" w:hAnsi="Cambria"/>
                <w:sz w:val="20"/>
                <w:szCs w:val="20"/>
              </w:rPr>
              <w:t>0,26</w:t>
            </w:r>
            <w:r w:rsidR="0053273C" w:rsidRPr="00767FBD">
              <w:rPr>
                <w:rFonts w:ascii="Cambria" w:hAnsi="Cambria"/>
                <w:sz w:val="20"/>
                <w:szCs w:val="20"/>
                <w:lang w:val="en-GB"/>
              </w:rPr>
              <w:t>* F</w:t>
            </w:r>
            <w:r w:rsidR="0053273C" w:rsidRPr="00767FBD">
              <w:rPr>
                <w:rFonts w:ascii="Cambria" w:hAnsi="Cambria"/>
                <w:sz w:val="20"/>
                <w:szCs w:val="20"/>
                <w:vertAlign w:val="subscript"/>
                <w:lang w:val="en-GB"/>
              </w:rPr>
              <w:t>RMS</w:t>
            </w:r>
          </w:p>
        </w:tc>
      </w:tr>
      <w:tr w:rsidR="0035444C" w:rsidRPr="00767FBD" w14:paraId="219F004C" w14:textId="77777777" w:rsidTr="00C93B01">
        <w:tc>
          <w:tcPr>
            <w:tcW w:w="2835" w:type="dxa"/>
            <w:tcBorders>
              <w:top w:val="single" w:sz="4" w:space="0" w:color="auto"/>
              <w:left w:val="single" w:sz="4" w:space="0" w:color="auto"/>
              <w:bottom w:val="single" w:sz="4" w:space="0" w:color="auto"/>
              <w:right w:val="single" w:sz="4" w:space="0" w:color="auto"/>
            </w:tcBorders>
            <w:vAlign w:val="bottom"/>
          </w:tcPr>
          <w:p w14:paraId="34BAA437" w14:textId="77777777" w:rsidR="007B5F50" w:rsidRPr="00767FBD" w:rsidRDefault="007B5F50" w:rsidP="00C93B01">
            <w:pPr>
              <w:ind w:left="34"/>
              <w:jc w:val="center"/>
              <w:rPr>
                <w:rFonts w:ascii="Cambria" w:hAnsi="Cambria" w:cs="Calibri"/>
                <w:sz w:val="20"/>
                <w:szCs w:val="20"/>
              </w:rPr>
            </w:pPr>
            <w:r w:rsidRPr="00767FBD">
              <w:rPr>
                <w:rFonts w:ascii="Cambria" w:hAnsi="Cambria"/>
                <w:sz w:val="20"/>
                <w:szCs w:val="20"/>
              </w:rPr>
              <w:t>0,52</w:t>
            </w:r>
          </w:p>
        </w:tc>
        <w:tc>
          <w:tcPr>
            <w:tcW w:w="2910" w:type="dxa"/>
            <w:tcBorders>
              <w:top w:val="single" w:sz="4" w:space="0" w:color="auto"/>
              <w:left w:val="single" w:sz="4" w:space="0" w:color="auto"/>
              <w:bottom w:val="single" w:sz="4" w:space="0" w:color="auto"/>
              <w:right w:val="single" w:sz="4" w:space="0" w:color="auto"/>
            </w:tcBorders>
            <w:vAlign w:val="bottom"/>
          </w:tcPr>
          <w:p w14:paraId="773AB0D6" w14:textId="46CECB99" w:rsidR="007B5F50" w:rsidRPr="00767FBD" w:rsidRDefault="007B5F50" w:rsidP="00C93B01">
            <w:pPr>
              <w:ind w:left="34"/>
              <w:jc w:val="center"/>
              <w:rPr>
                <w:rFonts w:ascii="Cambria" w:hAnsi="Cambria"/>
                <w:sz w:val="20"/>
                <w:szCs w:val="20"/>
              </w:rPr>
            </w:pPr>
            <w:r w:rsidRPr="00767FBD">
              <w:rPr>
                <w:rFonts w:ascii="Cambria" w:hAnsi="Cambria"/>
                <w:sz w:val="20"/>
                <w:szCs w:val="20"/>
              </w:rPr>
              <w:t>0,24</w:t>
            </w:r>
            <w:r w:rsidR="0053273C" w:rsidRPr="00767FBD">
              <w:rPr>
                <w:rFonts w:ascii="Cambria" w:hAnsi="Cambria"/>
                <w:sz w:val="20"/>
                <w:szCs w:val="20"/>
                <w:lang w:val="en-GB"/>
              </w:rPr>
              <w:t>* F</w:t>
            </w:r>
            <w:r w:rsidR="0053273C" w:rsidRPr="00767FBD">
              <w:rPr>
                <w:rFonts w:ascii="Cambria" w:hAnsi="Cambria"/>
                <w:sz w:val="20"/>
                <w:szCs w:val="20"/>
                <w:vertAlign w:val="subscript"/>
                <w:lang w:val="en-GB"/>
              </w:rPr>
              <w:t>RMS</w:t>
            </w:r>
          </w:p>
        </w:tc>
      </w:tr>
      <w:tr w:rsidR="0035444C" w:rsidRPr="00767FBD" w14:paraId="4FFADAC1" w14:textId="77777777" w:rsidTr="00C93B01">
        <w:tc>
          <w:tcPr>
            <w:tcW w:w="2835" w:type="dxa"/>
            <w:tcBorders>
              <w:top w:val="single" w:sz="4" w:space="0" w:color="auto"/>
              <w:left w:val="single" w:sz="4" w:space="0" w:color="auto"/>
              <w:bottom w:val="single" w:sz="4" w:space="0" w:color="auto"/>
              <w:right w:val="single" w:sz="4" w:space="0" w:color="auto"/>
            </w:tcBorders>
            <w:vAlign w:val="bottom"/>
          </w:tcPr>
          <w:p w14:paraId="6BDB3581" w14:textId="77777777" w:rsidR="007B5F50" w:rsidRPr="00767FBD" w:rsidRDefault="007B5F50" w:rsidP="00C93B01">
            <w:pPr>
              <w:ind w:left="34"/>
              <w:jc w:val="center"/>
              <w:rPr>
                <w:rFonts w:ascii="Cambria" w:hAnsi="Cambria" w:cs="Calibri"/>
                <w:sz w:val="20"/>
                <w:szCs w:val="20"/>
              </w:rPr>
            </w:pPr>
            <w:r w:rsidRPr="00767FBD">
              <w:rPr>
                <w:rFonts w:ascii="Cambria" w:hAnsi="Cambria"/>
                <w:sz w:val="20"/>
                <w:szCs w:val="20"/>
              </w:rPr>
              <w:t>0,50</w:t>
            </w:r>
          </w:p>
        </w:tc>
        <w:tc>
          <w:tcPr>
            <w:tcW w:w="2910" w:type="dxa"/>
            <w:tcBorders>
              <w:top w:val="single" w:sz="4" w:space="0" w:color="auto"/>
              <w:left w:val="single" w:sz="4" w:space="0" w:color="auto"/>
              <w:bottom w:val="single" w:sz="4" w:space="0" w:color="auto"/>
              <w:right w:val="single" w:sz="4" w:space="0" w:color="auto"/>
            </w:tcBorders>
            <w:vAlign w:val="bottom"/>
          </w:tcPr>
          <w:p w14:paraId="53A08428" w14:textId="12A6E905" w:rsidR="007B5F50" w:rsidRPr="00767FBD" w:rsidRDefault="007B5F50" w:rsidP="00C93B01">
            <w:pPr>
              <w:ind w:left="34"/>
              <w:jc w:val="center"/>
              <w:rPr>
                <w:rFonts w:ascii="Cambria" w:hAnsi="Cambria"/>
                <w:sz w:val="20"/>
                <w:szCs w:val="20"/>
              </w:rPr>
            </w:pPr>
            <w:r w:rsidRPr="00767FBD">
              <w:rPr>
                <w:rFonts w:ascii="Cambria" w:hAnsi="Cambria"/>
                <w:sz w:val="20"/>
                <w:szCs w:val="20"/>
              </w:rPr>
              <w:t>0,22</w:t>
            </w:r>
            <w:r w:rsidR="0053273C" w:rsidRPr="00767FBD">
              <w:rPr>
                <w:rFonts w:ascii="Cambria" w:hAnsi="Cambria"/>
                <w:sz w:val="20"/>
                <w:szCs w:val="20"/>
                <w:lang w:val="en-GB"/>
              </w:rPr>
              <w:t>* F</w:t>
            </w:r>
            <w:r w:rsidR="0053273C" w:rsidRPr="00767FBD">
              <w:rPr>
                <w:rFonts w:ascii="Cambria" w:hAnsi="Cambria"/>
                <w:sz w:val="20"/>
                <w:szCs w:val="20"/>
                <w:vertAlign w:val="subscript"/>
                <w:lang w:val="en-GB"/>
              </w:rPr>
              <w:t>RMS</w:t>
            </w:r>
          </w:p>
        </w:tc>
      </w:tr>
      <w:tr w:rsidR="0035444C" w:rsidRPr="00767FBD" w14:paraId="35469863" w14:textId="77777777" w:rsidTr="00C93B01">
        <w:tc>
          <w:tcPr>
            <w:tcW w:w="2835" w:type="dxa"/>
            <w:tcBorders>
              <w:top w:val="single" w:sz="4" w:space="0" w:color="auto"/>
              <w:left w:val="single" w:sz="4" w:space="0" w:color="auto"/>
              <w:bottom w:val="single" w:sz="4" w:space="0" w:color="auto"/>
              <w:right w:val="single" w:sz="4" w:space="0" w:color="auto"/>
            </w:tcBorders>
            <w:vAlign w:val="bottom"/>
          </w:tcPr>
          <w:p w14:paraId="65A7115A" w14:textId="77777777" w:rsidR="007B5F50" w:rsidRPr="00767FBD" w:rsidRDefault="007B5F50" w:rsidP="00C93B01">
            <w:pPr>
              <w:ind w:left="34"/>
              <w:jc w:val="center"/>
              <w:rPr>
                <w:rFonts w:ascii="Cambria" w:hAnsi="Cambria" w:cs="Calibri"/>
                <w:sz w:val="20"/>
                <w:szCs w:val="20"/>
              </w:rPr>
            </w:pPr>
            <w:r w:rsidRPr="00767FBD">
              <w:rPr>
                <w:rFonts w:ascii="Cambria" w:hAnsi="Cambria"/>
                <w:sz w:val="20"/>
                <w:szCs w:val="20"/>
              </w:rPr>
              <w:t>0,48</w:t>
            </w:r>
          </w:p>
        </w:tc>
        <w:tc>
          <w:tcPr>
            <w:tcW w:w="2910" w:type="dxa"/>
            <w:tcBorders>
              <w:top w:val="single" w:sz="4" w:space="0" w:color="auto"/>
              <w:left w:val="single" w:sz="4" w:space="0" w:color="auto"/>
              <w:bottom w:val="single" w:sz="4" w:space="0" w:color="auto"/>
              <w:right w:val="single" w:sz="4" w:space="0" w:color="auto"/>
            </w:tcBorders>
            <w:vAlign w:val="bottom"/>
          </w:tcPr>
          <w:p w14:paraId="55519178" w14:textId="66E9C874" w:rsidR="007B5F50" w:rsidRPr="00767FBD" w:rsidRDefault="007B5F50" w:rsidP="00C93B01">
            <w:pPr>
              <w:ind w:left="34"/>
              <w:jc w:val="center"/>
              <w:rPr>
                <w:rFonts w:ascii="Cambria" w:hAnsi="Cambria"/>
                <w:sz w:val="20"/>
                <w:szCs w:val="20"/>
              </w:rPr>
            </w:pPr>
            <w:r w:rsidRPr="00767FBD">
              <w:rPr>
                <w:rFonts w:ascii="Cambria" w:hAnsi="Cambria"/>
                <w:sz w:val="20"/>
                <w:szCs w:val="20"/>
              </w:rPr>
              <w:t>0,19</w:t>
            </w:r>
            <w:r w:rsidR="0053273C" w:rsidRPr="00767FBD">
              <w:rPr>
                <w:rFonts w:ascii="Cambria" w:hAnsi="Cambria"/>
                <w:sz w:val="20"/>
                <w:szCs w:val="20"/>
                <w:lang w:val="en-GB"/>
              </w:rPr>
              <w:t>* F</w:t>
            </w:r>
            <w:r w:rsidR="0053273C" w:rsidRPr="00767FBD">
              <w:rPr>
                <w:rFonts w:ascii="Cambria" w:hAnsi="Cambria"/>
                <w:sz w:val="20"/>
                <w:szCs w:val="20"/>
                <w:vertAlign w:val="subscript"/>
                <w:lang w:val="en-GB"/>
              </w:rPr>
              <w:t>RMS</w:t>
            </w:r>
          </w:p>
        </w:tc>
      </w:tr>
      <w:tr w:rsidR="0035444C" w:rsidRPr="00767FBD" w14:paraId="72494B53" w14:textId="77777777" w:rsidTr="00C93B01">
        <w:tc>
          <w:tcPr>
            <w:tcW w:w="2835" w:type="dxa"/>
            <w:tcBorders>
              <w:top w:val="single" w:sz="4" w:space="0" w:color="auto"/>
              <w:left w:val="single" w:sz="4" w:space="0" w:color="auto"/>
              <w:bottom w:val="single" w:sz="4" w:space="0" w:color="auto"/>
              <w:right w:val="single" w:sz="4" w:space="0" w:color="auto"/>
            </w:tcBorders>
            <w:vAlign w:val="bottom"/>
          </w:tcPr>
          <w:p w14:paraId="7050E81A" w14:textId="77777777" w:rsidR="007B5F50" w:rsidRPr="00767FBD" w:rsidRDefault="007B5F50" w:rsidP="00C93B01">
            <w:pPr>
              <w:ind w:left="34"/>
              <w:jc w:val="center"/>
              <w:rPr>
                <w:rFonts w:ascii="Cambria" w:hAnsi="Cambria" w:cs="Calibri"/>
                <w:sz w:val="20"/>
                <w:szCs w:val="20"/>
              </w:rPr>
            </w:pPr>
            <w:r w:rsidRPr="00767FBD">
              <w:rPr>
                <w:rFonts w:ascii="Cambria" w:hAnsi="Cambria"/>
                <w:sz w:val="20"/>
                <w:szCs w:val="20"/>
              </w:rPr>
              <w:t>0,46</w:t>
            </w:r>
          </w:p>
        </w:tc>
        <w:tc>
          <w:tcPr>
            <w:tcW w:w="2910" w:type="dxa"/>
            <w:tcBorders>
              <w:top w:val="single" w:sz="4" w:space="0" w:color="auto"/>
              <w:left w:val="single" w:sz="4" w:space="0" w:color="auto"/>
              <w:bottom w:val="single" w:sz="4" w:space="0" w:color="auto"/>
              <w:right w:val="single" w:sz="4" w:space="0" w:color="auto"/>
            </w:tcBorders>
            <w:vAlign w:val="bottom"/>
          </w:tcPr>
          <w:p w14:paraId="6AE51AFD" w14:textId="7BA897AA" w:rsidR="007B5F50" w:rsidRPr="00767FBD" w:rsidRDefault="007B5F50" w:rsidP="00C93B01">
            <w:pPr>
              <w:ind w:left="34"/>
              <w:jc w:val="center"/>
              <w:rPr>
                <w:rFonts w:ascii="Cambria" w:hAnsi="Cambria"/>
                <w:sz w:val="20"/>
                <w:szCs w:val="20"/>
              </w:rPr>
            </w:pPr>
            <w:r w:rsidRPr="00767FBD">
              <w:rPr>
                <w:rFonts w:ascii="Cambria" w:hAnsi="Cambria"/>
                <w:sz w:val="20"/>
                <w:szCs w:val="20"/>
              </w:rPr>
              <w:t>0,17</w:t>
            </w:r>
            <w:r w:rsidR="0053273C" w:rsidRPr="00767FBD">
              <w:rPr>
                <w:rFonts w:ascii="Cambria" w:hAnsi="Cambria"/>
                <w:sz w:val="20"/>
                <w:szCs w:val="20"/>
                <w:lang w:val="en-GB"/>
              </w:rPr>
              <w:t>* F</w:t>
            </w:r>
            <w:r w:rsidR="0053273C" w:rsidRPr="00767FBD">
              <w:rPr>
                <w:rFonts w:ascii="Cambria" w:hAnsi="Cambria"/>
                <w:sz w:val="20"/>
                <w:szCs w:val="20"/>
                <w:vertAlign w:val="subscript"/>
                <w:lang w:val="en-GB"/>
              </w:rPr>
              <w:t>RMS</w:t>
            </w:r>
          </w:p>
        </w:tc>
      </w:tr>
      <w:tr w:rsidR="0035444C" w:rsidRPr="00767FBD" w14:paraId="34FCCC83" w14:textId="77777777" w:rsidTr="00C93B01">
        <w:tc>
          <w:tcPr>
            <w:tcW w:w="2835" w:type="dxa"/>
            <w:tcBorders>
              <w:top w:val="single" w:sz="4" w:space="0" w:color="auto"/>
              <w:left w:val="single" w:sz="4" w:space="0" w:color="auto"/>
              <w:bottom w:val="single" w:sz="4" w:space="0" w:color="auto"/>
              <w:right w:val="single" w:sz="4" w:space="0" w:color="auto"/>
            </w:tcBorders>
            <w:vAlign w:val="bottom"/>
          </w:tcPr>
          <w:p w14:paraId="00DBB341" w14:textId="77777777" w:rsidR="007B5F50" w:rsidRPr="00767FBD" w:rsidRDefault="007B5F50" w:rsidP="00C93B01">
            <w:pPr>
              <w:ind w:left="34"/>
              <w:jc w:val="center"/>
              <w:rPr>
                <w:rFonts w:ascii="Cambria" w:hAnsi="Cambria" w:cs="Calibri"/>
                <w:sz w:val="20"/>
                <w:szCs w:val="20"/>
              </w:rPr>
            </w:pPr>
            <w:r w:rsidRPr="00767FBD">
              <w:rPr>
                <w:rFonts w:ascii="Cambria" w:hAnsi="Cambria"/>
                <w:sz w:val="20"/>
                <w:szCs w:val="20"/>
              </w:rPr>
              <w:t>0,44</w:t>
            </w:r>
          </w:p>
        </w:tc>
        <w:tc>
          <w:tcPr>
            <w:tcW w:w="2910" w:type="dxa"/>
            <w:tcBorders>
              <w:top w:val="single" w:sz="4" w:space="0" w:color="auto"/>
              <w:left w:val="single" w:sz="4" w:space="0" w:color="auto"/>
              <w:bottom w:val="single" w:sz="4" w:space="0" w:color="auto"/>
              <w:right w:val="single" w:sz="4" w:space="0" w:color="auto"/>
            </w:tcBorders>
            <w:vAlign w:val="bottom"/>
          </w:tcPr>
          <w:p w14:paraId="07788116" w14:textId="6D57C1DE" w:rsidR="007B5F50" w:rsidRPr="00767FBD" w:rsidRDefault="007B5F50" w:rsidP="00C93B01">
            <w:pPr>
              <w:ind w:left="34"/>
              <w:jc w:val="center"/>
              <w:rPr>
                <w:rFonts w:ascii="Cambria" w:hAnsi="Cambria"/>
                <w:sz w:val="20"/>
                <w:szCs w:val="20"/>
              </w:rPr>
            </w:pPr>
            <w:r w:rsidRPr="00767FBD">
              <w:rPr>
                <w:rFonts w:ascii="Cambria" w:hAnsi="Cambria"/>
                <w:sz w:val="20"/>
                <w:szCs w:val="20"/>
              </w:rPr>
              <w:t>0,15</w:t>
            </w:r>
            <w:r w:rsidR="0053273C" w:rsidRPr="00767FBD">
              <w:rPr>
                <w:rFonts w:ascii="Cambria" w:hAnsi="Cambria"/>
                <w:sz w:val="20"/>
                <w:szCs w:val="20"/>
                <w:lang w:val="en-GB"/>
              </w:rPr>
              <w:t>* F</w:t>
            </w:r>
            <w:r w:rsidR="0053273C" w:rsidRPr="00767FBD">
              <w:rPr>
                <w:rFonts w:ascii="Cambria" w:hAnsi="Cambria"/>
                <w:sz w:val="20"/>
                <w:szCs w:val="20"/>
                <w:vertAlign w:val="subscript"/>
                <w:lang w:val="en-GB"/>
              </w:rPr>
              <w:t>RMS</w:t>
            </w:r>
          </w:p>
        </w:tc>
      </w:tr>
      <w:tr w:rsidR="0035444C" w:rsidRPr="00767FBD" w14:paraId="22FD0CF0" w14:textId="77777777" w:rsidTr="00C93B01">
        <w:tc>
          <w:tcPr>
            <w:tcW w:w="2835" w:type="dxa"/>
            <w:tcBorders>
              <w:top w:val="single" w:sz="4" w:space="0" w:color="auto"/>
              <w:left w:val="single" w:sz="4" w:space="0" w:color="auto"/>
              <w:bottom w:val="single" w:sz="4" w:space="0" w:color="auto"/>
              <w:right w:val="single" w:sz="4" w:space="0" w:color="auto"/>
            </w:tcBorders>
            <w:vAlign w:val="bottom"/>
          </w:tcPr>
          <w:p w14:paraId="613E8050" w14:textId="77777777" w:rsidR="007B5F50" w:rsidRPr="00767FBD" w:rsidRDefault="007B5F50" w:rsidP="00C93B01">
            <w:pPr>
              <w:ind w:left="34"/>
              <w:jc w:val="center"/>
              <w:rPr>
                <w:rFonts w:ascii="Cambria" w:hAnsi="Cambria" w:cs="Calibri"/>
                <w:sz w:val="20"/>
                <w:szCs w:val="20"/>
              </w:rPr>
            </w:pPr>
            <w:r w:rsidRPr="00767FBD">
              <w:rPr>
                <w:rFonts w:ascii="Cambria" w:hAnsi="Cambria"/>
                <w:sz w:val="20"/>
                <w:szCs w:val="20"/>
              </w:rPr>
              <w:t>0,42</w:t>
            </w:r>
          </w:p>
        </w:tc>
        <w:tc>
          <w:tcPr>
            <w:tcW w:w="2910" w:type="dxa"/>
            <w:tcBorders>
              <w:top w:val="single" w:sz="4" w:space="0" w:color="auto"/>
              <w:left w:val="single" w:sz="4" w:space="0" w:color="auto"/>
              <w:bottom w:val="single" w:sz="4" w:space="0" w:color="auto"/>
              <w:right w:val="single" w:sz="4" w:space="0" w:color="auto"/>
            </w:tcBorders>
            <w:vAlign w:val="bottom"/>
          </w:tcPr>
          <w:p w14:paraId="35CD6088" w14:textId="0FA82BF8" w:rsidR="007B5F50" w:rsidRPr="00767FBD" w:rsidRDefault="007B5F50" w:rsidP="00C93B01">
            <w:pPr>
              <w:ind w:left="34"/>
              <w:jc w:val="center"/>
              <w:rPr>
                <w:rFonts w:ascii="Cambria" w:hAnsi="Cambria"/>
                <w:sz w:val="20"/>
                <w:szCs w:val="20"/>
              </w:rPr>
            </w:pPr>
            <w:r w:rsidRPr="00767FBD">
              <w:rPr>
                <w:rFonts w:ascii="Cambria" w:hAnsi="Cambria"/>
                <w:sz w:val="20"/>
                <w:szCs w:val="20"/>
              </w:rPr>
              <w:t>0,12</w:t>
            </w:r>
            <w:r w:rsidR="0053273C" w:rsidRPr="00767FBD">
              <w:rPr>
                <w:rFonts w:ascii="Cambria" w:hAnsi="Cambria"/>
                <w:sz w:val="20"/>
                <w:szCs w:val="20"/>
                <w:lang w:val="en-GB"/>
              </w:rPr>
              <w:t>* F</w:t>
            </w:r>
            <w:r w:rsidR="0053273C" w:rsidRPr="00767FBD">
              <w:rPr>
                <w:rFonts w:ascii="Cambria" w:hAnsi="Cambria"/>
                <w:sz w:val="20"/>
                <w:szCs w:val="20"/>
                <w:vertAlign w:val="subscript"/>
                <w:lang w:val="en-GB"/>
              </w:rPr>
              <w:t>RMS</w:t>
            </w:r>
          </w:p>
        </w:tc>
      </w:tr>
      <w:tr w:rsidR="0053273C" w:rsidRPr="00767FBD" w14:paraId="3565251A" w14:textId="77777777" w:rsidTr="00C93B01">
        <w:tc>
          <w:tcPr>
            <w:tcW w:w="2835" w:type="dxa"/>
            <w:tcBorders>
              <w:top w:val="single" w:sz="4" w:space="0" w:color="auto"/>
              <w:left w:val="single" w:sz="4" w:space="0" w:color="auto"/>
              <w:bottom w:val="single" w:sz="4" w:space="0" w:color="auto"/>
              <w:right w:val="single" w:sz="4" w:space="0" w:color="auto"/>
            </w:tcBorders>
            <w:vAlign w:val="bottom"/>
          </w:tcPr>
          <w:p w14:paraId="60E60A42" w14:textId="77777777" w:rsidR="007B5F50" w:rsidRPr="00767FBD" w:rsidRDefault="007B5F50" w:rsidP="00C93B01">
            <w:pPr>
              <w:ind w:left="34"/>
              <w:jc w:val="center"/>
              <w:rPr>
                <w:rFonts w:ascii="Cambria" w:hAnsi="Cambria" w:cs="Calibri"/>
                <w:sz w:val="20"/>
                <w:szCs w:val="20"/>
              </w:rPr>
            </w:pPr>
            <w:r w:rsidRPr="00767FBD">
              <w:rPr>
                <w:rFonts w:ascii="Cambria" w:hAnsi="Cambria"/>
                <w:sz w:val="20"/>
                <w:szCs w:val="20"/>
              </w:rPr>
              <w:t>0,40</w:t>
            </w:r>
          </w:p>
        </w:tc>
        <w:tc>
          <w:tcPr>
            <w:tcW w:w="2910" w:type="dxa"/>
            <w:tcBorders>
              <w:top w:val="single" w:sz="4" w:space="0" w:color="auto"/>
              <w:left w:val="single" w:sz="4" w:space="0" w:color="auto"/>
              <w:bottom w:val="single" w:sz="4" w:space="0" w:color="auto"/>
              <w:right w:val="single" w:sz="4" w:space="0" w:color="auto"/>
            </w:tcBorders>
            <w:vAlign w:val="bottom"/>
          </w:tcPr>
          <w:p w14:paraId="74247338" w14:textId="3FE305C8" w:rsidR="007B5F50" w:rsidRPr="00767FBD" w:rsidRDefault="007B5F50" w:rsidP="00C93B01">
            <w:pPr>
              <w:ind w:left="34"/>
              <w:jc w:val="center"/>
              <w:rPr>
                <w:rFonts w:ascii="Cambria" w:hAnsi="Cambria"/>
                <w:sz w:val="20"/>
                <w:szCs w:val="20"/>
              </w:rPr>
            </w:pPr>
            <w:r w:rsidRPr="00767FBD">
              <w:rPr>
                <w:rFonts w:ascii="Cambria" w:hAnsi="Cambria"/>
                <w:sz w:val="20"/>
                <w:szCs w:val="20"/>
              </w:rPr>
              <w:t>0,10</w:t>
            </w:r>
            <w:r w:rsidRPr="00767FBD">
              <w:rPr>
                <w:rFonts w:ascii="Cambria" w:hAnsi="Cambria"/>
                <w:sz w:val="20"/>
                <w:szCs w:val="20"/>
                <w:lang w:val="en-GB"/>
              </w:rPr>
              <w:t>* F</w:t>
            </w:r>
            <w:r w:rsidRPr="00767FBD">
              <w:rPr>
                <w:rFonts w:ascii="Cambria" w:hAnsi="Cambria"/>
                <w:sz w:val="20"/>
                <w:szCs w:val="20"/>
                <w:vertAlign w:val="subscript"/>
                <w:lang w:val="en-GB"/>
              </w:rPr>
              <w:t>RMS</w:t>
            </w:r>
          </w:p>
        </w:tc>
      </w:tr>
    </w:tbl>
    <w:p w14:paraId="1DE2921A" w14:textId="3F40D990" w:rsidR="007B5F50" w:rsidRPr="00767FBD" w:rsidRDefault="007B5F50" w:rsidP="007B5F50">
      <w:pPr>
        <w:ind w:left="720"/>
        <w:jc w:val="center"/>
        <w:rPr>
          <w:rFonts w:ascii="Cambria" w:hAnsi="Cambria"/>
          <w:b/>
          <w:sz w:val="20"/>
          <w:szCs w:val="20"/>
        </w:rPr>
        <w:sectPr w:rsidR="007B5F50" w:rsidRPr="00767FBD" w:rsidSect="00B046A3">
          <w:footnotePr>
            <w:numRestart w:val="eachSect"/>
          </w:footnotePr>
          <w:pgSz w:w="11907" w:h="16840" w:code="9"/>
          <w:pgMar w:top="1418" w:right="1418" w:bottom="1418" w:left="1418" w:header="851" w:footer="1134" w:gutter="0"/>
          <w:cols w:space="708"/>
          <w:docGrid w:linePitch="360"/>
        </w:sectPr>
      </w:pPr>
    </w:p>
    <w:p w14:paraId="1B5EBEB9" w14:textId="77777777" w:rsidR="00D46B4B" w:rsidRPr="00767FBD" w:rsidRDefault="00D46B4B" w:rsidP="00D46B4B">
      <w:pPr>
        <w:spacing w:after="0" w:line="240" w:lineRule="auto"/>
        <w:jc w:val="center"/>
        <w:rPr>
          <w:rFonts w:asciiTheme="majorHAnsi" w:hAnsiTheme="majorHAnsi"/>
          <w:b/>
          <w:bCs/>
          <w:sz w:val="20"/>
          <w:szCs w:val="20"/>
        </w:rPr>
      </w:pPr>
    </w:p>
    <w:p w14:paraId="1D9979EF" w14:textId="2BFF47FE" w:rsidR="009D221B" w:rsidRPr="00767FBD" w:rsidRDefault="009D221B" w:rsidP="009D221B">
      <w:pPr>
        <w:jc w:val="right"/>
        <w:rPr>
          <w:rFonts w:asciiTheme="majorHAnsi" w:hAnsiTheme="majorHAnsi" w:cs="Cambria-Italic"/>
          <w:b/>
          <w:sz w:val="20"/>
          <w:szCs w:val="20"/>
        </w:rPr>
      </w:pPr>
      <w:r w:rsidRPr="00767FBD">
        <w:rPr>
          <w:rFonts w:asciiTheme="majorHAnsi" w:hAnsiTheme="majorHAnsi" w:cs="Cambria-Italic"/>
          <w:b/>
          <w:sz w:val="20"/>
          <w:szCs w:val="20"/>
        </w:rPr>
        <w:t xml:space="preserve">Anexo </w:t>
      </w:r>
      <w:r w:rsidR="00CD49D1" w:rsidRPr="00767FBD">
        <w:rPr>
          <w:rFonts w:asciiTheme="majorHAnsi" w:hAnsiTheme="majorHAnsi" w:cs="Cambria-Italic"/>
          <w:b/>
          <w:sz w:val="20"/>
          <w:szCs w:val="20"/>
        </w:rPr>
        <w:t>2</w:t>
      </w:r>
    </w:p>
    <w:p w14:paraId="1CC78CC3" w14:textId="5E88F434" w:rsidR="00D46B4B" w:rsidRPr="00767FBD" w:rsidRDefault="00D46B4B" w:rsidP="00A86C3A">
      <w:pPr>
        <w:jc w:val="center"/>
        <w:rPr>
          <w:rFonts w:asciiTheme="majorHAnsi" w:eastAsia="Times New Roman" w:hAnsiTheme="majorHAnsi" w:cs="Times New Roman"/>
          <w:b/>
          <w:bCs/>
          <w:sz w:val="20"/>
          <w:szCs w:val="20"/>
        </w:rPr>
      </w:pPr>
      <w:r w:rsidRPr="00767FBD">
        <w:rPr>
          <w:rFonts w:asciiTheme="majorHAnsi" w:hAnsiTheme="majorHAnsi"/>
          <w:b/>
          <w:bCs/>
          <w:sz w:val="20"/>
          <w:szCs w:val="20"/>
        </w:rPr>
        <w:t>P</w:t>
      </w:r>
      <w:r w:rsidR="00A86C3A" w:rsidRPr="00767FBD">
        <w:rPr>
          <w:rFonts w:asciiTheme="majorHAnsi" w:hAnsiTheme="majorHAnsi"/>
          <w:b/>
          <w:bCs/>
          <w:sz w:val="20"/>
          <w:szCs w:val="20"/>
        </w:rPr>
        <w:t xml:space="preserve">rotocolo de circunstancias excepcionales para el atún blanco del </w:t>
      </w:r>
      <w:r w:rsidRPr="00767FBD">
        <w:rPr>
          <w:rFonts w:asciiTheme="majorHAnsi" w:hAnsiTheme="majorHAnsi"/>
          <w:b/>
          <w:bCs/>
          <w:sz w:val="20"/>
          <w:szCs w:val="20"/>
        </w:rPr>
        <w:t>A</w:t>
      </w:r>
      <w:r w:rsidR="00A86C3A" w:rsidRPr="00767FBD">
        <w:rPr>
          <w:rFonts w:asciiTheme="majorHAnsi" w:hAnsiTheme="majorHAnsi"/>
          <w:b/>
          <w:bCs/>
          <w:sz w:val="20"/>
          <w:szCs w:val="20"/>
        </w:rPr>
        <w:t>tlántico norte</w:t>
      </w:r>
    </w:p>
    <w:p w14:paraId="6DA53794" w14:textId="77777777" w:rsidR="00D46B4B" w:rsidRPr="00767FBD" w:rsidRDefault="00D46B4B" w:rsidP="00D46B4B">
      <w:pPr>
        <w:spacing w:after="0" w:line="240" w:lineRule="auto"/>
        <w:jc w:val="center"/>
        <w:rPr>
          <w:rFonts w:asciiTheme="majorHAnsi" w:eastAsia="Times New Roman" w:hAnsiTheme="majorHAnsi" w:cs="Times New Roman"/>
          <w:b/>
          <w:bCs/>
          <w:sz w:val="20"/>
          <w:szCs w:val="20"/>
          <w:lang w:eastAsia="en-CA"/>
        </w:rPr>
      </w:pPr>
    </w:p>
    <w:p w14:paraId="76521CFA" w14:textId="77777777" w:rsidR="00D46B4B" w:rsidRPr="00767FBD" w:rsidRDefault="00D46B4B" w:rsidP="00D46B4B">
      <w:pPr>
        <w:pStyle w:val="ListParagraph"/>
        <w:numPr>
          <w:ilvl w:val="0"/>
          <w:numId w:val="20"/>
        </w:numPr>
        <w:spacing w:after="0" w:line="240" w:lineRule="auto"/>
        <w:ind w:left="426" w:hanging="426"/>
        <w:rPr>
          <w:rFonts w:asciiTheme="majorHAnsi" w:eastAsia="Times New Roman" w:hAnsiTheme="majorHAnsi" w:cs="Times New Roman"/>
          <w:b/>
          <w:bCs/>
          <w:sz w:val="20"/>
          <w:szCs w:val="20"/>
        </w:rPr>
      </w:pPr>
      <w:r w:rsidRPr="00767FBD">
        <w:rPr>
          <w:rFonts w:asciiTheme="majorHAnsi" w:hAnsiTheme="majorHAnsi"/>
          <w:b/>
          <w:bCs/>
          <w:sz w:val="20"/>
          <w:szCs w:val="20"/>
        </w:rPr>
        <w:t>Principios de las circunstancias excepcionales</w:t>
      </w:r>
    </w:p>
    <w:p w14:paraId="5D207699" w14:textId="77777777" w:rsidR="009D221B" w:rsidRPr="00767FBD" w:rsidRDefault="009D221B" w:rsidP="00D46B4B">
      <w:pPr>
        <w:pStyle w:val="ListParagraph"/>
        <w:spacing w:after="0" w:line="240" w:lineRule="auto"/>
        <w:ind w:left="0"/>
        <w:jc w:val="both"/>
        <w:rPr>
          <w:rFonts w:asciiTheme="majorHAnsi" w:hAnsiTheme="majorHAnsi"/>
          <w:sz w:val="20"/>
          <w:szCs w:val="20"/>
        </w:rPr>
      </w:pPr>
    </w:p>
    <w:p w14:paraId="472E9888" w14:textId="273CA8B2" w:rsidR="00D46B4B" w:rsidRPr="00767FBD" w:rsidRDefault="00D46B4B" w:rsidP="00D46B4B">
      <w:pPr>
        <w:pStyle w:val="ListParagraph"/>
        <w:spacing w:after="0" w:line="240" w:lineRule="auto"/>
        <w:ind w:left="0"/>
        <w:jc w:val="both"/>
        <w:rPr>
          <w:rFonts w:asciiTheme="majorHAnsi" w:eastAsia="Times New Roman" w:hAnsiTheme="majorHAnsi" w:cs="Times New Roman"/>
          <w:sz w:val="20"/>
          <w:szCs w:val="20"/>
        </w:rPr>
      </w:pPr>
      <w:r w:rsidRPr="00767FBD">
        <w:rPr>
          <w:rFonts w:asciiTheme="majorHAnsi" w:hAnsiTheme="majorHAnsi"/>
          <w:sz w:val="20"/>
          <w:szCs w:val="20"/>
        </w:rPr>
        <w:t xml:space="preserve">Los tres principios generales siguientes deberían considerarse una señal de la posibilidad de que existan circunstancias excepcionales (EC): </w:t>
      </w:r>
    </w:p>
    <w:p w14:paraId="619E8108" w14:textId="77777777" w:rsidR="00D46B4B" w:rsidRPr="00767FBD" w:rsidRDefault="00D46B4B" w:rsidP="00D46B4B">
      <w:pPr>
        <w:pStyle w:val="ListParagraph"/>
        <w:spacing w:after="0" w:line="240" w:lineRule="auto"/>
        <w:jc w:val="both"/>
        <w:rPr>
          <w:rFonts w:asciiTheme="majorHAnsi" w:eastAsia="Times New Roman" w:hAnsiTheme="majorHAnsi" w:cs="Times New Roman"/>
          <w:sz w:val="20"/>
          <w:szCs w:val="20"/>
          <w:lang w:eastAsia="en-CA"/>
        </w:rPr>
      </w:pPr>
    </w:p>
    <w:p w14:paraId="18C8F1C4" w14:textId="64CE528B" w:rsidR="00D46B4B" w:rsidRPr="00767FBD" w:rsidRDefault="00A86C3A" w:rsidP="007B5F50">
      <w:pPr>
        <w:pStyle w:val="ListParagraph"/>
        <w:numPr>
          <w:ilvl w:val="3"/>
          <w:numId w:val="35"/>
        </w:numPr>
        <w:spacing w:after="0" w:line="240" w:lineRule="auto"/>
        <w:ind w:left="426"/>
        <w:jc w:val="both"/>
        <w:rPr>
          <w:rFonts w:asciiTheme="majorHAnsi" w:eastAsia="Times New Roman" w:hAnsiTheme="majorHAnsi" w:cs="Times New Roman"/>
          <w:sz w:val="20"/>
          <w:szCs w:val="20"/>
        </w:rPr>
      </w:pPr>
      <w:r w:rsidRPr="00767FBD">
        <w:rPr>
          <w:rFonts w:asciiTheme="majorHAnsi" w:hAnsiTheme="majorHAnsi"/>
          <w:sz w:val="20"/>
          <w:szCs w:val="20"/>
        </w:rPr>
        <w:t>c</w:t>
      </w:r>
      <w:r w:rsidR="00D46B4B" w:rsidRPr="00767FBD">
        <w:rPr>
          <w:rFonts w:asciiTheme="majorHAnsi" w:hAnsiTheme="majorHAnsi"/>
          <w:sz w:val="20"/>
          <w:szCs w:val="20"/>
        </w:rPr>
        <w:t xml:space="preserve">uando existan pruebas de que el stock se encuentra en un estado que no se consideraba plausible previamente en el contexto de la evaluación de la estrategia de ordenación (MSE); </w:t>
      </w:r>
    </w:p>
    <w:p w14:paraId="6FEFA838" w14:textId="77777777" w:rsidR="00D46B4B" w:rsidRPr="00767FBD" w:rsidRDefault="00D46B4B" w:rsidP="00D46B4B">
      <w:pPr>
        <w:pStyle w:val="ListParagraph"/>
        <w:spacing w:after="0" w:line="240" w:lineRule="auto"/>
        <w:ind w:left="1080"/>
        <w:jc w:val="both"/>
        <w:rPr>
          <w:rFonts w:asciiTheme="majorHAnsi" w:eastAsia="Times New Roman" w:hAnsiTheme="majorHAnsi" w:cs="Times New Roman"/>
          <w:sz w:val="20"/>
          <w:szCs w:val="20"/>
          <w:lang w:eastAsia="en-CA"/>
        </w:rPr>
      </w:pPr>
    </w:p>
    <w:p w14:paraId="58155923" w14:textId="1D7E63BC" w:rsidR="00D46B4B" w:rsidRPr="00767FBD" w:rsidRDefault="00A86C3A" w:rsidP="007B5F50">
      <w:pPr>
        <w:pStyle w:val="ListParagraph"/>
        <w:numPr>
          <w:ilvl w:val="3"/>
          <w:numId w:val="35"/>
        </w:numPr>
        <w:spacing w:after="0" w:line="240" w:lineRule="auto"/>
        <w:ind w:left="426"/>
        <w:jc w:val="both"/>
        <w:rPr>
          <w:rFonts w:asciiTheme="majorHAnsi" w:eastAsia="Times New Roman" w:hAnsiTheme="majorHAnsi" w:cs="Times New Roman"/>
          <w:sz w:val="20"/>
          <w:szCs w:val="20"/>
        </w:rPr>
      </w:pPr>
      <w:r w:rsidRPr="00767FBD">
        <w:rPr>
          <w:rFonts w:asciiTheme="majorHAnsi" w:hAnsiTheme="majorHAnsi"/>
          <w:sz w:val="20"/>
          <w:szCs w:val="20"/>
        </w:rPr>
        <w:t>c</w:t>
      </w:r>
      <w:r w:rsidR="00D46B4B" w:rsidRPr="00767FBD">
        <w:rPr>
          <w:rFonts w:asciiTheme="majorHAnsi" w:hAnsiTheme="majorHAnsi"/>
          <w:sz w:val="20"/>
          <w:szCs w:val="20"/>
        </w:rPr>
        <w:t xml:space="preserve">uando existan pruebas de que no están disponibles los datos requeridos para aplicar el procedimiento de ordenación (MP) o de que estos ya no son apropiados y/o </w:t>
      </w:r>
    </w:p>
    <w:p w14:paraId="46098A07" w14:textId="77777777" w:rsidR="00D46B4B" w:rsidRPr="00767FBD" w:rsidRDefault="00D46B4B" w:rsidP="00D46B4B">
      <w:pPr>
        <w:pStyle w:val="ListParagraph"/>
        <w:spacing w:after="0" w:line="240" w:lineRule="auto"/>
        <w:jc w:val="both"/>
        <w:rPr>
          <w:rFonts w:asciiTheme="majorHAnsi" w:eastAsia="Times New Roman" w:hAnsiTheme="majorHAnsi" w:cs="Times New Roman"/>
          <w:sz w:val="20"/>
          <w:szCs w:val="20"/>
          <w:lang w:eastAsia="en-CA"/>
        </w:rPr>
      </w:pPr>
    </w:p>
    <w:p w14:paraId="7701011C" w14:textId="608403AD" w:rsidR="00D46B4B" w:rsidRPr="00767FBD" w:rsidRDefault="00A86C3A" w:rsidP="007B5F50">
      <w:pPr>
        <w:pStyle w:val="ListParagraph"/>
        <w:numPr>
          <w:ilvl w:val="3"/>
          <w:numId w:val="35"/>
        </w:numPr>
        <w:spacing w:after="0" w:line="240" w:lineRule="auto"/>
        <w:ind w:left="426"/>
        <w:jc w:val="both"/>
        <w:rPr>
          <w:rFonts w:asciiTheme="majorHAnsi" w:eastAsia="Times New Roman" w:hAnsiTheme="majorHAnsi" w:cs="Times New Roman"/>
          <w:b/>
          <w:bCs/>
          <w:sz w:val="20"/>
          <w:szCs w:val="20"/>
          <w:lang w:eastAsia="en-CA"/>
        </w:rPr>
      </w:pPr>
      <w:r w:rsidRPr="00767FBD">
        <w:rPr>
          <w:rFonts w:asciiTheme="majorHAnsi" w:hAnsiTheme="majorHAnsi"/>
          <w:sz w:val="20"/>
          <w:szCs w:val="20"/>
        </w:rPr>
        <w:t>c</w:t>
      </w:r>
      <w:r w:rsidR="00D46B4B" w:rsidRPr="00767FBD">
        <w:rPr>
          <w:rFonts w:asciiTheme="majorHAnsi" w:hAnsiTheme="majorHAnsi"/>
          <w:sz w:val="20"/>
          <w:szCs w:val="20"/>
        </w:rPr>
        <w:t>uando existan pruebas de que el total de capturas supera el TAC fijado mediante el MP.</w:t>
      </w:r>
    </w:p>
    <w:p w14:paraId="7C9495D1" w14:textId="77777777" w:rsidR="00D46B4B" w:rsidRPr="00767FBD" w:rsidRDefault="00D46B4B" w:rsidP="00D46B4B">
      <w:pPr>
        <w:pStyle w:val="ListParagraph"/>
        <w:rPr>
          <w:rFonts w:asciiTheme="majorHAnsi" w:eastAsia="Times New Roman" w:hAnsiTheme="majorHAnsi" w:cs="Times New Roman"/>
          <w:b/>
          <w:bCs/>
          <w:sz w:val="20"/>
          <w:szCs w:val="20"/>
          <w:lang w:eastAsia="en-CA"/>
        </w:rPr>
      </w:pPr>
    </w:p>
    <w:p w14:paraId="6B445C7F" w14:textId="77777777" w:rsidR="00D46B4B" w:rsidRPr="00767FBD" w:rsidRDefault="00D46B4B" w:rsidP="00D46B4B">
      <w:pPr>
        <w:pStyle w:val="ListParagraph"/>
        <w:spacing w:after="0" w:line="240" w:lineRule="auto"/>
        <w:ind w:left="426"/>
        <w:jc w:val="both"/>
        <w:rPr>
          <w:rFonts w:asciiTheme="majorHAnsi" w:eastAsia="Times New Roman" w:hAnsiTheme="majorHAnsi" w:cs="Times New Roman"/>
          <w:b/>
          <w:bCs/>
          <w:sz w:val="20"/>
          <w:szCs w:val="20"/>
          <w:lang w:eastAsia="en-CA"/>
        </w:rPr>
      </w:pPr>
    </w:p>
    <w:p w14:paraId="389D71CB" w14:textId="77777777" w:rsidR="00D46B4B" w:rsidRPr="00767FBD" w:rsidRDefault="00D46B4B" w:rsidP="00D46B4B">
      <w:pPr>
        <w:pStyle w:val="ListParagraph"/>
        <w:numPr>
          <w:ilvl w:val="0"/>
          <w:numId w:val="20"/>
        </w:numPr>
        <w:spacing w:after="0" w:line="240" w:lineRule="auto"/>
        <w:ind w:left="426" w:hanging="426"/>
        <w:rPr>
          <w:rFonts w:asciiTheme="majorHAnsi" w:eastAsia="Times New Roman" w:hAnsiTheme="majorHAnsi" w:cs="Times New Roman"/>
          <w:b/>
          <w:bCs/>
          <w:sz w:val="20"/>
          <w:szCs w:val="20"/>
        </w:rPr>
      </w:pPr>
      <w:r w:rsidRPr="00767FBD">
        <w:rPr>
          <w:rFonts w:asciiTheme="majorHAnsi" w:hAnsiTheme="majorHAnsi"/>
          <w:b/>
          <w:bCs/>
          <w:sz w:val="20"/>
          <w:szCs w:val="20"/>
        </w:rPr>
        <w:t>Indicadores para las EC</w:t>
      </w:r>
    </w:p>
    <w:p w14:paraId="0B2343C1" w14:textId="4E15E808" w:rsidR="00D46B4B" w:rsidRPr="00767FBD" w:rsidRDefault="00D46B4B" w:rsidP="00D46B4B">
      <w:pPr>
        <w:pStyle w:val="ListParagraph"/>
        <w:spacing w:after="0" w:line="240" w:lineRule="auto"/>
        <w:ind w:left="0"/>
        <w:jc w:val="both"/>
        <w:rPr>
          <w:rFonts w:asciiTheme="majorHAnsi" w:eastAsia="Times New Roman" w:hAnsiTheme="majorHAnsi" w:cs="Times New Roman"/>
          <w:sz w:val="20"/>
          <w:szCs w:val="20"/>
        </w:rPr>
      </w:pPr>
      <w:r w:rsidRPr="00767FBD">
        <w:rPr>
          <w:rFonts w:asciiTheme="majorHAnsi" w:hAnsiTheme="majorHAnsi"/>
          <w:b/>
          <w:bCs/>
          <w:sz w:val="20"/>
          <w:szCs w:val="20"/>
        </w:rPr>
        <w:br/>
      </w:r>
      <w:r w:rsidRPr="00767FBD">
        <w:rPr>
          <w:rFonts w:asciiTheme="majorHAnsi" w:hAnsiTheme="majorHAnsi"/>
          <w:sz w:val="20"/>
          <w:szCs w:val="20"/>
        </w:rPr>
        <w:t>Teniendo en cuenta los principios especificados en la sección 1, el SCRS debería utilizar la siguiente tabla para determinar si existen EC.</w:t>
      </w:r>
      <w:r w:rsidRPr="00767FBD">
        <w:rPr>
          <w:sz w:val="20"/>
          <w:szCs w:val="20"/>
        </w:rPr>
        <w:t xml:space="preserve"> </w:t>
      </w:r>
      <w:r w:rsidRPr="00767FBD">
        <w:rPr>
          <w:rFonts w:asciiTheme="majorHAnsi" w:hAnsiTheme="majorHAnsi"/>
          <w:sz w:val="20"/>
          <w:szCs w:val="20"/>
        </w:rPr>
        <w:t xml:space="preserve">El hecho de que se produzca una EC no implica la </w:t>
      </w:r>
      <w:r w:rsidR="009D221B" w:rsidRPr="00767FBD">
        <w:rPr>
          <w:rFonts w:asciiTheme="majorHAnsi" w:hAnsiTheme="majorHAnsi"/>
          <w:sz w:val="20"/>
          <w:szCs w:val="20"/>
        </w:rPr>
        <w:t>rescisión</w:t>
      </w:r>
      <w:r w:rsidRPr="00767FBD">
        <w:rPr>
          <w:rFonts w:asciiTheme="majorHAnsi" w:hAnsiTheme="majorHAnsi"/>
          <w:sz w:val="20"/>
          <w:szCs w:val="20"/>
        </w:rPr>
        <w:t xml:space="preserve"> inmediata del asesoramiento sobre el TAC procedente del MP, </w:t>
      </w:r>
      <w:r w:rsidR="00A61F38" w:rsidRPr="00767FBD">
        <w:rPr>
          <w:rFonts w:asciiTheme="majorHAnsi" w:hAnsiTheme="majorHAnsi"/>
          <w:sz w:val="20"/>
          <w:szCs w:val="20"/>
        </w:rPr>
        <w:t>sino que</w:t>
      </w:r>
      <w:r w:rsidR="007B5F50" w:rsidRPr="00767FBD">
        <w:rPr>
          <w:rFonts w:asciiTheme="majorHAnsi" w:hAnsiTheme="majorHAnsi"/>
          <w:sz w:val="20"/>
          <w:szCs w:val="20"/>
        </w:rPr>
        <w:t xml:space="preserve"> significa</w:t>
      </w:r>
      <w:r w:rsidRPr="00767FBD">
        <w:rPr>
          <w:rFonts w:asciiTheme="majorHAnsi" w:hAnsiTheme="majorHAnsi"/>
          <w:sz w:val="20"/>
          <w:szCs w:val="20"/>
        </w:rPr>
        <w:t xml:space="preserve"> que el SCRS </w:t>
      </w:r>
      <w:r w:rsidR="007B5F50" w:rsidRPr="00767FBD">
        <w:rPr>
          <w:rFonts w:asciiTheme="majorHAnsi" w:hAnsiTheme="majorHAnsi"/>
          <w:sz w:val="20"/>
          <w:szCs w:val="20"/>
        </w:rPr>
        <w:t>tiene</w:t>
      </w:r>
      <w:r w:rsidRPr="00767FBD">
        <w:rPr>
          <w:rFonts w:asciiTheme="majorHAnsi" w:hAnsiTheme="majorHAnsi"/>
          <w:sz w:val="20"/>
          <w:szCs w:val="20"/>
        </w:rPr>
        <w:t xml:space="preserve"> que examinar los indicadores y determinar si se justifica un cambio en el asesoramiento.</w:t>
      </w:r>
    </w:p>
    <w:p w14:paraId="62EAEFC5" w14:textId="77777777" w:rsidR="00D46B4B" w:rsidRPr="00767FBD" w:rsidRDefault="00D46B4B" w:rsidP="00D46B4B">
      <w:pPr>
        <w:jc w:val="both"/>
        <w:rPr>
          <w:rFonts w:asciiTheme="majorHAnsi" w:eastAsia="Times New Roman" w:hAnsiTheme="majorHAnsi" w:cs="Times New Roman"/>
          <w:sz w:val="20"/>
          <w:szCs w:val="20"/>
        </w:rPr>
      </w:pPr>
      <w:r w:rsidRPr="00767FBD">
        <w:rPr>
          <w:sz w:val="20"/>
          <w:szCs w:val="20"/>
        </w:rPr>
        <w:br w:type="page"/>
      </w:r>
    </w:p>
    <w:p w14:paraId="69FD3C4B" w14:textId="77777777" w:rsidR="00D46B4B" w:rsidRPr="00767FBD" w:rsidRDefault="00D46B4B" w:rsidP="00D46B4B">
      <w:pPr>
        <w:spacing w:after="0" w:line="240" w:lineRule="auto"/>
        <w:rPr>
          <w:rFonts w:asciiTheme="majorHAnsi" w:eastAsia="Times New Roman" w:hAnsiTheme="majorHAnsi" w:cs="Times New Roman"/>
          <w:b/>
          <w:bCs/>
          <w:sz w:val="20"/>
          <w:szCs w:val="20"/>
          <w:lang w:eastAsia="en-CA"/>
        </w:rPr>
        <w:sectPr w:rsidR="00D46B4B" w:rsidRPr="00767FBD" w:rsidSect="008F703B">
          <w:pgSz w:w="11907" w:h="16840" w:code="9"/>
          <w:pgMar w:top="1418" w:right="1418" w:bottom="1418" w:left="1418" w:header="851" w:footer="1134" w:gutter="0"/>
          <w:cols w:space="708"/>
          <w:docGrid w:linePitch="360"/>
        </w:sectPr>
      </w:pPr>
    </w:p>
    <w:tbl>
      <w:tblPr>
        <w:tblStyle w:val="TableGrid"/>
        <w:tblpPr w:leftFromText="142" w:rightFromText="142" w:vertAnchor="page" w:horzAnchor="margin" w:tblpXSpec="center" w:tblpY="1821"/>
        <w:tblW w:w="13745" w:type="dxa"/>
        <w:tblLook w:val="04A0" w:firstRow="1" w:lastRow="0" w:firstColumn="1" w:lastColumn="0" w:noHBand="0" w:noVBand="1"/>
      </w:tblPr>
      <w:tblGrid>
        <w:gridCol w:w="1613"/>
        <w:gridCol w:w="2635"/>
        <w:gridCol w:w="5528"/>
        <w:gridCol w:w="3969"/>
      </w:tblGrid>
      <w:tr w:rsidR="0035444C" w:rsidRPr="00767FBD" w14:paraId="6D327EEF" w14:textId="77777777" w:rsidTr="00716C95">
        <w:trPr>
          <w:trHeight w:val="557"/>
        </w:trPr>
        <w:tc>
          <w:tcPr>
            <w:tcW w:w="1613" w:type="dxa"/>
            <w:vAlign w:val="center"/>
          </w:tcPr>
          <w:p w14:paraId="32FF0062" w14:textId="77777777" w:rsidR="00D46B4B" w:rsidRPr="00767FBD" w:rsidRDefault="00D46B4B" w:rsidP="00C93B01">
            <w:pPr>
              <w:jc w:val="center"/>
              <w:rPr>
                <w:rFonts w:asciiTheme="majorHAnsi" w:hAnsiTheme="majorHAnsi"/>
                <w:b/>
                <w:bCs/>
                <w:i/>
                <w:iCs/>
                <w:sz w:val="20"/>
                <w:szCs w:val="20"/>
              </w:rPr>
            </w:pPr>
            <w:r w:rsidRPr="00767FBD">
              <w:rPr>
                <w:rFonts w:asciiTheme="majorHAnsi" w:hAnsiTheme="majorHAnsi"/>
                <w:b/>
                <w:bCs/>
                <w:i/>
                <w:iCs/>
                <w:sz w:val="20"/>
                <w:szCs w:val="20"/>
              </w:rPr>
              <w:lastRenderedPageBreak/>
              <w:t>Principio</w:t>
            </w:r>
          </w:p>
        </w:tc>
        <w:tc>
          <w:tcPr>
            <w:tcW w:w="2635" w:type="dxa"/>
            <w:vAlign w:val="center"/>
          </w:tcPr>
          <w:p w14:paraId="7BBE8218" w14:textId="77777777" w:rsidR="00D46B4B" w:rsidRPr="00767FBD" w:rsidRDefault="00D46B4B" w:rsidP="00C93B01">
            <w:pPr>
              <w:jc w:val="center"/>
              <w:rPr>
                <w:rFonts w:asciiTheme="majorHAnsi" w:hAnsiTheme="majorHAnsi"/>
                <w:b/>
                <w:bCs/>
                <w:i/>
                <w:iCs/>
                <w:sz w:val="20"/>
                <w:szCs w:val="20"/>
              </w:rPr>
            </w:pPr>
            <w:r w:rsidRPr="00767FBD">
              <w:rPr>
                <w:rFonts w:asciiTheme="majorHAnsi" w:hAnsiTheme="majorHAnsi"/>
                <w:b/>
                <w:bCs/>
                <w:i/>
                <w:iCs/>
                <w:sz w:val="20"/>
                <w:szCs w:val="20"/>
              </w:rPr>
              <w:t>Indicador</w:t>
            </w:r>
          </w:p>
        </w:tc>
        <w:tc>
          <w:tcPr>
            <w:tcW w:w="5528" w:type="dxa"/>
            <w:vAlign w:val="center"/>
          </w:tcPr>
          <w:p w14:paraId="5691D265" w14:textId="77777777" w:rsidR="00D46B4B" w:rsidRPr="00767FBD" w:rsidRDefault="00D46B4B" w:rsidP="00C93B01">
            <w:pPr>
              <w:jc w:val="center"/>
              <w:rPr>
                <w:rFonts w:asciiTheme="majorHAnsi" w:hAnsiTheme="majorHAnsi"/>
                <w:b/>
                <w:bCs/>
                <w:i/>
                <w:iCs/>
                <w:sz w:val="20"/>
                <w:szCs w:val="20"/>
              </w:rPr>
            </w:pPr>
            <w:r w:rsidRPr="00767FBD">
              <w:rPr>
                <w:rFonts w:asciiTheme="majorHAnsi" w:hAnsiTheme="majorHAnsi"/>
                <w:b/>
                <w:bCs/>
                <w:i/>
                <w:iCs/>
                <w:sz w:val="20"/>
                <w:szCs w:val="20"/>
              </w:rPr>
              <w:t>Criterio</w:t>
            </w:r>
          </w:p>
        </w:tc>
        <w:tc>
          <w:tcPr>
            <w:tcW w:w="3969" w:type="dxa"/>
            <w:vAlign w:val="center"/>
          </w:tcPr>
          <w:p w14:paraId="33415A50" w14:textId="77777777" w:rsidR="00D46B4B" w:rsidRPr="00767FBD" w:rsidRDefault="00D46B4B" w:rsidP="00C93B01">
            <w:pPr>
              <w:jc w:val="center"/>
              <w:rPr>
                <w:rFonts w:asciiTheme="majorHAnsi" w:hAnsiTheme="majorHAnsi"/>
                <w:b/>
                <w:bCs/>
                <w:i/>
                <w:iCs/>
                <w:sz w:val="20"/>
                <w:szCs w:val="20"/>
              </w:rPr>
            </w:pPr>
            <w:r w:rsidRPr="00767FBD">
              <w:rPr>
                <w:rFonts w:asciiTheme="majorHAnsi" w:hAnsiTheme="majorHAnsi"/>
                <w:b/>
                <w:bCs/>
                <w:i/>
                <w:iCs/>
                <w:sz w:val="20"/>
                <w:szCs w:val="20"/>
              </w:rPr>
              <w:t>Frecuencia de evaluación de circunstancias excepcionales</w:t>
            </w:r>
          </w:p>
        </w:tc>
      </w:tr>
      <w:tr w:rsidR="0035444C" w:rsidRPr="00767FBD" w14:paraId="2BDBE482" w14:textId="77777777" w:rsidTr="00716C95">
        <w:trPr>
          <w:trHeight w:val="225"/>
        </w:trPr>
        <w:tc>
          <w:tcPr>
            <w:tcW w:w="1613" w:type="dxa"/>
            <w:vMerge w:val="restart"/>
            <w:vAlign w:val="center"/>
          </w:tcPr>
          <w:p w14:paraId="453C88CA" w14:textId="77777777" w:rsidR="00D46B4B" w:rsidRPr="00767FBD" w:rsidRDefault="00D46B4B" w:rsidP="00C93B01">
            <w:pPr>
              <w:rPr>
                <w:rFonts w:asciiTheme="majorHAnsi" w:hAnsiTheme="majorHAnsi"/>
                <w:sz w:val="20"/>
                <w:szCs w:val="20"/>
              </w:rPr>
            </w:pPr>
            <w:r w:rsidRPr="00767FBD">
              <w:rPr>
                <w:rFonts w:asciiTheme="majorHAnsi" w:hAnsiTheme="majorHAnsi"/>
                <w:sz w:val="20"/>
                <w:szCs w:val="20"/>
              </w:rPr>
              <w:t>a. Dinámica del stock</w:t>
            </w:r>
          </w:p>
        </w:tc>
        <w:tc>
          <w:tcPr>
            <w:tcW w:w="2635" w:type="dxa"/>
            <w:vAlign w:val="center"/>
          </w:tcPr>
          <w:p w14:paraId="3E5891DD" w14:textId="77777777" w:rsidR="00D46B4B" w:rsidRPr="00767FBD" w:rsidRDefault="00D46B4B" w:rsidP="00C93B01">
            <w:pPr>
              <w:pStyle w:val="Default"/>
              <w:jc w:val="both"/>
              <w:rPr>
                <w:rFonts w:asciiTheme="majorHAnsi" w:hAnsiTheme="majorHAnsi"/>
                <w:color w:val="auto"/>
                <w:sz w:val="20"/>
                <w:szCs w:val="20"/>
              </w:rPr>
            </w:pPr>
            <w:r w:rsidRPr="00767FBD">
              <w:rPr>
                <w:rFonts w:asciiTheme="majorHAnsi" w:hAnsiTheme="majorHAnsi"/>
                <w:color w:val="auto"/>
                <w:sz w:val="20"/>
                <w:szCs w:val="20"/>
              </w:rPr>
              <w:t>Biomasa relativa del stock (B/B</w:t>
            </w:r>
            <w:r w:rsidRPr="00767FBD">
              <w:rPr>
                <w:rFonts w:asciiTheme="majorHAnsi" w:hAnsiTheme="majorHAnsi"/>
                <w:color w:val="auto"/>
                <w:sz w:val="20"/>
                <w:szCs w:val="20"/>
                <w:vertAlign w:val="subscript"/>
              </w:rPr>
              <w:t>RMS</w:t>
            </w:r>
            <w:r w:rsidRPr="00767FBD">
              <w:rPr>
                <w:rFonts w:asciiTheme="majorHAnsi" w:hAnsiTheme="majorHAnsi"/>
                <w:color w:val="auto"/>
                <w:sz w:val="20"/>
                <w:szCs w:val="20"/>
              </w:rPr>
              <w:t>)</w:t>
            </w:r>
            <w:r w:rsidRPr="00767FBD">
              <w:rPr>
                <w:rStyle w:val="FootnoteReference"/>
                <w:rFonts w:asciiTheme="majorHAnsi" w:hAnsiTheme="majorHAnsi"/>
                <w:color w:val="auto"/>
                <w:sz w:val="20"/>
                <w:szCs w:val="20"/>
              </w:rPr>
              <w:footnoteReference w:id="1"/>
            </w:r>
          </w:p>
        </w:tc>
        <w:tc>
          <w:tcPr>
            <w:tcW w:w="5528" w:type="dxa"/>
            <w:vMerge w:val="restart"/>
            <w:vAlign w:val="center"/>
          </w:tcPr>
          <w:p w14:paraId="66E09503" w14:textId="5D40748E" w:rsidR="00D46B4B" w:rsidRPr="00767FBD" w:rsidRDefault="00D46B4B" w:rsidP="00C93B01">
            <w:pPr>
              <w:pStyle w:val="Default"/>
              <w:jc w:val="both"/>
              <w:rPr>
                <w:rFonts w:asciiTheme="majorHAnsi" w:hAnsiTheme="majorHAnsi"/>
                <w:color w:val="auto"/>
                <w:sz w:val="20"/>
                <w:szCs w:val="20"/>
              </w:rPr>
            </w:pPr>
            <w:r w:rsidRPr="00767FBD">
              <w:rPr>
                <w:rFonts w:asciiTheme="majorHAnsi" w:hAnsiTheme="majorHAnsi"/>
                <w:color w:val="auto"/>
                <w:sz w:val="20"/>
                <w:szCs w:val="20"/>
              </w:rPr>
              <w:t xml:space="preserve">Queda fuera del rango de percentiles de </w:t>
            </w:r>
            <w:r w:rsidR="00A714F7" w:rsidRPr="00767FBD">
              <w:rPr>
                <w:rFonts w:asciiTheme="majorHAnsi" w:hAnsiTheme="majorHAnsi"/>
                <w:color w:val="auto"/>
                <w:sz w:val="20"/>
                <w:szCs w:val="20"/>
              </w:rPr>
              <w:t xml:space="preserve">valores del </w:t>
            </w:r>
            <w:r w:rsidRPr="00767FBD">
              <w:rPr>
                <w:rFonts w:asciiTheme="majorHAnsi" w:hAnsiTheme="majorHAnsi"/>
                <w:color w:val="auto"/>
                <w:sz w:val="20"/>
                <w:szCs w:val="20"/>
              </w:rPr>
              <w:t>2,5 % al 97,5</w:t>
            </w:r>
            <w:r w:rsidR="00A86C3A" w:rsidRPr="00767FBD">
              <w:rPr>
                <w:rFonts w:asciiTheme="majorHAnsi" w:hAnsiTheme="majorHAnsi"/>
                <w:color w:val="auto"/>
                <w:sz w:val="20"/>
                <w:szCs w:val="20"/>
              </w:rPr>
              <w:t xml:space="preserve"> </w:t>
            </w:r>
            <w:r w:rsidRPr="00767FBD">
              <w:rPr>
                <w:rFonts w:asciiTheme="majorHAnsi" w:hAnsiTheme="majorHAnsi"/>
                <w:color w:val="auto"/>
                <w:sz w:val="20"/>
                <w:szCs w:val="20"/>
              </w:rPr>
              <w:t xml:space="preserve">% </w:t>
            </w:r>
            <w:r w:rsidR="00A714F7" w:rsidRPr="00767FBD">
              <w:rPr>
                <w:rFonts w:asciiTheme="majorHAnsi" w:hAnsiTheme="majorHAnsi"/>
                <w:color w:val="auto"/>
                <w:sz w:val="20"/>
                <w:szCs w:val="20"/>
              </w:rPr>
              <w:t>en</w:t>
            </w:r>
            <w:r w:rsidRPr="00767FBD">
              <w:rPr>
                <w:rFonts w:asciiTheme="majorHAnsi" w:hAnsiTheme="majorHAnsi"/>
                <w:color w:val="auto"/>
                <w:sz w:val="20"/>
                <w:szCs w:val="20"/>
              </w:rPr>
              <w:t xml:space="preserve"> cualquier año obtenidos a partir de los OM utilizados en la MSE cuando se probó el MP aceptado </w:t>
            </w:r>
          </w:p>
        </w:tc>
        <w:tc>
          <w:tcPr>
            <w:tcW w:w="3969" w:type="dxa"/>
            <w:vMerge w:val="restart"/>
            <w:vAlign w:val="center"/>
          </w:tcPr>
          <w:p w14:paraId="50C18A1A" w14:textId="35548044" w:rsidR="00D46B4B" w:rsidRPr="00767FBD" w:rsidRDefault="00D46B4B" w:rsidP="00C93B01">
            <w:pPr>
              <w:pStyle w:val="Default"/>
              <w:rPr>
                <w:rFonts w:asciiTheme="majorHAnsi" w:hAnsiTheme="majorHAnsi"/>
                <w:color w:val="auto"/>
                <w:sz w:val="20"/>
                <w:szCs w:val="20"/>
              </w:rPr>
            </w:pPr>
            <w:r w:rsidRPr="00767FBD">
              <w:rPr>
                <w:rFonts w:asciiTheme="majorHAnsi" w:hAnsiTheme="majorHAnsi"/>
                <w:color w:val="auto"/>
                <w:sz w:val="20"/>
                <w:szCs w:val="20"/>
              </w:rPr>
              <w:t>Cada evaluación de stock</w:t>
            </w:r>
            <w:r w:rsidR="007B5F50" w:rsidRPr="00767FBD">
              <w:rPr>
                <w:rFonts w:asciiTheme="majorHAnsi" w:hAnsiTheme="majorHAnsi"/>
                <w:color w:val="auto"/>
                <w:sz w:val="20"/>
                <w:szCs w:val="20"/>
              </w:rPr>
              <w:t xml:space="preserve"> </w:t>
            </w:r>
            <w:r w:rsidR="001223E4" w:rsidRPr="00767FBD">
              <w:rPr>
                <w:rFonts w:asciiTheme="majorHAnsi" w:hAnsiTheme="majorHAnsi"/>
                <w:color w:val="auto"/>
                <w:sz w:val="20"/>
                <w:szCs w:val="20"/>
              </w:rPr>
              <w:t xml:space="preserve">de referencia </w:t>
            </w:r>
            <w:r w:rsidRPr="00767FBD">
              <w:rPr>
                <w:rFonts w:asciiTheme="majorHAnsi" w:hAnsiTheme="majorHAnsi"/>
                <w:color w:val="auto"/>
                <w:sz w:val="20"/>
                <w:szCs w:val="20"/>
              </w:rPr>
              <w:t xml:space="preserve">(cada 6-7 años) </w:t>
            </w:r>
          </w:p>
        </w:tc>
      </w:tr>
      <w:tr w:rsidR="0035444C" w:rsidRPr="00767FBD" w14:paraId="43285E90" w14:textId="77777777" w:rsidTr="00716C95">
        <w:trPr>
          <w:trHeight w:val="468"/>
        </w:trPr>
        <w:tc>
          <w:tcPr>
            <w:tcW w:w="1613" w:type="dxa"/>
            <w:vMerge/>
            <w:vAlign w:val="center"/>
          </w:tcPr>
          <w:p w14:paraId="2DDA19A2" w14:textId="77777777" w:rsidR="00D46B4B" w:rsidRPr="00767FBD" w:rsidRDefault="00D46B4B" w:rsidP="00C93B01">
            <w:pPr>
              <w:jc w:val="both"/>
              <w:rPr>
                <w:rFonts w:asciiTheme="majorHAnsi" w:hAnsiTheme="majorHAnsi"/>
                <w:sz w:val="20"/>
                <w:szCs w:val="20"/>
                <w:lang w:eastAsia="ja-JP"/>
              </w:rPr>
            </w:pPr>
          </w:p>
        </w:tc>
        <w:tc>
          <w:tcPr>
            <w:tcW w:w="2635" w:type="dxa"/>
            <w:vAlign w:val="center"/>
          </w:tcPr>
          <w:p w14:paraId="23161D7E" w14:textId="77777777" w:rsidR="00D46B4B" w:rsidRPr="00767FBD" w:rsidRDefault="00D46B4B" w:rsidP="00C93B01">
            <w:pPr>
              <w:pStyle w:val="Default"/>
              <w:jc w:val="both"/>
              <w:rPr>
                <w:rFonts w:asciiTheme="majorHAnsi" w:hAnsiTheme="majorHAnsi"/>
                <w:color w:val="auto"/>
                <w:sz w:val="20"/>
                <w:szCs w:val="20"/>
              </w:rPr>
            </w:pPr>
            <w:r w:rsidRPr="00767FBD">
              <w:rPr>
                <w:rFonts w:asciiTheme="majorHAnsi" w:hAnsiTheme="majorHAnsi"/>
                <w:color w:val="auto"/>
                <w:sz w:val="20"/>
                <w:szCs w:val="20"/>
              </w:rPr>
              <w:t>Mortalidad por pesca relativa (F/F</w:t>
            </w:r>
            <w:r w:rsidRPr="00767FBD">
              <w:rPr>
                <w:rFonts w:asciiTheme="majorHAnsi" w:hAnsiTheme="majorHAnsi"/>
                <w:color w:val="auto"/>
                <w:sz w:val="20"/>
                <w:szCs w:val="20"/>
                <w:vertAlign w:val="subscript"/>
              </w:rPr>
              <w:t>RMS</w:t>
            </w:r>
            <w:r w:rsidRPr="00767FBD">
              <w:rPr>
                <w:rFonts w:asciiTheme="majorHAnsi" w:hAnsiTheme="majorHAnsi"/>
                <w:color w:val="auto"/>
                <w:sz w:val="20"/>
                <w:szCs w:val="20"/>
              </w:rPr>
              <w:t>)</w:t>
            </w:r>
            <w:r w:rsidRPr="00767FBD">
              <w:rPr>
                <w:rStyle w:val="FootnoteReference"/>
                <w:rFonts w:asciiTheme="majorHAnsi" w:hAnsiTheme="majorHAnsi"/>
                <w:color w:val="auto"/>
                <w:sz w:val="20"/>
                <w:szCs w:val="20"/>
              </w:rPr>
              <w:footnoteReference w:customMarkFollows="1" w:id="2"/>
              <w:t>1</w:t>
            </w:r>
            <w:r w:rsidRPr="00767FBD">
              <w:rPr>
                <w:rFonts w:asciiTheme="majorHAnsi" w:hAnsiTheme="majorHAnsi"/>
                <w:color w:val="auto"/>
                <w:sz w:val="20"/>
                <w:szCs w:val="20"/>
              </w:rPr>
              <w:t xml:space="preserve"> </w:t>
            </w:r>
          </w:p>
        </w:tc>
        <w:tc>
          <w:tcPr>
            <w:tcW w:w="5528" w:type="dxa"/>
            <w:vMerge/>
            <w:vAlign w:val="center"/>
          </w:tcPr>
          <w:p w14:paraId="227622BF" w14:textId="77777777" w:rsidR="00D46B4B" w:rsidRPr="00767FBD" w:rsidRDefault="00D46B4B" w:rsidP="00C93B01">
            <w:pPr>
              <w:jc w:val="both"/>
              <w:rPr>
                <w:rFonts w:asciiTheme="majorHAnsi" w:hAnsiTheme="majorHAnsi"/>
                <w:sz w:val="20"/>
                <w:szCs w:val="20"/>
                <w:lang w:eastAsia="ja-JP"/>
              </w:rPr>
            </w:pPr>
          </w:p>
        </w:tc>
        <w:tc>
          <w:tcPr>
            <w:tcW w:w="3969" w:type="dxa"/>
            <w:vMerge/>
            <w:vAlign w:val="center"/>
          </w:tcPr>
          <w:p w14:paraId="291FC72A" w14:textId="77777777" w:rsidR="00D46B4B" w:rsidRPr="00767FBD" w:rsidRDefault="00D46B4B" w:rsidP="00C93B01">
            <w:pPr>
              <w:jc w:val="both"/>
              <w:rPr>
                <w:rFonts w:asciiTheme="majorHAnsi" w:hAnsiTheme="majorHAnsi"/>
                <w:sz w:val="20"/>
                <w:szCs w:val="20"/>
                <w:lang w:eastAsia="ja-JP"/>
              </w:rPr>
            </w:pPr>
          </w:p>
        </w:tc>
      </w:tr>
      <w:tr w:rsidR="0035444C" w:rsidRPr="00767FBD" w14:paraId="06E959F0" w14:textId="77777777" w:rsidTr="00716C95">
        <w:trPr>
          <w:trHeight w:val="259"/>
        </w:trPr>
        <w:tc>
          <w:tcPr>
            <w:tcW w:w="1613" w:type="dxa"/>
            <w:vMerge/>
            <w:vAlign w:val="center"/>
          </w:tcPr>
          <w:p w14:paraId="7EC09F03" w14:textId="77777777" w:rsidR="00D46B4B" w:rsidRPr="00767FBD" w:rsidRDefault="00D46B4B" w:rsidP="00C93B01">
            <w:pPr>
              <w:jc w:val="both"/>
              <w:rPr>
                <w:rFonts w:asciiTheme="majorHAnsi" w:hAnsiTheme="majorHAnsi"/>
                <w:sz w:val="20"/>
                <w:szCs w:val="20"/>
                <w:lang w:eastAsia="ja-JP"/>
              </w:rPr>
            </w:pPr>
          </w:p>
        </w:tc>
        <w:tc>
          <w:tcPr>
            <w:tcW w:w="2635" w:type="dxa"/>
            <w:vAlign w:val="center"/>
          </w:tcPr>
          <w:p w14:paraId="3EA13B17" w14:textId="77777777" w:rsidR="00D46B4B" w:rsidRPr="00767FBD" w:rsidRDefault="00D46B4B" w:rsidP="00C93B01">
            <w:pPr>
              <w:pStyle w:val="Default"/>
              <w:jc w:val="both"/>
              <w:rPr>
                <w:rFonts w:asciiTheme="majorHAnsi" w:hAnsiTheme="majorHAnsi"/>
                <w:color w:val="auto"/>
                <w:sz w:val="20"/>
                <w:szCs w:val="20"/>
              </w:rPr>
            </w:pPr>
            <w:r w:rsidRPr="00767FBD">
              <w:rPr>
                <w:rFonts w:asciiTheme="majorHAnsi" w:hAnsiTheme="majorHAnsi"/>
                <w:color w:val="auto"/>
                <w:sz w:val="20"/>
                <w:szCs w:val="20"/>
              </w:rPr>
              <w:t>Crecimiento</w:t>
            </w:r>
            <w:r w:rsidRPr="00767FBD">
              <w:rPr>
                <w:rStyle w:val="FootnoteReference"/>
                <w:rFonts w:asciiTheme="majorHAnsi" w:hAnsiTheme="majorHAnsi"/>
                <w:color w:val="auto"/>
                <w:sz w:val="20"/>
                <w:szCs w:val="20"/>
              </w:rPr>
              <w:footnoteReference w:id="3"/>
            </w:r>
            <w:r w:rsidRPr="00767FBD">
              <w:rPr>
                <w:rFonts w:asciiTheme="majorHAnsi" w:hAnsiTheme="majorHAnsi"/>
                <w:color w:val="auto"/>
                <w:sz w:val="20"/>
                <w:szCs w:val="20"/>
              </w:rPr>
              <w:t xml:space="preserve"> </w:t>
            </w:r>
          </w:p>
        </w:tc>
        <w:tc>
          <w:tcPr>
            <w:tcW w:w="5528" w:type="dxa"/>
            <w:vMerge w:val="restart"/>
            <w:vAlign w:val="center"/>
          </w:tcPr>
          <w:p w14:paraId="4A64A4B7" w14:textId="77777777" w:rsidR="00D46B4B" w:rsidRPr="00767FBD" w:rsidRDefault="00D46B4B" w:rsidP="00C93B01">
            <w:pPr>
              <w:pStyle w:val="Default"/>
              <w:jc w:val="both"/>
              <w:rPr>
                <w:rFonts w:asciiTheme="majorHAnsi" w:hAnsiTheme="majorHAnsi"/>
                <w:color w:val="auto"/>
                <w:sz w:val="20"/>
                <w:szCs w:val="20"/>
              </w:rPr>
            </w:pPr>
            <w:r w:rsidRPr="00767FBD">
              <w:rPr>
                <w:rFonts w:asciiTheme="majorHAnsi" w:hAnsiTheme="majorHAnsi"/>
                <w:color w:val="auto"/>
                <w:sz w:val="20"/>
                <w:szCs w:val="20"/>
              </w:rPr>
              <w:t>Valores notablemente diferentes de los valores obtenidos a partir los OM utilizados en la MSE cuando se probó el MP aceptado</w:t>
            </w:r>
          </w:p>
        </w:tc>
        <w:tc>
          <w:tcPr>
            <w:tcW w:w="3969" w:type="dxa"/>
            <w:vMerge w:val="restart"/>
            <w:vAlign w:val="center"/>
          </w:tcPr>
          <w:p w14:paraId="120FE5A3" w14:textId="77777777" w:rsidR="00D46B4B" w:rsidRPr="00767FBD" w:rsidRDefault="00D46B4B" w:rsidP="00C93B01">
            <w:pPr>
              <w:pStyle w:val="Default"/>
              <w:rPr>
                <w:rFonts w:asciiTheme="majorHAnsi" w:hAnsiTheme="majorHAnsi"/>
                <w:color w:val="auto"/>
                <w:sz w:val="20"/>
                <w:szCs w:val="20"/>
              </w:rPr>
            </w:pPr>
            <w:r w:rsidRPr="00767FBD">
              <w:rPr>
                <w:rFonts w:asciiTheme="majorHAnsi" w:hAnsiTheme="majorHAnsi"/>
                <w:color w:val="auto"/>
                <w:sz w:val="20"/>
                <w:szCs w:val="20"/>
              </w:rPr>
              <w:t xml:space="preserve">Cuando se haya completado, presentación y aceptación por parte del SCRS de un estudio como la nueva referencia. </w:t>
            </w:r>
          </w:p>
        </w:tc>
      </w:tr>
      <w:tr w:rsidR="0035444C" w:rsidRPr="00767FBD" w14:paraId="2E995194" w14:textId="77777777" w:rsidTr="00716C95">
        <w:trPr>
          <w:trHeight w:val="242"/>
        </w:trPr>
        <w:tc>
          <w:tcPr>
            <w:tcW w:w="1613" w:type="dxa"/>
            <w:vMerge/>
            <w:vAlign w:val="center"/>
          </w:tcPr>
          <w:p w14:paraId="412BF6BF" w14:textId="77777777" w:rsidR="00D46B4B" w:rsidRPr="00767FBD" w:rsidRDefault="00D46B4B" w:rsidP="00C93B01">
            <w:pPr>
              <w:jc w:val="both"/>
              <w:rPr>
                <w:rFonts w:asciiTheme="majorHAnsi" w:hAnsiTheme="majorHAnsi"/>
                <w:sz w:val="20"/>
                <w:szCs w:val="20"/>
                <w:lang w:eastAsia="ja-JP"/>
              </w:rPr>
            </w:pPr>
          </w:p>
        </w:tc>
        <w:tc>
          <w:tcPr>
            <w:tcW w:w="2635" w:type="dxa"/>
            <w:vAlign w:val="center"/>
          </w:tcPr>
          <w:p w14:paraId="4EA5DDD2" w14:textId="77777777" w:rsidR="00D46B4B" w:rsidRPr="00767FBD" w:rsidRDefault="00D46B4B" w:rsidP="00C93B01">
            <w:pPr>
              <w:jc w:val="both"/>
              <w:rPr>
                <w:rFonts w:asciiTheme="majorHAnsi" w:hAnsiTheme="majorHAnsi"/>
                <w:sz w:val="20"/>
                <w:szCs w:val="20"/>
              </w:rPr>
            </w:pPr>
            <w:r w:rsidRPr="00767FBD">
              <w:rPr>
                <w:rFonts w:asciiTheme="majorHAnsi" w:hAnsiTheme="majorHAnsi"/>
                <w:sz w:val="20"/>
                <w:szCs w:val="20"/>
              </w:rPr>
              <w:t>Madurez</w:t>
            </w:r>
            <w:r w:rsidRPr="00767FBD">
              <w:rPr>
                <w:rFonts w:asciiTheme="majorHAnsi" w:hAnsiTheme="majorHAnsi"/>
                <w:sz w:val="20"/>
                <w:szCs w:val="20"/>
                <w:vertAlign w:val="superscript"/>
              </w:rPr>
              <w:t>2</w:t>
            </w:r>
          </w:p>
        </w:tc>
        <w:tc>
          <w:tcPr>
            <w:tcW w:w="5528" w:type="dxa"/>
            <w:vMerge/>
            <w:vAlign w:val="center"/>
          </w:tcPr>
          <w:p w14:paraId="4C3B925C" w14:textId="77777777" w:rsidR="00D46B4B" w:rsidRPr="00767FBD" w:rsidRDefault="00D46B4B" w:rsidP="00C93B01">
            <w:pPr>
              <w:jc w:val="both"/>
              <w:rPr>
                <w:rFonts w:asciiTheme="majorHAnsi" w:hAnsiTheme="majorHAnsi"/>
                <w:sz w:val="20"/>
                <w:szCs w:val="20"/>
                <w:lang w:eastAsia="ja-JP"/>
              </w:rPr>
            </w:pPr>
          </w:p>
        </w:tc>
        <w:tc>
          <w:tcPr>
            <w:tcW w:w="3969" w:type="dxa"/>
            <w:vMerge/>
            <w:vAlign w:val="center"/>
          </w:tcPr>
          <w:p w14:paraId="246AC1CB" w14:textId="77777777" w:rsidR="00D46B4B" w:rsidRPr="00767FBD" w:rsidRDefault="00D46B4B" w:rsidP="00C93B01">
            <w:pPr>
              <w:jc w:val="both"/>
              <w:rPr>
                <w:rFonts w:asciiTheme="majorHAnsi" w:hAnsiTheme="majorHAnsi"/>
                <w:sz w:val="20"/>
                <w:szCs w:val="20"/>
                <w:lang w:eastAsia="ja-JP"/>
              </w:rPr>
            </w:pPr>
          </w:p>
        </w:tc>
      </w:tr>
      <w:tr w:rsidR="0035444C" w:rsidRPr="00767FBD" w14:paraId="0B090E1D" w14:textId="77777777" w:rsidTr="00716C95">
        <w:trPr>
          <w:trHeight w:val="242"/>
        </w:trPr>
        <w:tc>
          <w:tcPr>
            <w:tcW w:w="1613" w:type="dxa"/>
            <w:vMerge/>
            <w:vAlign w:val="center"/>
          </w:tcPr>
          <w:p w14:paraId="4ADB6385" w14:textId="77777777" w:rsidR="00D46B4B" w:rsidRPr="00767FBD" w:rsidRDefault="00D46B4B" w:rsidP="00C93B01">
            <w:pPr>
              <w:jc w:val="both"/>
              <w:rPr>
                <w:rFonts w:asciiTheme="majorHAnsi" w:hAnsiTheme="majorHAnsi"/>
                <w:sz w:val="20"/>
                <w:szCs w:val="20"/>
                <w:lang w:eastAsia="ja-JP"/>
              </w:rPr>
            </w:pPr>
          </w:p>
        </w:tc>
        <w:tc>
          <w:tcPr>
            <w:tcW w:w="2635" w:type="dxa"/>
            <w:vAlign w:val="center"/>
          </w:tcPr>
          <w:p w14:paraId="5D85CD77" w14:textId="77777777" w:rsidR="00D46B4B" w:rsidRPr="00767FBD" w:rsidRDefault="00D46B4B" w:rsidP="00C93B01">
            <w:pPr>
              <w:jc w:val="both"/>
              <w:rPr>
                <w:rFonts w:asciiTheme="majorHAnsi" w:hAnsiTheme="majorHAnsi"/>
                <w:sz w:val="20"/>
                <w:szCs w:val="20"/>
              </w:rPr>
            </w:pPr>
            <w:r w:rsidRPr="00767FBD">
              <w:rPr>
                <w:rFonts w:asciiTheme="majorHAnsi" w:hAnsiTheme="majorHAnsi"/>
                <w:sz w:val="20"/>
                <w:szCs w:val="20"/>
              </w:rPr>
              <w:t>Mortalidad natural</w:t>
            </w:r>
            <w:r w:rsidRPr="00767FBD">
              <w:rPr>
                <w:rFonts w:asciiTheme="majorHAnsi" w:hAnsiTheme="majorHAnsi"/>
                <w:sz w:val="20"/>
                <w:szCs w:val="20"/>
                <w:vertAlign w:val="superscript"/>
              </w:rPr>
              <w:t>2</w:t>
            </w:r>
          </w:p>
        </w:tc>
        <w:tc>
          <w:tcPr>
            <w:tcW w:w="5528" w:type="dxa"/>
            <w:vMerge/>
            <w:vAlign w:val="center"/>
          </w:tcPr>
          <w:p w14:paraId="71283A80" w14:textId="77777777" w:rsidR="00D46B4B" w:rsidRPr="00767FBD" w:rsidRDefault="00D46B4B" w:rsidP="00C93B01">
            <w:pPr>
              <w:jc w:val="both"/>
              <w:rPr>
                <w:rFonts w:asciiTheme="majorHAnsi" w:hAnsiTheme="majorHAnsi"/>
                <w:sz w:val="20"/>
                <w:szCs w:val="20"/>
                <w:lang w:eastAsia="ja-JP"/>
              </w:rPr>
            </w:pPr>
          </w:p>
        </w:tc>
        <w:tc>
          <w:tcPr>
            <w:tcW w:w="3969" w:type="dxa"/>
            <w:vMerge/>
            <w:vAlign w:val="center"/>
          </w:tcPr>
          <w:p w14:paraId="2F592C66" w14:textId="77777777" w:rsidR="00D46B4B" w:rsidRPr="00767FBD" w:rsidRDefault="00D46B4B" w:rsidP="00C93B01">
            <w:pPr>
              <w:jc w:val="both"/>
              <w:rPr>
                <w:rFonts w:asciiTheme="majorHAnsi" w:hAnsiTheme="majorHAnsi"/>
                <w:sz w:val="20"/>
                <w:szCs w:val="20"/>
                <w:lang w:eastAsia="ja-JP"/>
              </w:rPr>
            </w:pPr>
          </w:p>
        </w:tc>
      </w:tr>
      <w:tr w:rsidR="001223E4" w:rsidRPr="00767FBD" w14:paraId="00EF99DC" w14:textId="77777777" w:rsidTr="00716C95">
        <w:trPr>
          <w:trHeight w:val="728"/>
        </w:trPr>
        <w:tc>
          <w:tcPr>
            <w:tcW w:w="1613" w:type="dxa"/>
            <w:vMerge/>
            <w:vAlign w:val="center"/>
          </w:tcPr>
          <w:p w14:paraId="756F25D4" w14:textId="77777777" w:rsidR="001223E4" w:rsidRPr="00767FBD" w:rsidRDefault="001223E4" w:rsidP="001223E4">
            <w:pPr>
              <w:jc w:val="both"/>
              <w:rPr>
                <w:rFonts w:asciiTheme="majorHAnsi" w:hAnsiTheme="majorHAnsi"/>
                <w:sz w:val="20"/>
                <w:szCs w:val="20"/>
                <w:lang w:eastAsia="ja-JP"/>
              </w:rPr>
            </w:pPr>
          </w:p>
        </w:tc>
        <w:tc>
          <w:tcPr>
            <w:tcW w:w="2635" w:type="dxa"/>
            <w:vAlign w:val="center"/>
          </w:tcPr>
          <w:p w14:paraId="440B382B" w14:textId="77777777" w:rsidR="001223E4" w:rsidRPr="00767FBD" w:rsidRDefault="001223E4" w:rsidP="001223E4">
            <w:pPr>
              <w:jc w:val="both"/>
              <w:rPr>
                <w:rFonts w:asciiTheme="majorHAnsi" w:hAnsiTheme="majorHAnsi"/>
                <w:sz w:val="20"/>
                <w:szCs w:val="20"/>
              </w:rPr>
            </w:pPr>
            <w:r w:rsidRPr="00767FBD">
              <w:rPr>
                <w:rFonts w:asciiTheme="majorHAnsi" w:hAnsiTheme="majorHAnsi"/>
                <w:sz w:val="20"/>
                <w:szCs w:val="20"/>
              </w:rPr>
              <w:t>CPUE</w:t>
            </w:r>
            <w:r w:rsidRPr="00767FBD">
              <w:rPr>
                <w:rStyle w:val="FootnoteReference"/>
                <w:rFonts w:asciiTheme="majorHAnsi" w:hAnsiTheme="majorHAnsi"/>
                <w:sz w:val="20"/>
                <w:szCs w:val="20"/>
              </w:rPr>
              <w:footnoteReference w:customMarkFollows="1" w:id="4"/>
              <w:t>3</w:t>
            </w:r>
          </w:p>
        </w:tc>
        <w:tc>
          <w:tcPr>
            <w:tcW w:w="5528" w:type="dxa"/>
            <w:vAlign w:val="center"/>
          </w:tcPr>
          <w:p w14:paraId="7D7690BA" w14:textId="5B859126" w:rsidR="001223E4" w:rsidRPr="00767FBD" w:rsidRDefault="001223E4" w:rsidP="001223E4">
            <w:pPr>
              <w:pStyle w:val="Default"/>
              <w:jc w:val="both"/>
              <w:rPr>
                <w:rFonts w:asciiTheme="majorHAnsi" w:hAnsiTheme="majorHAnsi"/>
                <w:color w:val="auto"/>
                <w:sz w:val="20"/>
                <w:szCs w:val="20"/>
              </w:rPr>
            </w:pPr>
            <w:r w:rsidRPr="00767FBD">
              <w:rPr>
                <w:rFonts w:asciiTheme="majorHAnsi" w:hAnsiTheme="majorHAnsi"/>
                <w:color w:val="auto"/>
                <w:sz w:val="20"/>
                <w:szCs w:val="20"/>
              </w:rPr>
              <w:t xml:space="preserve">Queda fuera del rango de percentiles de valores del 2,5 % al 97,5 % en cualquier año obtenidos a partir de los OM utilizados en la MSE cuando se probó el MP aceptado </w:t>
            </w:r>
          </w:p>
        </w:tc>
        <w:tc>
          <w:tcPr>
            <w:tcW w:w="3969" w:type="dxa"/>
            <w:vAlign w:val="center"/>
          </w:tcPr>
          <w:p w14:paraId="489B17DF" w14:textId="77777777" w:rsidR="001223E4" w:rsidRPr="00767FBD" w:rsidRDefault="001223E4" w:rsidP="001223E4">
            <w:pPr>
              <w:pStyle w:val="Default"/>
              <w:jc w:val="both"/>
              <w:rPr>
                <w:rFonts w:asciiTheme="majorHAnsi" w:hAnsiTheme="majorHAnsi"/>
                <w:color w:val="auto"/>
                <w:sz w:val="20"/>
                <w:szCs w:val="20"/>
              </w:rPr>
            </w:pPr>
            <w:r w:rsidRPr="00767FBD">
              <w:rPr>
                <w:rFonts w:asciiTheme="majorHAnsi" w:hAnsiTheme="majorHAnsi"/>
                <w:color w:val="auto"/>
                <w:sz w:val="20"/>
                <w:szCs w:val="20"/>
              </w:rPr>
              <w:t>Anualmente</w:t>
            </w:r>
          </w:p>
        </w:tc>
      </w:tr>
      <w:tr w:rsidR="0035444C" w:rsidRPr="00767FBD" w14:paraId="4C7AAB99" w14:textId="77777777" w:rsidTr="00716C95">
        <w:trPr>
          <w:trHeight w:val="693"/>
        </w:trPr>
        <w:tc>
          <w:tcPr>
            <w:tcW w:w="1613" w:type="dxa"/>
            <w:vMerge w:val="restart"/>
            <w:vAlign w:val="center"/>
          </w:tcPr>
          <w:p w14:paraId="02EE4A38" w14:textId="77777777" w:rsidR="00D46B4B" w:rsidRPr="00767FBD" w:rsidRDefault="00D46B4B" w:rsidP="00C93B01">
            <w:pPr>
              <w:rPr>
                <w:rFonts w:asciiTheme="majorHAnsi" w:hAnsiTheme="majorHAnsi"/>
                <w:sz w:val="20"/>
                <w:szCs w:val="20"/>
              </w:rPr>
            </w:pPr>
            <w:r w:rsidRPr="00767FBD">
              <w:rPr>
                <w:rFonts w:asciiTheme="majorHAnsi" w:hAnsiTheme="majorHAnsi"/>
                <w:sz w:val="20"/>
                <w:szCs w:val="20"/>
              </w:rPr>
              <w:t>b. Aplicación del MP</w:t>
            </w:r>
          </w:p>
        </w:tc>
        <w:tc>
          <w:tcPr>
            <w:tcW w:w="2635" w:type="dxa"/>
            <w:vAlign w:val="center"/>
          </w:tcPr>
          <w:p w14:paraId="0AA1E9CA" w14:textId="77777777" w:rsidR="00D46B4B" w:rsidRPr="00767FBD" w:rsidRDefault="00D46B4B" w:rsidP="00C93B01">
            <w:pPr>
              <w:jc w:val="both"/>
              <w:rPr>
                <w:rFonts w:asciiTheme="majorHAnsi" w:hAnsiTheme="majorHAnsi"/>
                <w:sz w:val="20"/>
                <w:szCs w:val="20"/>
              </w:rPr>
            </w:pPr>
            <w:r w:rsidRPr="00767FBD">
              <w:rPr>
                <w:rFonts w:asciiTheme="majorHAnsi" w:hAnsiTheme="majorHAnsi"/>
                <w:sz w:val="20"/>
                <w:szCs w:val="20"/>
              </w:rPr>
              <w:t>CPUE</w:t>
            </w:r>
          </w:p>
        </w:tc>
        <w:tc>
          <w:tcPr>
            <w:tcW w:w="5528" w:type="dxa"/>
            <w:vAlign w:val="center"/>
          </w:tcPr>
          <w:p w14:paraId="0092A624" w14:textId="77777777" w:rsidR="00D46B4B" w:rsidRPr="00767FBD" w:rsidRDefault="00D46B4B" w:rsidP="00C93B01">
            <w:pPr>
              <w:pStyle w:val="Default"/>
              <w:jc w:val="both"/>
              <w:rPr>
                <w:rFonts w:asciiTheme="majorHAnsi" w:hAnsiTheme="majorHAnsi"/>
                <w:color w:val="auto"/>
                <w:sz w:val="20"/>
                <w:szCs w:val="20"/>
              </w:rPr>
            </w:pPr>
            <w:r w:rsidRPr="00767FBD">
              <w:rPr>
                <w:rFonts w:asciiTheme="majorHAnsi" w:hAnsiTheme="majorHAnsi"/>
                <w:color w:val="auto"/>
                <w:sz w:val="20"/>
                <w:szCs w:val="20"/>
              </w:rPr>
              <w:t xml:space="preserve">Si dos o más series no han sido actualizadas para dos o más años. Si se determina que dos o más series ya no reflejan la abundancia. </w:t>
            </w:r>
          </w:p>
        </w:tc>
        <w:tc>
          <w:tcPr>
            <w:tcW w:w="3969" w:type="dxa"/>
            <w:vAlign w:val="center"/>
          </w:tcPr>
          <w:p w14:paraId="14FC5D50" w14:textId="77777777" w:rsidR="00D46B4B" w:rsidRPr="00767FBD" w:rsidRDefault="00D46B4B" w:rsidP="00C93B01">
            <w:pPr>
              <w:pStyle w:val="Default"/>
              <w:jc w:val="both"/>
              <w:rPr>
                <w:rFonts w:asciiTheme="majorHAnsi" w:hAnsiTheme="majorHAnsi"/>
                <w:color w:val="auto"/>
                <w:sz w:val="20"/>
                <w:szCs w:val="20"/>
              </w:rPr>
            </w:pPr>
            <w:r w:rsidRPr="00767FBD">
              <w:rPr>
                <w:rFonts w:asciiTheme="majorHAnsi" w:hAnsiTheme="majorHAnsi"/>
                <w:color w:val="auto"/>
                <w:sz w:val="20"/>
                <w:szCs w:val="20"/>
              </w:rPr>
              <w:t xml:space="preserve">Iteración de cada MP </w:t>
            </w:r>
          </w:p>
          <w:p w14:paraId="30948337" w14:textId="77777777" w:rsidR="00D46B4B" w:rsidRPr="00767FBD" w:rsidRDefault="00D46B4B" w:rsidP="00C93B01">
            <w:pPr>
              <w:pStyle w:val="Default"/>
              <w:jc w:val="both"/>
              <w:rPr>
                <w:rFonts w:asciiTheme="majorHAnsi" w:hAnsiTheme="majorHAnsi"/>
                <w:color w:val="auto"/>
                <w:sz w:val="20"/>
                <w:szCs w:val="20"/>
              </w:rPr>
            </w:pPr>
            <w:r w:rsidRPr="00767FBD">
              <w:rPr>
                <w:rFonts w:asciiTheme="majorHAnsi" w:hAnsiTheme="majorHAnsi"/>
                <w:color w:val="auto"/>
                <w:sz w:val="20"/>
                <w:szCs w:val="20"/>
              </w:rPr>
              <w:t xml:space="preserve">(cada tres años) </w:t>
            </w:r>
          </w:p>
        </w:tc>
      </w:tr>
      <w:tr w:rsidR="0035444C" w:rsidRPr="00767FBD" w14:paraId="3EBCDE01" w14:textId="77777777" w:rsidTr="00716C95">
        <w:trPr>
          <w:trHeight w:val="485"/>
        </w:trPr>
        <w:tc>
          <w:tcPr>
            <w:tcW w:w="1613" w:type="dxa"/>
            <w:vMerge/>
            <w:vAlign w:val="center"/>
          </w:tcPr>
          <w:p w14:paraId="1915E586" w14:textId="77777777" w:rsidR="00D46B4B" w:rsidRPr="00767FBD" w:rsidRDefault="00D46B4B" w:rsidP="00C93B01">
            <w:pPr>
              <w:jc w:val="both"/>
              <w:rPr>
                <w:rFonts w:asciiTheme="majorHAnsi" w:hAnsiTheme="majorHAnsi"/>
                <w:sz w:val="20"/>
                <w:szCs w:val="20"/>
                <w:lang w:eastAsia="ja-JP"/>
              </w:rPr>
            </w:pPr>
          </w:p>
        </w:tc>
        <w:tc>
          <w:tcPr>
            <w:tcW w:w="2635" w:type="dxa"/>
            <w:vAlign w:val="center"/>
          </w:tcPr>
          <w:p w14:paraId="78131074" w14:textId="77777777" w:rsidR="00D46B4B" w:rsidRPr="00767FBD" w:rsidRDefault="00D46B4B" w:rsidP="00C93B01">
            <w:pPr>
              <w:jc w:val="both"/>
              <w:rPr>
                <w:rFonts w:asciiTheme="majorHAnsi" w:hAnsiTheme="majorHAnsi"/>
                <w:sz w:val="20"/>
                <w:szCs w:val="20"/>
              </w:rPr>
            </w:pPr>
            <w:r w:rsidRPr="00767FBD">
              <w:rPr>
                <w:rFonts w:asciiTheme="majorHAnsi" w:hAnsiTheme="majorHAnsi"/>
                <w:sz w:val="20"/>
                <w:szCs w:val="20"/>
              </w:rPr>
              <w:t>Captura</w:t>
            </w:r>
          </w:p>
        </w:tc>
        <w:tc>
          <w:tcPr>
            <w:tcW w:w="5528" w:type="dxa"/>
            <w:vAlign w:val="center"/>
          </w:tcPr>
          <w:p w14:paraId="0E6B3CFC" w14:textId="77777777" w:rsidR="00D46B4B" w:rsidRPr="00767FBD" w:rsidRDefault="00D46B4B" w:rsidP="00C93B01">
            <w:pPr>
              <w:pStyle w:val="Default"/>
              <w:jc w:val="both"/>
              <w:rPr>
                <w:rFonts w:asciiTheme="majorHAnsi" w:hAnsiTheme="majorHAnsi"/>
                <w:color w:val="auto"/>
                <w:sz w:val="20"/>
                <w:szCs w:val="20"/>
              </w:rPr>
            </w:pPr>
            <w:r w:rsidRPr="00767FBD">
              <w:rPr>
                <w:rFonts w:asciiTheme="majorHAnsi" w:hAnsiTheme="majorHAnsi"/>
                <w:color w:val="auto"/>
                <w:sz w:val="20"/>
                <w:szCs w:val="20"/>
              </w:rPr>
              <w:t>Los datos de captura no están disponibles o están sustancialmente infradeclarados.</w:t>
            </w:r>
          </w:p>
        </w:tc>
        <w:tc>
          <w:tcPr>
            <w:tcW w:w="3969" w:type="dxa"/>
            <w:vAlign w:val="center"/>
          </w:tcPr>
          <w:p w14:paraId="430F595A" w14:textId="77777777" w:rsidR="00D46B4B" w:rsidRPr="00767FBD" w:rsidRDefault="00D46B4B" w:rsidP="00C93B01">
            <w:pPr>
              <w:pStyle w:val="Default"/>
              <w:jc w:val="both"/>
              <w:rPr>
                <w:rFonts w:asciiTheme="majorHAnsi" w:hAnsiTheme="majorHAnsi"/>
                <w:color w:val="auto"/>
                <w:sz w:val="20"/>
                <w:szCs w:val="20"/>
              </w:rPr>
            </w:pPr>
            <w:r w:rsidRPr="00767FBD">
              <w:rPr>
                <w:rFonts w:asciiTheme="majorHAnsi" w:hAnsiTheme="majorHAnsi"/>
                <w:color w:val="auto"/>
                <w:sz w:val="20"/>
                <w:szCs w:val="20"/>
              </w:rPr>
              <w:t xml:space="preserve">Iteración de cada MP </w:t>
            </w:r>
          </w:p>
          <w:p w14:paraId="3EE3A850" w14:textId="77777777" w:rsidR="00D46B4B" w:rsidRPr="00767FBD" w:rsidRDefault="00D46B4B" w:rsidP="00C93B01">
            <w:pPr>
              <w:pStyle w:val="Default"/>
              <w:jc w:val="both"/>
              <w:rPr>
                <w:rFonts w:asciiTheme="majorHAnsi" w:hAnsiTheme="majorHAnsi"/>
                <w:color w:val="auto"/>
                <w:sz w:val="20"/>
                <w:szCs w:val="20"/>
              </w:rPr>
            </w:pPr>
            <w:r w:rsidRPr="00767FBD">
              <w:rPr>
                <w:rFonts w:asciiTheme="majorHAnsi" w:hAnsiTheme="majorHAnsi"/>
                <w:color w:val="auto"/>
                <w:sz w:val="20"/>
                <w:szCs w:val="20"/>
              </w:rPr>
              <w:t xml:space="preserve">(cada tres años) </w:t>
            </w:r>
          </w:p>
        </w:tc>
      </w:tr>
      <w:tr w:rsidR="0035444C" w:rsidRPr="00767FBD" w14:paraId="61B6E228" w14:textId="77777777" w:rsidTr="00716C95">
        <w:trPr>
          <w:trHeight w:val="259"/>
        </w:trPr>
        <w:tc>
          <w:tcPr>
            <w:tcW w:w="1613" w:type="dxa"/>
            <w:vMerge/>
            <w:vAlign w:val="center"/>
          </w:tcPr>
          <w:p w14:paraId="6E9D9724" w14:textId="77777777" w:rsidR="00D46B4B" w:rsidRPr="00767FBD" w:rsidRDefault="00D46B4B" w:rsidP="00C93B01">
            <w:pPr>
              <w:jc w:val="both"/>
              <w:rPr>
                <w:rFonts w:asciiTheme="majorHAnsi" w:hAnsiTheme="majorHAnsi"/>
                <w:sz w:val="20"/>
                <w:szCs w:val="20"/>
                <w:lang w:eastAsia="ja-JP"/>
              </w:rPr>
            </w:pPr>
          </w:p>
        </w:tc>
        <w:tc>
          <w:tcPr>
            <w:tcW w:w="2635" w:type="dxa"/>
            <w:vAlign w:val="center"/>
          </w:tcPr>
          <w:p w14:paraId="2EBC248F" w14:textId="0B6B677B" w:rsidR="00D46B4B" w:rsidRPr="00767FBD" w:rsidRDefault="00D46B4B" w:rsidP="00C93B01">
            <w:pPr>
              <w:jc w:val="both"/>
              <w:rPr>
                <w:rFonts w:asciiTheme="majorHAnsi" w:hAnsiTheme="majorHAnsi"/>
                <w:sz w:val="20"/>
                <w:szCs w:val="20"/>
                <w:lang w:val="es-ES_tradnl"/>
              </w:rPr>
            </w:pPr>
            <w:r w:rsidRPr="00767FBD">
              <w:rPr>
                <w:rFonts w:asciiTheme="majorHAnsi" w:hAnsiTheme="majorHAnsi"/>
                <w:sz w:val="20"/>
                <w:szCs w:val="20"/>
              </w:rPr>
              <w:t>Biomasa relativa del stock (B/B</w:t>
            </w:r>
            <w:r w:rsidRPr="00767FBD">
              <w:rPr>
                <w:rFonts w:asciiTheme="majorHAnsi" w:hAnsiTheme="majorHAnsi"/>
                <w:sz w:val="20"/>
                <w:szCs w:val="20"/>
                <w:vertAlign w:val="subscript"/>
              </w:rPr>
              <w:t>RMS</w:t>
            </w:r>
            <w:r w:rsidRPr="00767FBD">
              <w:rPr>
                <w:rFonts w:asciiTheme="majorHAnsi" w:hAnsiTheme="majorHAnsi"/>
                <w:sz w:val="20"/>
                <w:szCs w:val="20"/>
              </w:rPr>
              <w:t>)</w:t>
            </w:r>
            <w:r w:rsidR="00910E74" w:rsidRPr="00767FBD">
              <w:rPr>
                <w:rFonts w:asciiTheme="majorHAnsi" w:hAnsiTheme="majorHAnsi"/>
                <w:sz w:val="20"/>
                <w:szCs w:val="20"/>
                <w:vertAlign w:val="superscript"/>
              </w:rPr>
              <w:t>4</w:t>
            </w:r>
          </w:p>
        </w:tc>
        <w:tc>
          <w:tcPr>
            <w:tcW w:w="5528" w:type="dxa"/>
            <w:vMerge w:val="restart"/>
            <w:vAlign w:val="center"/>
          </w:tcPr>
          <w:p w14:paraId="02D34BC2" w14:textId="509E5E30" w:rsidR="00D46B4B" w:rsidRPr="00767FBD" w:rsidRDefault="00D46B4B" w:rsidP="00C93B01">
            <w:pPr>
              <w:pStyle w:val="Default"/>
              <w:jc w:val="both"/>
              <w:rPr>
                <w:rFonts w:asciiTheme="majorHAnsi" w:hAnsiTheme="majorHAnsi"/>
                <w:color w:val="auto"/>
                <w:sz w:val="20"/>
                <w:szCs w:val="20"/>
              </w:rPr>
            </w:pPr>
            <w:r w:rsidRPr="00767FBD">
              <w:rPr>
                <w:rFonts w:asciiTheme="majorHAnsi" w:hAnsiTheme="majorHAnsi"/>
                <w:color w:val="auto"/>
                <w:sz w:val="20"/>
                <w:szCs w:val="20"/>
              </w:rPr>
              <w:t>Los valores del modelo de producción en una iteración del MP caen fuera del rango de percentiles de</w:t>
            </w:r>
            <w:r w:rsidR="001223E4" w:rsidRPr="00767FBD">
              <w:rPr>
                <w:rFonts w:asciiTheme="majorHAnsi" w:hAnsiTheme="majorHAnsi"/>
                <w:color w:val="auto"/>
                <w:sz w:val="20"/>
                <w:szCs w:val="20"/>
              </w:rPr>
              <w:t xml:space="preserve"> valores</w:t>
            </w:r>
            <w:r w:rsidRPr="00767FBD">
              <w:rPr>
                <w:rFonts w:asciiTheme="majorHAnsi" w:hAnsiTheme="majorHAnsi"/>
                <w:color w:val="auto"/>
                <w:sz w:val="20"/>
                <w:szCs w:val="20"/>
              </w:rPr>
              <w:t xml:space="preserve"> 2,5</w:t>
            </w:r>
            <w:r w:rsidR="001223E4" w:rsidRPr="00767FBD">
              <w:rPr>
                <w:rFonts w:asciiTheme="majorHAnsi" w:hAnsiTheme="majorHAnsi"/>
                <w:color w:val="auto"/>
                <w:sz w:val="20"/>
                <w:szCs w:val="20"/>
              </w:rPr>
              <w:t> </w:t>
            </w:r>
            <w:r w:rsidRPr="00767FBD">
              <w:rPr>
                <w:rFonts w:asciiTheme="majorHAnsi" w:hAnsiTheme="majorHAnsi"/>
                <w:color w:val="auto"/>
                <w:sz w:val="20"/>
                <w:szCs w:val="20"/>
              </w:rPr>
              <w:t>% a 97,5</w:t>
            </w:r>
            <w:r w:rsidR="00E7775C" w:rsidRPr="00767FBD">
              <w:rPr>
                <w:rFonts w:asciiTheme="majorHAnsi" w:hAnsiTheme="majorHAnsi"/>
                <w:color w:val="auto"/>
                <w:sz w:val="20"/>
                <w:szCs w:val="20"/>
              </w:rPr>
              <w:t> </w:t>
            </w:r>
            <w:r w:rsidRPr="00767FBD">
              <w:rPr>
                <w:rFonts w:asciiTheme="majorHAnsi" w:hAnsiTheme="majorHAnsi"/>
                <w:color w:val="auto"/>
                <w:sz w:val="20"/>
                <w:szCs w:val="20"/>
              </w:rPr>
              <w:t>% e</w:t>
            </w:r>
            <w:r w:rsidR="001223E4" w:rsidRPr="00767FBD">
              <w:rPr>
                <w:rFonts w:asciiTheme="majorHAnsi" w:hAnsiTheme="majorHAnsi"/>
                <w:color w:val="auto"/>
                <w:sz w:val="20"/>
                <w:szCs w:val="20"/>
              </w:rPr>
              <w:t>n</w:t>
            </w:r>
            <w:r w:rsidRPr="00767FBD">
              <w:rPr>
                <w:rFonts w:asciiTheme="majorHAnsi" w:hAnsiTheme="majorHAnsi"/>
                <w:color w:val="auto"/>
                <w:sz w:val="20"/>
                <w:szCs w:val="20"/>
              </w:rPr>
              <w:t xml:space="preserve"> cualquier año producidos por el modelo de producción del MP aceptado durante las pruebas de</w:t>
            </w:r>
            <w:r w:rsidR="00910E74" w:rsidRPr="00767FBD">
              <w:rPr>
                <w:rFonts w:asciiTheme="majorHAnsi" w:hAnsiTheme="majorHAnsi"/>
                <w:color w:val="auto"/>
                <w:sz w:val="20"/>
                <w:szCs w:val="20"/>
              </w:rPr>
              <w:t xml:space="preserve"> la </w:t>
            </w:r>
            <w:r w:rsidRPr="00767FBD">
              <w:rPr>
                <w:rFonts w:asciiTheme="majorHAnsi" w:hAnsiTheme="majorHAnsi"/>
                <w:color w:val="auto"/>
                <w:sz w:val="20"/>
                <w:szCs w:val="20"/>
              </w:rPr>
              <w:t>MSE</w:t>
            </w:r>
          </w:p>
        </w:tc>
        <w:tc>
          <w:tcPr>
            <w:tcW w:w="3969" w:type="dxa"/>
            <w:vMerge w:val="restart"/>
            <w:vAlign w:val="center"/>
          </w:tcPr>
          <w:p w14:paraId="7F0E01BA" w14:textId="77777777" w:rsidR="00D46B4B" w:rsidRPr="00767FBD" w:rsidRDefault="00D46B4B" w:rsidP="00C93B01">
            <w:pPr>
              <w:pStyle w:val="Default"/>
              <w:jc w:val="both"/>
              <w:rPr>
                <w:rFonts w:asciiTheme="majorHAnsi" w:hAnsiTheme="majorHAnsi"/>
                <w:color w:val="auto"/>
                <w:sz w:val="20"/>
                <w:szCs w:val="20"/>
              </w:rPr>
            </w:pPr>
            <w:r w:rsidRPr="00767FBD">
              <w:rPr>
                <w:rFonts w:asciiTheme="majorHAnsi" w:hAnsiTheme="majorHAnsi"/>
                <w:color w:val="auto"/>
                <w:sz w:val="20"/>
                <w:szCs w:val="20"/>
              </w:rPr>
              <w:t xml:space="preserve">Iteración de cada MP </w:t>
            </w:r>
          </w:p>
          <w:p w14:paraId="57653BE0" w14:textId="77777777" w:rsidR="00D46B4B" w:rsidRPr="00767FBD" w:rsidRDefault="00D46B4B" w:rsidP="00C93B01">
            <w:pPr>
              <w:pStyle w:val="Default"/>
              <w:jc w:val="both"/>
              <w:rPr>
                <w:rFonts w:asciiTheme="majorHAnsi" w:hAnsiTheme="majorHAnsi"/>
                <w:color w:val="auto"/>
                <w:sz w:val="20"/>
                <w:szCs w:val="20"/>
              </w:rPr>
            </w:pPr>
            <w:r w:rsidRPr="00767FBD">
              <w:rPr>
                <w:rFonts w:asciiTheme="majorHAnsi" w:hAnsiTheme="majorHAnsi"/>
                <w:color w:val="auto"/>
                <w:sz w:val="20"/>
                <w:szCs w:val="20"/>
              </w:rPr>
              <w:t xml:space="preserve">(cada tres años) </w:t>
            </w:r>
          </w:p>
        </w:tc>
      </w:tr>
      <w:tr w:rsidR="0035444C" w:rsidRPr="00767FBD" w14:paraId="5E9E1201" w14:textId="77777777" w:rsidTr="00716C95">
        <w:trPr>
          <w:trHeight w:val="496"/>
        </w:trPr>
        <w:tc>
          <w:tcPr>
            <w:tcW w:w="1613" w:type="dxa"/>
            <w:vMerge/>
            <w:vAlign w:val="center"/>
          </w:tcPr>
          <w:p w14:paraId="400EF3F2" w14:textId="77777777" w:rsidR="00D46B4B" w:rsidRPr="00767FBD" w:rsidRDefault="00D46B4B" w:rsidP="00C93B01">
            <w:pPr>
              <w:jc w:val="both"/>
              <w:rPr>
                <w:rFonts w:asciiTheme="majorHAnsi" w:hAnsiTheme="majorHAnsi"/>
                <w:sz w:val="20"/>
                <w:szCs w:val="20"/>
                <w:lang w:eastAsia="ja-JP"/>
              </w:rPr>
            </w:pPr>
          </w:p>
        </w:tc>
        <w:tc>
          <w:tcPr>
            <w:tcW w:w="2635" w:type="dxa"/>
            <w:vAlign w:val="center"/>
          </w:tcPr>
          <w:p w14:paraId="18B15578" w14:textId="77777777" w:rsidR="00D46B4B" w:rsidRPr="00767FBD" w:rsidRDefault="00D46B4B" w:rsidP="00C93B01">
            <w:pPr>
              <w:pStyle w:val="Default"/>
              <w:jc w:val="both"/>
              <w:rPr>
                <w:rFonts w:asciiTheme="majorHAnsi" w:hAnsiTheme="majorHAnsi"/>
                <w:color w:val="auto"/>
                <w:sz w:val="20"/>
                <w:szCs w:val="20"/>
              </w:rPr>
            </w:pPr>
            <w:r w:rsidRPr="00767FBD">
              <w:rPr>
                <w:rFonts w:asciiTheme="majorHAnsi" w:hAnsiTheme="majorHAnsi"/>
                <w:color w:val="auto"/>
                <w:sz w:val="20"/>
                <w:szCs w:val="20"/>
              </w:rPr>
              <w:t>Mortalidad por pesca relativa (F/F</w:t>
            </w:r>
            <w:r w:rsidRPr="00767FBD">
              <w:rPr>
                <w:rFonts w:asciiTheme="majorHAnsi" w:hAnsiTheme="majorHAnsi"/>
                <w:color w:val="auto"/>
                <w:sz w:val="20"/>
                <w:szCs w:val="20"/>
                <w:vertAlign w:val="subscript"/>
              </w:rPr>
              <w:t>RMS</w:t>
            </w:r>
            <w:r w:rsidRPr="00767FBD">
              <w:rPr>
                <w:rFonts w:asciiTheme="majorHAnsi" w:hAnsiTheme="majorHAnsi"/>
                <w:color w:val="auto"/>
                <w:sz w:val="20"/>
                <w:szCs w:val="20"/>
              </w:rPr>
              <w:t>)</w:t>
            </w:r>
            <w:r w:rsidRPr="00767FBD">
              <w:rPr>
                <w:rFonts w:asciiTheme="majorHAnsi" w:hAnsiTheme="majorHAnsi"/>
                <w:color w:val="auto"/>
                <w:sz w:val="20"/>
                <w:szCs w:val="20"/>
                <w:vertAlign w:val="superscript"/>
              </w:rPr>
              <w:t>4</w:t>
            </w:r>
          </w:p>
        </w:tc>
        <w:tc>
          <w:tcPr>
            <w:tcW w:w="5528" w:type="dxa"/>
            <w:vMerge/>
            <w:vAlign w:val="center"/>
          </w:tcPr>
          <w:p w14:paraId="6628AC2A" w14:textId="77777777" w:rsidR="00D46B4B" w:rsidRPr="00767FBD" w:rsidRDefault="00D46B4B" w:rsidP="00C93B01">
            <w:pPr>
              <w:jc w:val="both"/>
              <w:rPr>
                <w:rFonts w:asciiTheme="majorHAnsi" w:hAnsiTheme="majorHAnsi"/>
                <w:sz w:val="20"/>
                <w:szCs w:val="20"/>
                <w:lang w:eastAsia="ja-JP"/>
              </w:rPr>
            </w:pPr>
          </w:p>
        </w:tc>
        <w:tc>
          <w:tcPr>
            <w:tcW w:w="3969" w:type="dxa"/>
            <w:vMerge/>
            <w:vAlign w:val="center"/>
          </w:tcPr>
          <w:p w14:paraId="4161C3B7" w14:textId="77777777" w:rsidR="00D46B4B" w:rsidRPr="00767FBD" w:rsidRDefault="00D46B4B" w:rsidP="00C93B01">
            <w:pPr>
              <w:jc w:val="both"/>
              <w:rPr>
                <w:rFonts w:asciiTheme="majorHAnsi" w:hAnsiTheme="majorHAnsi"/>
                <w:sz w:val="20"/>
                <w:szCs w:val="20"/>
                <w:lang w:eastAsia="ja-JP"/>
              </w:rPr>
            </w:pPr>
          </w:p>
        </w:tc>
      </w:tr>
      <w:tr w:rsidR="0035444C" w:rsidRPr="00767FBD" w14:paraId="7B3CAED3" w14:textId="77777777" w:rsidTr="00716C95">
        <w:trPr>
          <w:trHeight w:val="855"/>
        </w:trPr>
        <w:tc>
          <w:tcPr>
            <w:tcW w:w="1613" w:type="dxa"/>
            <w:vAlign w:val="center"/>
          </w:tcPr>
          <w:p w14:paraId="712597FD" w14:textId="77777777" w:rsidR="00D46B4B" w:rsidRPr="00767FBD" w:rsidRDefault="00D46B4B" w:rsidP="00C93B01">
            <w:pPr>
              <w:jc w:val="both"/>
              <w:rPr>
                <w:rFonts w:asciiTheme="majorHAnsi" w:hAnsiTheme="majorHAnsi"/>
                <w:sz w:val="20"/>
                <w:szCs w:val="20"/>
              </w:rPr>
            </w:pPr>
            <w:r w:rsidRPr="00767FBD">
              <w:rPr>
                <w:rFonts w:asciiTheme="majorHAnsi" w:hAnsiTheme="majorHAnsi"/>
                <w:sz w:val="20"/>
                <w:szCs w:val="20"/>
              </w:rPr>
              <w:t xml:space="preserve">c. Implementación del TAC </w:t>
            </w:r>
          </w:p>
        </w:tc>
        <w:tc>
          <w:tcPr>
            <w:tcW w:w="2635" w:type="dxa"/>
            <w:vAlign w:val="center"/>
          </w:tcPr>
          <w:p w14:paraId="4A44A6C4" w14:textId="77777777" w:rsidR="00D46B4B" w:rsidRPr="00767FBD" w:rsidRDefault="00D46B4B" w:rsidP="00C93B01">
            <w:pPr>
              <w:pStyle w:val="Default"/>
              <w:jc w:val="both"/>
              <w:rPr>
                <w:rFonts w:asciiTheme="majorHAnsi" w:hAnsiTheme="majorHAnsi"/>
                <w:color w:val="auto"/>
                <w:sz w:val="20"/>
                <w:szCs w:val="20"/>
              </w:rPr>
            </w:pPr>
            <w:r w:rsidRPr="00767FBD">
              <w:rPr>
                <w:rFonts w:asciiTheme="majorHAnsi" w:hAnsiTheme="majorHAnsi"/>
                <w:color w:val="auto"/>
                <w:sz w:val="20"/>
                <w:szCs w:val="20"/>
              </w:rPr>
              <w:t>Captura</w:t>
            </w:r>
          </w:p>
        </w:tc>
        <w:tc>
          <w:tcPr>
            <w:tcW w:w="5528" w:type="dxa"/>
            <w:vAlign w:val="center"/>
          </w:tcPr>
          <w:p w14:paraId="46BE8FBC" w14:textId="1CB85181" w:rsidR="00D46B4B" w:rsidRPr="00767FBD" w:rsidRDefault="00D46B4B" w:rsidP="00C93B01">
            <w:pPr>
              <w:jc w:val="both"/>
              <w:rPr>
                <w:rFonts w:asciiTheme="majorHAnsi" w:hAnsiTheme="majorHAnsi"/>
                <w:sz w:val="20"/>
                <w:szCs w:val="20"/>
              </w:rPr>
            </w:pPr>
            <w:r w:rsidRPr="00767FBD">
              <w:rPr>
                <w:rFonts w:asciiTheme="majorHAnsi" w:hAnsiTheme="majorHAnsi"/>
                <w:sz w:val="20"/>
                <w:szCs w:val="20"/>
              </w:rPr>
              <w:t xml:space="preserve">La captura total se sitúa por encima </w:t>
            </w:r>
            <w:r w:rsidR="009D221B" w:rsidRPr="00767FBD">
              <w:rPr>
                <w:rFonts w:asciiTheme="majorHAnsi" w:hAnsiTheme="majorHAnsi"/>
                <w:sz w:val="20"/>
                <w:szCs w:val="20"/>
              </w:rPr>
              <w:t xml:space="preserve">del </w:t>
            </w:r>
            <w:r w:rsidRPr="00767FBD">
              <w:rPr>
                <w:rFonts w:asciiTheme="majorHAnsi" w:hAnsiTheme="majorHAnsi"/>
                <w:sz w:val="20"/>
                <w:szCs w:val="20"/>
              </w:rPr>
              <w:t>20</w:t>
            </w:r>
            <w:r w:rsidR="00E7775C" w:rsidRPr="00767FBD">
              <w:rPr>
                <w:rFonts w:asciiTheme="majorHAnsi" w:hAnsiTheme="majorHAnsi"/>
                <w:sz w:val="20"/>
                <w:szCs w:val="20"/>
              </w:rPr>
              <w:t xml:space="preserve"> </w:t>
            </w:r>
            <w:r w:rsidRPr="00767FBD">
              <w:rPr>
                <w:rFonts w:asciiTheme="majorHAnsi" w:hAnsiTheme="majorHAnsi"/>
                <w:sz w:val="20"/>
                <w:szCs w:val="20"/>
              </w:rPr>
              <w:t>%</w:t>
            </w:r>
            <w:r w:rsidR="00910E74" w:rsidRPr="00767FBD">
              <w:rPr>
                <w:rFonts w:asciiTheme="majorHAnsi" w:hAnsiTheme="majorHAnsi"/>
                <w:sz w:val="20"/>
                <w:szCs w:val="20"/>
              </w:rPr>
              <w:t xml:space="preserve"> </w:t>
            </w:r>
            <w:r w:rsidRPr="00767FBD">
              <w:rPr>
                <w:rFonts w:asciiTheme="majorHAnsi" w:hAnsiTheme="majorHAnsi"/>
                <w:sz w:val="20"/>
                <w:szCs w:val="20"/>
              </w:rPr>
              <w:t xml:space="preserve">del TAC establecido utilizando el MP.  </w:t>
            </w:r>
          </w:p>
        </w:tc>
        <w:tc>
          <w:tcPr>
            <w:tcW w:w="3969" w:type="dxa"/>
            <w:vAlign w:val="center"/>
          </w:tcPr>
          <w:p w14:paraId="179CF3AB" w14:textId="77777777" w:rsidR="00D46B4B" w:rsidRPr="00767FBD" w:rsidRDefault="00D46B4B" w:rsidP="00C93B01">
            <w:pPr>
              <w:jc w:val="both"/>
              <w:rPr>
                <w:rFonts w:asciiTheme="majorHAnsi" w:hAnsiTheme="majorHAnsi"/>
                <w:sz w:val="20"/>
                <w:szCs w:val="20"/>
              </w:rPr>
            </w:pPr>
            <w:r w:rsidRPr="00767FBD">
              <w:rPr>
                <w:rFonts w:asciiTheme="majorHAnsi" w:hAnsiTheme="majorHAnsi"/>
                <w:sz w:val="20"/>
                <w:szCs w:val="20"/>
              </w:rPr>
              <w:t>Anualmente</w:t>
            </w:r>
          </w:p>
        </w:tc>
      </w:tr>
    </w:tbl>
    <w:p w14:paraId="620BCE56" w14:textId="77777777" w:rsidR="00D46B4B" w:rsidRPr="00767FBD" w:rsidRDefault="00D46B4B" w:rsidP="00D46B4B">
      <w:pPr>
        <w:rPr>
          <w:rFonts w:asciiTheme="majorHAnsi" w:eastAsia="Times New Roman" w:hAnsiTheme="majorHAnsi" w:cs="Times New Roman"/>
          <w:b/>
          <w:bCs/>
          <w:sz w:val="20"/>
          <w:szCs w:val="20"/>
          <w:lang w:eastAsia="en-CA"/>
        </w:rPr>
        <w:sectPr w:rsidR="00D46B4B" w:rsidRPr="00767FBD" w:rsidSect="001768EB">
          <w:headerReference w:type="default" r:id="rId10"/>
          <w:footnotePr>
            <w:numRestart w:val="eachPage"/>
          </w:footnotePr>
          <w:pgSz w:w="15840" w:h="12240" w:orient="landscape" w:code="1"/>
          <w:pgMar w:top="1418" w:right="1418" w:bottom="1418" w:left="1418" w:header="850" w:footer="1134" w:gutter="0"/>
          <w:cols w:space="708"/>
          <w:docGrid w:linePitch="360"/>
        </w:sectPr>
      </w:pPr>
    </w:p>
    <w:p w14:paraId="79F7927B" w14:textId="77777777" w:rsidR="00D46B4B" w:rsidRPr="00767FBD" w:rsidRDefault="00D46B4B" w:rsidP="00D46B4B">
      <w:pPr>
        <w:spacing w:after="0" w:line="240" w:lineRule="auto"/>
        <w:jc w:val="both"/>
        <w:rPr>
          <w:rFonts w:ascii="Cambria" w:eastAsia="MS Mincho" w:hAnsi="Cambria" w:cs="Times New Roman"/>
          <w:b/>
          <w:sz w:val="20"/>
          <w:szCs w:val="20"/>
        </w:rPr>
      </w:pPr>
      <w:r w:rsidRPr="00767FBD">
        <w:rPr>
          <w:rFonts w:ascii="Cambria" w:eastAsia="Calibri" w:hAnsi="Cambria" w:cs="Times New Roman"/>
          <w:b/>
          <w:sz w:val="20"/>
          <w:szCs w:val="20"/>
        </w:rPr>
        <w:lastRenderedPageBreak/>
        <w:t>3</w:t>
      </w:r>
      <w:r w:rsidRPr="00767FBD">
        <w:rPr>
          <w:rFonts w:ascii="Cambria" w:eastAsia="Calibri" w:hAnsi="Cambria" w:cs="Times New Roman"/>
          <w:sz w:val="20"/>
          <w:szCs w:val="20"/>
        </w:rPr>
        <w:t>.</w:t>
      </w:r>
      <w:r w:rsidRPr="00767FBD">
        <w:rPr>
          <w:rFonts w:ascii="Calibri" w:eastAsia="Calibri" w:hAnsi="Calibri" w:cs="Times New Roman"/>
          <w:sz w:val="20"/>
          <w:szCs w:val="20"/>
        </w:rPr>
        <w:t xml:space="preserve"> </w:t>
      </w:r>
      <w:r w:rsidRPr="00767FBD">
        <w:rPr>
          <w:rFonts w:ascii="Cambria" w:eastAsia="Calibri" w:hAnsi="Cambria" w:cs="Times New Roman"/>
          <w:b/>
          <w:bCs/>
          <w:sz w:val="20"/>
          <w:szCs w:val="20"/>
        </w:rPr>
        <w:t>Acciones que se tienen que emprender en caso de circunstancias excepcionales</w:t>
      </w:r>
    </w:p>
    <w:p w14:paraId="29BB5F56" w14:textId="77777777" w:rsidR="00D46B4B" w:rsidRPr="00767FBD" w:rsidRDefault="00D46B4B" w:rsidP="00D46B4B">
      <w:pPr>
        <w:spacing w:after="0" w:line="240" w:lineRule="auto"/>
        <w:jc w:val="both"/>
        <w:rPr>
          <w:rFonts w:ascii="Cambria" w:eastAsia="MS Mincho" w:hAnsi="Cambria" w:cs="Times New Roman"/>
          <w:b/>
          <w:sz w:val="20"/>
          <w:szCs w:val="20"/>
        </w:rPr>
      </w:pPr>
    </w:p>
    <w:p w14:paraId="14453A64" w14:textId="5DF46FE5" w:rsidR="00D46B4B" w:rsidRPr="00767FBD" w:rsidRDefault="00D46B4B" w:rsidP="00D46B4B">
      <w:pPr>
        <w:spacing w:after="0" w:line="240" w:lineRule="auto"/>
        <w:jc w:val="both"/>
        <w:rPr>
          <w:rFonts w:ascii="Cambria" w:eastAsia="Cambria" w:hAnsi="Cambria" w:cs="Cambria"/>
          <w:sz w:val="20"/>
          <w:szCs w:val="20"/>
        </w:rPr>
      </w:pPr>
      <w:r w:rsidRPr="00767FBD">
        <w:rPr>
          <w:rFonts w:ascii="Cambria" w:eastAsia="Calibri" w:hAnsi="Cambria" w:cs="Times New Roman"/>
          <w:sz w:val="20"/>
          <w:szCs w:val="20"/>
        </w:rPr>
        <w:t>Si el SCRS determina que existe una EC que impide la aplicación</w:t>
      </w:r>
      <w:r w:rsidR="00434388" w:rsidRPr="00767FBD">
        <w:rPr>
          <w:rFonts w:ascii="Cambria" w:eastAsia="Calibri" w:hAnsi="Cambria" w:cs="Times New Roman"/>
          <w:sz w:val="20"/>
          <w:szCs w:val="20"/>
        </w:rPr>
        <w:t xml:space="preserve"> </w:t>
      </w:r>
      <w:r w:rsidRPr="00767FBD">
        <w:rPr>
          <w:rFonts w:ascii="Cambria" w:eastAsia="Calibri" w:hAnsi="Cambria" w:cs="Times New Roman"/>
          <w:sz w:val="20"/>
          <w:szCs w:val="20"/>
        </w:rPr>
        <w:t>del MP o hace que no sea aconsejable la aplicación</w:t>
      </w:r>
      <w:r w:rsidR="00434388" w:rsidRPr="00767FBD">
        <w:rPr>
          <w:rFonts w:ascii="Cambria" w:eastAsia="Calibri" w:hAnsi="Cambria" w:cs="Times New Roman"/>
          <w:sz w:val="20"/>
          <w:szCs w:val="20"/>
        </w:rPr>
        <w:t xml:space="preserve"> </w:t>
      </w:r>
      <w:r w:rsidRPr="00767FBD">
        <w:rPr>
          <w:rFonts w:ascii="Cambria" w:eastAsia="Calibri" w:hAnsi="Cambria" w:cs="Times New Roman"/>
          <w:sz w:val="20"/>
          <w:szCs w:val="20"/>
        </w:rPr>
        <w:t xml:space="preserve">del MP o </w:t>
      </w:r>
      <w:r w:rsidR="00434388" w:rsidRPr="00767FBD">
        <w:rPr>
          <w:rFonts w:ascii="Cambria" w:eastAsia="Calibri" w:hAnsi="Cambria" w:cs="Times New Roman"/>
          <w:sz w:val="20"/>
          <w:szCs w:val="20"/>
        </w:rPr>
        <w:t>desaconseja l</w:t>
      </w:r>
      <w:r w:rsidRPr="00767FBD">
        <w:rPr>
          <w:rFonts w:ascii="Cambria" w:eastAsia="Calibri" w:hAnsi="Cambria" w:cs="Times New Roman"/>
          <w:sz w:val="20"/>
          <w:szCs w:val="20"/>
        </w:rPr>
        <w:t>a implementación de sus resultados</w:t>
      </w:r>
      <w:r w:rsidR="00434388" w:rsidRPr="00767FBD">
        <w:rPr>
          <w:rFonts w:ascii="Cambria" w:eastAsia="Calibri" w:hAnsi="Cambria" w:cs="Times New Roman"/>
          <w:sz w:val="20"/>
          <w:szCs w:val="20"/>
        </w:rPr>
        <w:t xml:space="preserve"> </w:t>
      </w:r>
      <w:r w:rsidRPr="00767FBD">
        <w:rPr>
          <w:rFonts w:ascii="Cambria" w:eastAsia="Calibri" w:hAnsi="Cambria" w:cs="Times New Roman"/>
          <w:sz w:val="20"/>
          <w:szCs w:val="20"/>
        </w:rPr>
        <w:t>sobre la base de los principios expuestos en la Sección 1, el SCRS evaluará la naturaleza de la E</w:t>
      </w:r>
      <w:r w:rsidR="00836730" w:rsidRPr="00767FBD">
        <w:rPr>
          <w:rFonts w:ascii="Cambria" w:eastAsia="Calibri" w:hAnsi="Cambria" w:cs="Times New Roman"/>
          <w:sz w:val="20"/>
          <w:szCs w:val="20"/>
        </w:rPr>
        <w:t>C</w:t>
      </w:r>
      <w:r w:rsidRPr="00767FBD">
        <w:rPr>
          <w:rFonts w:ascii="Cambria" w:eastAsia="Calibri" w:hAnsi="Cambria" w:cs="Times New Roman"/>
          <w:sz w:val="20"/>
          <w:szCs w:val="20"/>
        </w:rPr>
        <w:t xml:space="preserve"> y asesorará a la Comisión sobre: </w:t>
      </w:r>
    </w:p>
    <w:p w14:paraId="3EDDC121" w14:textId="77777777" w:rsidR="00D46B4B" w:rsidRPr="00767FBD" w:rsidRDefault="00D46B4B" w:rsidP="00D46B4B">
      <w:pPr>
        <w:spacing w:after="0" w:line="240" w:lineRule="auto"/>
        <w:jc w:val="both"/>
        <w:rPr>
          <w:rFonts w:ascii="Cambria" w:eastAsia="Cambria" w:hAnsi="Cambria" w:cs="Cambria"/>
          <w:sz w:val="20"/>
          <w:szCs w:val="20"/>
        </w:rPr>
      </w:pPr>
    </w:p>
    <w:p w14:paraId="3F6E27A4" w14:textId="1DB7DBD7" w:rsidR="00910E74" w:rsidRPr="00767FBD" w:rsidRDefault="00D46B4B" w:rsidP="00EE091B">
      <w:pPr>
        <w:pStyle w:val="ListParagraph"/>
        <w:spacing w:after="0" w:line="240" w:lineRule="auto"/>
        <w:ind w:left="1134" w:hanging="414"/>
        <w:jc w:val="both"/>
        <w:rPr>
          <w:rFonts w:ascii="Cambria" w:eastAsia="Calibri" w:hAnsi="Cambria" w:cs="Times New Roman"/>
          <w:sz w:val="20"/>
          <w:szCs w:val="20"/>
        </w:rPr>
      </w:pPr>
      <w:r w:rsidRPr="00767FBD">
        <w:rPr>
          <w:rFonts w:ascii="Cambria" w:eastAsia="Calibri" w:hAnsi="Cambria" w:cs="Times New Roman"/>
          <w:sz w:val="20"/>
          <w:szCs w:val="20"/>
        </w:rPr>
        <w:t xml:space="preserve">(A) </w:t>
      </w:r>
      <w:r w:rsidR="00EE091B" w:rsidRPr="00767FBD">
        <w:rPr>
          <w:rFonts w:ascii="Cambria" w:eastAsia="Calibri" w:hAnsi="Cambria" w:cs="Times New Roman"/>
          <w:sz w:val="20"/>
          <w:szCs w:val="20"/>
        </w:rPr>
        <w:tab/>
      </w:r>
      <w:r w:rsidRPr="00767FBD">
        <w:rPr>
          <w:rFonts w:ascii="Cambria" w:eastAsia="Calibri" w:hAnsi="Cambria" w:cs="Times New Roman"/>
          <w:sz w:val="20"/>
          <w:szCs w:val="20"/>
        </w:rPr>
        <w:t>opciones de ordenación alternativas para el siguiente año de pesca destinadas a garantizar, como mínimo, la estabilidad del estado del stock, incluidas las implicaciones de: (i) mantener el statu quo del total admisible de capturas (TAC); (</w:t>
      </w:r>
      <w:proofErr w:type="spellStart"/>
      <w:r w:rsidRPr="00767FBD">
        <w:rPr>
          <w:rFonts w:ascii="Cambria" w:eastAsia="Calibri" w:hAnsi="Cambria" w:cs="Times New Roman"/>
          <w:sz w:val="20"/>
          <w:szCs w:val="20"/>
        </w:rPr>
        <w:t>ii</w:t>
      </w:r>
      <w:proofErr w:type="spellEnd"/>
      <w:r w:rsidRPr="00767FBD">
        <w:rPr>
          <w:rFonts w:ascii="Cambria" w:eastAsia="Calibri" w:hAnsi="Cambria" w:cs="Times New Roman"/>
          <w:sz w:val="20"/>
          <w:szCs w:val="20"/>
        </w:rPr>
        <w:t xml:space="preserve">) reducir el TAC, en un </w:t>
      </w:r>
      <w:r w:rsidRPr="00767FBD">
        <w:rPr>
          <w:rFonts w:ascii="Cambria" w:eastAsia="Calibri" w:hAnsi="Cambria" w:cs="Times New Roman"/>
          <w:b/>
          <w:bCs/>
          <w:sz w:val="20"/>
          <w:szCs w:val="20"/>
        </w:rPr>
        <w:t>20 %</w:t>
      </w:r>
      <w:r w:rsidRPr="00767FBD">
        <w:rPr>
          <w:rFonts w:ascii="Cambria" w:eastAsia="Calibri" w:hAnsi="Cambria" w:cs="Times New Roman"/>
          <w:sz w:val="20"/>
          <w:szCs w:val="20"/>
        </w:rPr>
        <w:t xml:space="preserve"> u otro porcentaje adecuado, en particular a la luz de los indicios de descenso del stock y (</w:t>
      </w:r>
      <w:proofErr w:type="spellStart"/>
      <w:r w:rsidRPr="00767FBD">
        <w:rPr>
          <w:rFonts w:ascii="Cambria" w:eastAsia="Calibri" w:hAnsi="Cambria" w:cs="Times New Roman"/>
          <w:sz w:val="20"/>
          <w:szCs w:val="20"/>
        </w:rPr>
        <w:t>iii</w:t>
      </w:r>
      <w:proofErr w:type="spellEnd"/>
      <w:r w:rsidRPr="00767FBD">
        <w:rPr>
          <w:rFonts w:ascii="Cambria" w:eastAsia="Calibri" w:hAnsi="Cambria" w:cs="Times New Roman"/>
          <w:sz w:val="20"/>
          <w:szCs w:val="20"/>
        </w:rPr>
        <w:t>) cualquier otra acción de conservación y ordenación adecuada;</w:t>
      </w:r>
    </w:p>
    <w:p w14:paraId="4124FBC8" w14:textId="77777777" w:rsidR="00910E74" w:rsidRPr="00767FBD" w:rsidRDefault="00910E74" w:rsidP="00D46B4B">
      <w:pPr>
        <w:pStyle w:val="ListParagraph"/>
        <w:spacing w:after="0" w:line="240" w:lineRule="auto"/>
        <w:jc w:val="both"/>
        <w:rPr>
          <w:rFonts w:ascii="Cambria" w:eastAsia="Calibri" w:hAnsi="Cambria" w:cs="Times New Roman"/>
          <w:sz w:val="20"/>
          <w:szCs w:val="20"/>
        </w:rPr>
      </w:pPr>
    </w:p>
    <w:p w14:paraId="75293C7E" w14:textId="75CE6F7C" w:rsidR="00434388" w:rsidRPr="00767FBD" w:rsidRDefault="00D46B4B" w:rsidP="00EE091B">
      <w:pPr>
        <w:pStyle w:val="ListParagraph"/>
        <w:spacing w:after="0" w:line="240" w:lineRule="auto"/>
        <w:ind w:left="1134" w:hanging="414"/>
        <w:jc w:val="both"/>
        <w:rPr>
          <w:rFonts w:ascii="Cambria" w:eastAsia="Calibri" w:hAnsi="Cambria" w:cs="Times New Roman"/>
          <w:sz w:val="20"/>
          <w:szCs w:val="20"/>
        </w:rPr>
      </w:pPr>
      <w:r w:rsidRPr="00767FBD">
        <w:rPr>
          <w:rFonts w:ascii="Cambria" w:eastAsia="Calibri" w:hAnsi="Cambria" w:cs="Times New Roman"/>
          <w:sz w:val="20"/>
          <w:szCs w:val="20"/>
        </w:rPr>
        <w:t xml:space="preserve">(B) </w:t>
      </w:r>
      <w:r w:rsidR="00EE091B" w:rsidRPr="00767FBD">
        <w:rPr>
          <w:rFonts w:ascii="Cambria" w:eastAsia="Calibri" w:hAnsi="Cambria" w:cs="Times New Roman"/>
          <w:sz w:val="20"/>
          <w:szCs w:val="20"/>
        </w:rPr>
        <w:tab/>
      </w:r>
      <w:r w:rsidRPr="00767FBD">
        <w:rPr>
          <w:rFonts w:ascii="Cambria" w:eastAsia="Calibri" w:hAnsi="Cambria" w:cs="Times New Roman"/>
          <w:sz w:val="20"/>
          <w:szCs w:val="20"/>
        </w:rPr>
        <w:t xml:space="preserve">si el MP existente puede y debería ajustarse o si es necesario desarrollar un nuevo MP; y </w:t>
      </w:r>
    </w:p>
    <w:p w14:paraId="6271D1CE" w14:textId="77777777" w:rsidR="00434388" w:rsidRPr="00767FBD" w:rsidRDefault="00434388" w:rsidP="00D46B4B">
      <w:pPr>
        <w:pStyle w:val="ListParagraph"/>
        <w:spacing w:after="0" w:line="240" w:lineRule="auto"/>
        <w:jc w:val="both"/>
        <w:rPr>
          <w:rFonts w:ascii="Cambria" w:eastAsia="Calibri" w:hAnsi="Cambria" w:cs="Times New Roman"/>
          <w:sz w:val="20"/>
          <w:szCs w:val="20"/>
        </w:rPr>
      </w:pPr>
    </w:p>
    <w:p w14:paraId="5C46EEAC" w14:textId="63541E49" w:rsidR="00D46B4B" w:rsidRPr="00767FBD" w:rsidRDefault="00D46B4B" w:rsidP="00EE091B">
      <w:pPr>
        <w:pStyle w:val="ListParagraph"/>
        <w:spacing w:after="0" w:line="240" w:lineRule="auto"/>
        <w:ind w:left="1134" w:hanging="414"/>
        <w:jc w:val="both"/>
        <w:rPr>
          <w:rFonts w:ascii="Cambria" w:eastAsia="Cambria" w:hAnsi="Cambria" w:cs="Cambria"/>
          <w:sz w:val="20"/>
          <w:szCs w:val="20"/>
        </w:rPr>
      </w:pPr>
      <w:r w:rsidRPr="00767FBD">
        <w:rPr>
          <w:rFonts w:ascii="Cambria" w:eastAsia="Calibri" w:hAnsi="Cambria" w:cs="Times New Roman"/>
          <w:sz w:val="20"/>
          <w:szCs w:val="20"/>
        </w:rPr>
        <w:t xml:space="preserve">(C) </w:t>
      </w:r>
      <w:r w:rsidR="00EE091B" w:rsidRPr="00767FBD">
        <w:rPr>
          <w:rFonts w:ascii="Cambria" w:eastAsia="Calibri" w:hAnsi="Cambria" w:cs="Times New Roman"/>
          <w:sz w:val="20"/>
          <w:szCs w:val="20"/>
        </w:rPr>
        <w:tab/>
      </w:r>
      <w:r w:rsidRPr="00767FBD">
        <w:rPr>
          <w:rFonts w:ascii="Cambria" w:eastAsia="Calibri" w:hAnsi="Cambria" w:cs="Times New Roman"/>
          <w:sz w:val="20"/>
          <w:szCs w:val="20"/>
        </w:rPr>
        <w:t xml:space="preserve">si es necesaria una evaluación de stock para proporcionar asesoramiento de ordenación en el ínterin.  </w:t>
      </w:r>
    </w:p>
    <w:p w14:paraId="283F149A" w14:textId="77777777" w:rsidR="00D46B4B" w:rsidRPr="00767FBD" w:rsidRDefault="00D46B4B" w:rsidP="00D46B4B">
      <w:pPr>
        <w:spacing w:after="0" w:line="240" w:lineRule="auto"/>
        <w:jc w:val="both"/>
        <w:rPr>
          <w:rFonts w:ascii="Cambria" w:eastAsia="Cambria" w:hAnsi="Cambria" w:cs="Cambria"/>
          <w:sz w:val="20"/>
          <w:szCs w:val="20"/>
        </w:rPr>
      </w:pPr>
    </w:p>
    <w:p w14:paraId="170622CD" w14:textId="75D92B85" w:rsidR="00D46B4B" w:rsidRPr="00767FBD" w:rsidRDefault="00D46B4B" w:rsidP="00E23B66">
      <w:pPr>
        <w:spacing w:after="0" w:line="240" w:lineRule="auto"/>
        <w:jc w:val="both"/>
        <w:rPr>
          <w:rFonts w:ascii="Cambria" w:eastAsia="Cambria" w:hAnsi="Cambria" w:cs="Cambria"/>
          <w:sz w:val="20"/>
          <w:szCs w:val="20"/>
        </w:rPr>
      </w:pPr>
      <w:r w:rsidRPr="00767FBD">
        <w:rPr>
          <w:rFonts w:ascii="Cambria" w:eastAsia="Calibri" w:hAnsi="Cambria" w:cs="Times New Roman"/>
          <w:sz w:val="20"/>
          <w:szCs w:val="20"/>
        </w:rPr>
        <w:t xml:space="preserve">Basándose en el asesoramiento del SCRS, la Comisión decidirá la(s) acción(es) de ordenación alternativa(s) que debe(n) adoptarse. A menos que el SCRS advierta de que existe una base científica suficiente para desviarse, la Comisión reducirá el TAC de atún blanco del Atlántico norte en un </w:t>
      </w:r>
      <w:r w:rsidR="00631334" w:rsidRPr="00767FBD">
        <w:rPr>
          <w:rFonts w:ascii="Cambria" w:eastAsia="Calibri" w:hAnsi="Cambria" w:cs="Times New Roman"/>
          <w:b/>
          <w:bCs/>
          <w:sz w:val="20"/>
          <w:szCs w:val="20"/>
        </w:rPr>
        <w:t xml:space="preserve">20 % </w:t>
      </w:r>
      <w:r w:rsidRPr="00767FBD">
        <w:rPr>
          <w:rFonts w:ascii="Cambria" w:eastAsia="Calibri" w:hAnsi="Cambria" w:cs="Times New Roman"/>
          <w:sz w:val="20"/>
          <w:szCs w:val="20"/>
        </w:rPr>
        <w:t>para el año siguiente. Además, según sea necesario y apropiado, el SCRS llevará a cabo una nueva evaluación de stock y/o proporcionará asesoramiento sobre nuevos MP candidatos tan pronto como sea posible.</w:t>
      </w:r>
    </w:p>
    <w:p w14:paraId="6171D78E" w14:textId="77777777" w:rsidR="00D46B4B" w:rsidRPr="00767FBD" w:rsidRDefault="00D46B4B" w:rsidP="00D46B4B">
      <w:pPr>
        <w:spacing w:after="0" w:line="240" w:lineRule="auto"/>
        <w:jc w:val="both"/>
        <w:rPr>
          <w:rFonts w:ascii="Cambria" w:eastAsia="Cambria" w:hAnsi="Cambria" w:cs="Cambria"/>
          <w:sz w:val="20"/>
          <w:szCs w:val="20"/>
        </w:rPr>
      </w:pPr>
    </w:p>
    <w:p w14:paraId="67674E8E" w14:textId="77777777" w:rsidR="00D46B4B" w:rsidRPr="00767FBD" w:rsidRDefault="00E21C28" w:rsidP="00D46B4B">
      <w:pPr>
        <w:spacing w:after="0" w:line="240" w:lineRule="auto"/>
        <w:rPr>
          <w:rFonts w:asciiTheme="majorHAnsi" w:eastAsia="Cambria" w:hAnsiTheme="majorHAnsi" w:cs="Cambria"/>
          <w:sz w:val="20"/>
          <w:szCs w:val="20"/>
        </w:rPr>
      </w:pPr>
      <w:sdt>
        <w:sdtPr>
          <w:rPr>
            <w:rFonts w:asciiTheme="majorHAnsi" w:hAnsiTheme="majorHAnsi"/>
            <w:sz w:val="20"/>
            <w:szCs w:val="20"/>
          </w:rPr>
          <w:tag w:val="goog_rdk_61"/>
          <w:id w:val="-1345015654"/>
        </w:sdtPr>
        <w:sdtEndPr/>
        <w:sdtContent/>
      </w:sdt>
      <w:r w:rsidR="00D46B4B" w:rsidRPr="00767FBD">
        <w:rPr>
          <w:rFonts w:asciiTheme="majorHAnsi" w:hAnsiTheme="majorHAnsi"/>
          <w:sz w:val="20"/>
          <w:szCs w:val="20"/>
        </w:rPr>
        <w:t>Véase el esquema a continuación para una representación esquemática del proceso anterior:</w:t>
      </w:r>
    </w:p>
    <w:p w14:paraId="57E71315" w14:textId="0DB69F4A" w:rsidR="003A0F43" w:rsidRPr="00767FBD" w:rsidRDefault="00D46B4B" w:rsidP="003A0F43">
      <w:pPr>
        <w:rPr>
          <w:rFonts w:ascii="Cambria" w:eastAsia="Cambria" w:hAnsi="Cambria" w:cs="Cambria"/>
          <w:sz w:val="20"/>
          <w:szCs w:val="20"/>
        </w:rPr>
      </w:pPr>
      <w:r w:rsidRPr="00767FBD">
        <w:rPr>
          <w:sz w:val="20"/>
          <w:szCs w:val="20"/>
        </w:rPr>
        <w:br w:type="page"/>
      </w:r>
    </w:p>
    <w:tbl>
      <w:tblPr>
        <w:tblStyle w:val="TableGrid"/>
        <w:tblW w:w="0" w:type="auto"/>
        <w:tblLook w:val="04A0" w:firstRow="1" w:lastRow="0" w:firstColumn="1" w:lastColumn="0" w:noHBand="0" w:noVBand="1"/>
      </w:tblPr>
      <w:tblGrid>
        <w:gridCol w:w="9350"/>
      </w:tblGrid>
      <w:tr w:rsidR="0035444C" w:rsidRPr="00767FBD" w14:paraId="2F472943" w14:textId="77777777" w:rsidTr="00B50A1D">
        <w:tc>
          <w:tcPr>
            <w:tcW w:w="9350" w:type="dxa"/>
          </w:tcPr>
          <w:bookmarkStart w:id="0" w:name="_Hlk78898259"/>
          <w:bookmarkStart w:id="1" w:name="_Hlk78898260"/>
          <w:p w14:paraId="56D3E44B" w14:textId="2F3243C5" w:rsidR="003A0F43" w:rsidRPr="00767FBD" w:rsidRDefault="003A0F43" w:rsidP="00B50A1D">
            <w:pPr>
              <w:rPr>
                <w:rStyle w:val="fontstyle11"/>
                <w:color w:val="auto"/>
              </w:rPr>
            </w:pPr>
            <w:r w:rsidRPr="00767FBD">
              <w:rPr>
                <w:rFonts w:ascii="Cambria" w:hAnsi="Cambria"/>
                <w:noProof/>
                <w:sz w:val="20"/>
                <w:szCs w:val="20"/>
              </w:rPr>
              <w:lastRenderedPageBreak/>
              <mc:AlternateContent>
                <mc:Choice Requires="wpi">
                  <w:drawing>
                    <wp:anchor distT="0" distB="0" distL="114300" distR="114300" simplePos="0" relativeHeight="251674624" behindDoc="0" locked="0" layoutInCell="1" allowOverlap="1" wp14:anchorId="2755C1BC" wp14:editId="1FF61D38">
                      <wp:simplePos x="0" y="0"/>
                      <wp:positionH relativeFrom="column">
                        <wp:posOffset>20400</wp:posOffset>
                      </wp:positionH>
                      <wp:positionV relativeFrom="paragraph">
                        <wp:posOffset>159044</wp:posOffset>
                      </wp:positionV>
                      <wp:extent cx="360" cy="360"/>
                      <wp:effectExtent l="0" t="0" r="0" b="0"/>
                      <wp:wrapNone/>
                      <wp:docPr id="11" name="Ink 1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2A30CCA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9pt;margin-top:11.8pt;width:1.45pt;height:1.4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">
                      <v:imagedata r:id="rId14" o:title=""/>
                    </v:shape>
                  </w:pict>
                </mc:Fallback>
              </mc:AlternateContent>
            </w:r>
            <w:r w:rsidRPr="00767FBD">
              <w:rPr>
                <w:rStyle w:val="fontstyle11"/>
                <w:color w:val="auto"/>
              </w:rPr>
              <w:t>El SCRS comprobará si existen circunstancias excepcionales, utilizando los indicadores especificados en la tabla de la sección 2 anterior y según la frecuencia indicada:</w:t>
            </w:r>
          </w:p>
          <w:p w14:paraId="19E9FF05" w14:textId="77777777" w:rsidR="003A0F43" w:rsidRPr="00767FBD" w:rsidRDefault="003A0F43" w:rsidP="00B50A1D">
            <w:pPr>
              <w:rPr>
                <w:rStyle w:val="fontstyle11"/>
                <w:color w:val="auto"/>
              </w:rPr>
            </w:pPr>
          </w:p>
          <w:p w14:paraId="40E91A43" w14:textId="2D1AB1B5" w:rsidR="003A0F43" w:rsidRPr="00767FBD" w:rsidRDefault="003A0F43" w:rsidP="00B50A1D">
            <w:pPr>
              <w:rPr>
                <w:rStyle w:val="fontstyle11"/>
                <w:color w:val="auto"/>
              </w:rPr>
            </w:pPr>
            <w:r w:rsidRPr="00767FBD">
              <w:rPr>
                <w:rStyle w:val="fontstyle11"/>
                <w:color w:val="auto"/>
              </w:rPr>
              <w:t>Años 1 y 2</w:t>
            </w:r>
            <w:r w:rsidR="00EE091B" w:rsidRPr="00767FBD">
              <w:rPr>
                <w:rStyle w:val="fontstyle11"/>
                <w:color w:val="auto"/>
              </w:rPr>
              <w:t>:</w:t>
            </w:r>
            <w:r w:rsidRPr="00767FBD">
              <w:rPr>
                <w:rStyle w:val="fontstyle11"/>
                <w:color w:val="auto"/>
              </w:rPr>
              <w:t xml:space="preserve"> </w:t>
            </w:r>
          </w:p>
          <w:p w14:paraId="49A16610" w14:textId="15946325" w:rsidR="003A0F43" w:rsidRPr="00767FBD" w:rsidRDefault="003A0F43" w:rsidP="00B50A1D">
            <w:pPr>
              <w:ind w:firstLine="360"/>
              <w:rPr>
                <w:rStyle w:val="fontstyle11"/>
                <w:color w:val="auto"/>
              </w:rPr>
            </w:pPr>
            <w:r w:rsidRPr="00767FBD">
              <w:rPr>
                <w:rStyle w:val="fontstyle11"/>
                <w:color w:val="auto"/>
              </w:rPr>
              <w:t>1. Comprobar si hay nuevos estudios sobre crecimiento, madurez y mortalidad natural</w:t>
            </w:r>
            <w:r w:rsidR="00EE091B" w:rsidRPr="00767FBD">
              <w:rPr>
                <w:rStyle w:val="fontstyle11"/>
                <w:color w:val="auto"/>
              </w:rPr>
              <w:t>.</w:t>
            </w:r>
          </w:p>
          <w:p w14:paraId="4FD558F7" w14:textId="78AC311E" w:rsidR="003A0F43" w:rsidRPr="00767FBD" w:rsidRDefault="003A0F43" w:rsidP="00B50A1D">
            <w:pPr>
              <w:ind w:left="360"/>
              <w:rPr>
                <w:rStyle w:val="fontstyle11"/>
                <w:color w:val="auto"/>
              </w:rPr>
            </w:pPr>
            <w:r w:rsidRPr="00767FBD">
              <w:rPr>
                <w:rStyle w:val="fontstyle11"/>
                <w:color w:val="auto"/>
              </w:rPr>
              <w:t>2. Actualizar los índices de CPUE</w:t>
            </w:r>
            <w:r w:rsidR="00EE091B" w:rsidRPr="00767FBD">
              <w:rPr>
                <w:rStyle w:val="fontstyle11"/>
                <w:color w:val="auto"/>
              </w:rPr>
              <w:t>.</w:t>
            </w:r>
          </w:p>
          <w:p w14:paraId="46C2DDD0" w14:textId="77777777" w:rsidR="003A0F43" w:rsidRPr="00767FBD" w:rsidRDefault="003A0F43" w:rsidP="00B50A1D">
            <w:pPr>
              <w:ind w:left="360"/>
              <w:rPr>
                <w:rStyle w:val="fontstyle11"/>
                <w:color w:val="auto"/>
              </w:rPr>
            </w:pPr>
            <w:r w:rsidRPr="00767FBD">
              <w:rPr>
                <w:rStyle w:val="fontstyle11"/>
                <w:color w:val="auto"/>
              </w:rPr>
              <w:t>3. Actualizar la captura</w:t>
            </w:r>
          </w:p>
          <w:p w14:paraId="3CC4457C" w14:textId="45FDA8A5" w:rsidR="003A0F43" w:rsidRPr="00767FBD" w:rsidRDefault="00434388" w:rsidP="003A0F43">
            <w:pPr>
              <w:pStyle w:val="ListParagraph"/>
              <w:numPr>
                <w:ilvl w:val="0"/>
                <w:numId w:val="22"/>
              </w:numPr>
              <w:ind w:hanging="153"/>
              <w:jc w:val="both"/>
              <w:rPr>
                <w:rStyle w:val="fontstyle11"/>
                <w:color w:val="auto"/>
              </w:rPr>
            </w:pPr>
            <w:r w:rsidRPr="00767FBD">
              <w:rPr>
                <w:rStyle w:val="fontstyle11"/>
                <w:color w:val="auto"/>
              </w:rPr>
              <w:t>c</w:t>
            </w:r>
            <w:r w:rsidR="003A0F43" w:rsidRPr="00767FBD">
              <w:rPr>
                <w:rStyle w:val="fontstyle11"/>
                <w:color w:val="auto"/>
              </w:rPr>
              <w:t>omprobar</w:t>
            </w:r>
            <w:r w:rsidR="003A0F43" w:rsidRPr="00767FBD">
              <w:rPr>
                <w:rFonts w:ascii="Cambria" w:hAnsi="Cambria"/>
                <w:sz w:val="20"/>
                <w:szCs w:val="20"/>
              </w:rPr>
              <w:t xml:space="preserve"> </w:t>
            </w:r>
            <w:r w:rsidR="003A0F43" w:rsidRPr="00767FBD">
              <w:rPr>
                <w:rStyle w:val="fontstyle11"/>
                <w:color w:val="auto"/>
              </w:rPr>
              <w:t xml:space="preserve">que estos tres elementos se inscriben </w:t>
            </w:r>
            <w:r w:rsidR="00EE091B" w:rsidRPr="00767FBD">
              <w:rPr>
                <w:rStyle w:val="fontstyle11"/>
                <w:color w:val="auto"/>
              </w:rPr>
              <w:t xml:space="preserve">todos </w:t>
            </w:r>
            <w:r w:rsidR="003A0F43" w:rsidRPr="00767FBD">
              <w:rPr>
                <w:rStyle w:val="fontstyle11"/>
                <w:color w:val="auto"/>
              </w:rPr>
              <w:t>en el rango de valores especificados en la tabla de la sección 2 anterior.</w:t>
            </w:r>
          </w:p>
          <w:p w14:paraId="50AA867B" w14:textId="00E55253" w:rsidR="003A0F43" w:rsidRPr="00767FBD" w:rsidRDefault="003A0F43" w:rsidP="00B50A1D">
            <w:pPr>
              <w:rPr>
                <w:rStyle w:val="fontstyle11"/>
                <w:color w:val="auto"/>
              </w:rPr>
            </w:pPr>
            <w:r w:rsidRPr="00767FBD">
              <w:rPr>
                <w:rStyle w:val="fontstyle11"/>
                <w:color w:val="auto"/>
              </w:rPr>
              <w:t>Año 3</w:t>
            </w:r>
            <w:r w:rsidR="00EE091B" w:rsidRPr="00767FBD">
              <w:rPr>
                <w:rStyle w:val="fontstyle11"/>
                <w:color w:val="auto"/>
              </w:rPr>
              <w:t>:</w:t>
            </w:r>
            <w:r w:rsidRPr="00767FBD">
              <w:rPr>
                <w:rStyle w:val="fontstyle11"/>
                <w:color w:val="auto"/>
              </w:rPr>
              <w:t xml:space="preserve"> </w:t>
            </w:r>
          </w:p>
          <w:p w14:paraId="38F5EDC2" w14:textId="77777777" w:rsidR="003A0F43" w:rsidRPr="00767FBD" w:rsidRDefault="003A0F43" w:rsidP="00B50A1D">
            <w:pPr>
              <w:ind w:firstLine="360"/>
              <w:rPr>
                <w:rStyle w:val="fontstyle11"/>
                <w:color w:val="auto"/>
              </w:rPr>
            </w:pPr>
            <w:r w:rsidRPr="00767FBD">
              <w:rPr>
                <w:rStyle w:val="fontstyle11"/>
                <w:color w:val="auto"/>
              </w:rPr>
              <w:t>1. Comprobar que se dispone de todos los conjuntos de datos necesarios para ejecutar el MP.</w:t>
            </w:r>
          </w:p>
          <w:p w14:paraId="4DAEF37B" w14:textId="29EE755B" w:rsidR="003A0F43" w:rsidRPr="00767FBD" w:rsidRDefault="003A0F43" w:rsidP="00B50A1D">
            <w:pPr>
              <w:ind w:leftChars="166" w:left="565" w:hangingChars="100" w:hanging="200"/>
              <w:jc w:val="both"/>
              <w:rPr>
                <w:rStyle w:val="fontstyle11"/>
                <w:color w:val="auto"/>
              </w:rPr>
            </w:pPr>
            <w:r w:rsidRPr="00767FBD">
              <w:rPr>
                <w:rStyle w:val="fontstyle11"/>
                <w:color w:val="auto"/>
              </w:rPr>
              <w:t xml:space="preserve">2. Volver a ejecutar el MP y comprobar que la biomasa del stock y la mortalidad por pesca resultante del modelo de producción del MP se inscriben </w:t>
            </w:r>
            <w:r w:rsidR="00EE091B" w:rsidRPr="00767FBD">
              <w:rPr>
                <w:rStyle w:val="fontstyle11"/>
                <w:color w:val="auto"/>
              </w:rPr>
              <w:t xml:space="preserve">dentro de </w:t>
            </w:r>
            <w:r w:rsidRPr="00767FBD">
              <w:rPr>
                <w:rStyle w:val="fontstyle11"/>
                <w:color w:val="auto"/>
              </w:rPr>
              <w:t xml:space="preserve">la gama de percentiles de </w:t>
            </w:r>
            <w:r w:rsidR="00EE091B" w:rsidRPr="00767FBD">
              <w:rPr>
                <w:rStyle w:val="fontstyle11"/>
                <w:color w:val="auto"/>
              </w:rPr>
              <w:t xml:space="preserve">valores del </w:t>
            </w:r>
            <w:r w:rsidRPr="00767FBD">
              <w:rPr>
                <w:rStyle w:val="fontstyle11"/>
                <w:color w:val="auto"/>
              </w:rPr>
              <w:t>2,5 % a 97,5 % que aparecen en los resultados del modelo de producción cuando se probó el MP aceptado mediante la MSE.</w:t>
            </w:r>
          </w:p>
          <w:p w14:paraId="4BBFA4E0" w14:textId="77777777" w:rsidR="003A0F43" w:rsidRPr="00767FBD" w:rsidRDefault="003A0F43" w:rsidP="00B50A1D">
            <w:pPr>
              <w:ind w:firstLine="360"/>
              <w:rPr>
                <w:rStyle w:val="fontstyle11"/>
                <w:color w:val="auto"/>
              </w:rPr>
            </w:pPr>
            <w:r w:rsidRPr="00767FBD">
              <w:rPr>
                <w:rStyle w:val="fontstyle11"/>
                <w:color w:val="auto"/>
              </w:rPr>
              <w:t>3. Las mismas comprobaciones realizadas en el año 1 y 2.</w:t>
            </w:r>
          </w:p>
          <w:p w14:paraId="1225147F" w14:textId="77777777" w:rsidR="003A0F43" w:rsidRPr="00767FBD" w:rsidRDefault="003A0F43" w:rsidP="00B50A1D">
            <w:pPr>
              <w:ind w:firstLine="360"/>
              <w:rPr>
                <w:rFonts w:ascii="Cambria" w:hAnsi="Cambria"/>
                <w:sz w:val="20"/>
                <w:szCs w:val="20"/>
              </w:rPr>
            </w:pPr>
          </w:p>
          <w:p w14:paraId="33900DED" w14:textId="77777777" w:rsidR="003A0F43" w:rsidRPr="00767FBD" w:rsidRDefault="003A0F43" w:rsidP="00B50A1D">
            <w:pPr>
              <w:rPr>
                <w:rFonts w:ascii="Cambria" w:hAnsi="Cambria"/>
                <w:sz w:val="20"/>
                <w:szCs w:val="20"/>
                <w:lang w:val="en-US"/>
              </w:rPr>
            </w:pPr>
            <w:r w:rsidRPr="00767FBD">
              <w:rPr>
                <w:rFonts w:ascii="Cambria" w:hAnsi="Cambria"/>
                <w:sz w:val="20"/>
                <w:szCs w:val="20"/>
              </w:rPr>
              <w:t>Cualquier año:</w:t>
            </w:r>
          </w:p>
          <w:p w14:paraId="38730302" w14:textId="0314CEF9" w:rsidR="003A0F43" w:rsidRPr="00767FBD" w:rsidRDefault="003A0F43" w:rsidP="003A0F43">
            <w:pPr>
              <w:pStyle w:val="ListParagraph"/>
              <w:numPr>
                <w:ilvl w:val="0"/>
                <w:numId w:val="22"/>
              </w:numPr>
              <w:jc w:val="both"/>
              <w:rPr>
                <w:rStyle w:val="fontstyle11"/>
                <w:color w:val="auto"/>
              </w:rPr>
            </w:pPr>
            <w:r w:rsidRPr="00767FBD">
              <w:rPr>
                <w:rFonts w:ascii="Cambria" w:hAnsi="Cambria"/>
                <w:sz w:val="20"/>
                <w:szCs w:val="20"/>
              </w:rPr>
              <w:t xml:space="preserve">si el SCRS ha realizado una evaluación de stock, comprobar que la </w:t>
            </w:r>
            <w:r w:rsidRPr="00767FBD">
              <w:rPr>
                <w:rStyle w:val="fontstyle11"/>
                <w:color w:val="auto"/>
              </w:rPr>
              <w:t xml:space="preserve">biomasa y la mortalidad por pesca del stock resultantes de la evaluación del stock se inscriben dentro de la gama de percentiles de </w:t>
            </w:r>
            <w:r w:rsidR="00EE091B" w:rsidRPr="00767FBD">
              <w:rPr>
                <w:rStyle w:val="fontstyle11"/>
                <w:color w:val="auto"/>
              </w:rPr>
              <w:t xml:space="preserve">valores de </w:t>
            </w:r>
            <w:r w:rsidRPr="00767FBD">
              <w:rPr>
                <w:rStyle w:val="fontstyle11"/>
                <w:color w:val="auto"/>
              </w:rPr>
              <w:t>2,5 % a 97,5 % de los OM utilizados en la MSE cuando se probó el MP aceptado.</w:t>
            </w:r>
          </w:p>
        </w:tc>
      </w:tr>
    </w:tbl>
    <w:bookmarkEnd w:id="0"/>
    <w:bookmarkEnd w:id="1"/>
    <w:p w14:paraId="5806B865" w14:textId="77777777" w:rsidR="003A0F43" w:rsidRPr="00767FBD" w:rsidRDefault="003A0F43" w:rsidP="003A0F43">
      <w:pPr>
        <w:rPr>
          <w:rStyle w:val="fontstyle11"/>
          <w:rFonts w:asciiTheme="majorHAnsi" w:hAnsiTheme="majorHAnsi"/>
          <w:color w:val="auto"/>
        </w:rPr>
      </w:pPr>
      <w:r w:rsidRPr="00767FBD">
        <w:rPr>
          <w:rFonts w:asciiTheme="majorHAnsi" w:hAnsiTheme="majorHAnsi"/>
          <w:noProof/>
          <w:sz w:val="20"/>
          <w:szCs w:val="20"/>
        </w:rPr>
        <mc:AlternateContent>
          <mc:Choice Requires="wps">
            <w:drawing>
              <wp:anchor distT="0" distB="0" distL="114300" distR="114300" simplePos="0" relativeHeight="251664384" behindDoc="0" locked="0" layoutInCell="1" allowOverlap="1" wp14:anchorId="3FCBB19B" wp14:editId="04694CFF">
                <wp:simplePos x="0" y="0"/>
                <wp:positionH relativeFrom="column">
                  <wp:posOffset>654050</wp:posOffset>
                </wp:positionH>
                <wp:positionV relativeFrom="paragraph">
                  <wp:posOffset>36830</wp:posOffset>
                </wp:positionV>
                <wp:extent cx="260350" cy="152400"/>
                <wp:effectExtent l="38100" t="0" r="25400" b="38100"/>
                <wp:wrapNone/>
                <wp:docPr id="22" name="矢印: 下 22"/>
                <wp:cNvGraphicFramePr/>
                <a:graphic xmlns:a="http://schemas.openxmlformats.org/drawingml/2006/main">
                  <a:graphicData uri="http://schemas.microsoft.com/office/word/2010/wordprocessingShape">
                    <wps:wsp>
                      <wps:cNvSpPr/>
                      <wps:spPr>
                        <a:xfrm>
                          <a:off x="0" y="0"/>
                          <a:ext cx="2603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915113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2" o:spid="_x0000_s1026" type="#_x0000_t67" style="position:absolute;margin-left:51.5pt;margin-top:2.9pt;width:20.5pt;height:1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" adj="10800" fillcolor="#4f81bd [3204]" strokecolor="#243f60 [1604]" strokeweight="2pt"/>
            </w:pict>
          </mc:Fallback>
        </mc:AlternateContent>
      </w:r>
      <w:r w:rsidRPr="00767FBD">
        <w:rPr>
          <w:rFonts w:asciiTheme="majorHAnsi" w:hAnsiTheme="majorHAnsi"/>
          <w:noProof/>
          <w:sz w:val="20"/>
          <w:szCs w:val="20"/>
        </w:rPr>
        <mc:AlternateContent>
          <mc:Choice Requires="wps">
            <w:drawing>
              <wp:anchor distT="0" distB="0" distL="114300" distR="114300" simplePos="0" relativeHeight="251660288" behindDoc="0" locked="0" layoutInCell="1" allowOverlap="1" wp14:anchorId="56BB8344" wp14:editId="72A79D1E">
                <wp:simplePos x="0" y="0"/>
                <wp:positionH relativeFrom="margin">
                  <wp:posOffset>213995</wp:posOffset>
                </wp:positionH>
                <wp:positionV relativeFrom="paragraph">
                  <wp:posOffset>227965</wp:posOffset>
                </wp:positionV>
                <wp:extent cx="1146175" cy="231775"/>
                <wp:effectExtent l="0" t="0" r="15875" b="15875"/>
                <wp:wrapNone/>
                <wp:docPr id="4" name="Text Box 4"/>
                <wp:cNvGraphicFramePr/>
                <a:graphic xmlns:a="http://schemas.openxmlformats.org/drawingml/2006/main">
                  <a:graphicData uri="http://schemas.microsoft.com/office/word/2010/wordprocessingShape">
                    <wps:wsp>
                      <wps:cNvSpPr txBox="1"/>
                      <wps:spPr>
                        <a:xfrm>
                          <a:off x="0" y="0"/>
                          <a:ext cx="1146175" cy="231775"/>
                        </a:xfrm>
                        <a:prstGeom prst="rect">
                          <a:avLst/>
                        </a:prstGeom>
                        <a:solidFill>
                          <a:schemeClr val="lt1"/>
                        </a:solidFill>
                        <a:ln w="6350">
                          <a:solidFill>
                            <a:prstClr val="black"/>
                          </a:solidFill>
                        </a:ln>
                      </wps:spPr>
                      <wps:txbx>
                        <w:txbxContent>
                          <w:p w14:paraId="0D37DCA1" w14:textId="77777777" w:rsidR="003A0F43" w:rsidRPr="001768EB" w:rsidRDefault="003A0F43" w:rsidP="003A0F43">
                            <w:r w:rsidRPr="001768EB">
                              <w:rPr>
                                <w:rStyle w:val="fontstyle11"/>
                                <w:color w:val="auto"/>
                              </w:rPr>
                              <w:t>Si no existen EC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B8344" id="_x0000_t202" coordsize="21600,21600" o:spt="202" path="m,l,21600r21600,l21600,xe">
                <v:stroke joinstyle="miter"/>
                <v:path gradientshapeok="t" o:connecttype="rect"/>
              </v:shapetype>
              <v:shape id="Text Box 4" o:spid="_x0000_s1026" type="#_x0000_t202" style="position:absolute;margin-left:16.85pt;margin-top:17.95pt;width:90.25pt;height:18.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" fillcolor="white [3201]" strokeweight=".5pt">
                <v:textbox>
                  <w:txbxContent>
                    <w:p w14:paraId="0D37DCA1" w14:textId="77777777" w:rsidR="003A0F43" w:rsidRPr="001768EB" w:rsidRDefault="003A0F43" w:rsidP="003A0F43">
                      <w:r w:rsidRPr="001768EB">
                        <w:rPr>
                          <w:rStyle w:val="fontstyle11"/>
                          <w:color w:val="auto"/>
                        </w:rPr>
                        <w:t>Si no existen EC</w:t>
                      </w:r>
                    </w:p>
                  </w:txbxContent>
                </v:textbox>
                <w10:wrap anchorx="margin"/>
              </v:shape>
            </w:pict>
          </mc:Fallback>
        </mc:AlternateContent>
      </w:r>
      <w:r w:rsidRPr="00767FBD">
        <w:rPr>
          <w:rFonts w:asciiTheme="majorHAnsi" w:hAnsiTheme="majorHAnsi"/>
          <w:noProof/>
          <w:sz w:val="20"/>
          <w:szCs w:val="20"/>
        </w:rPr>
        <mc:AlternateContent>
          <mc:Choice Requires="wps">
            <w:drawing>
              <wp:anchor distT="0" distB="0" distL="114300" distR="114300" simplePos="0" relativeHeight="251667456" behindDoc="0" locked="0" layoutInCell="1" allowOverlap="1" wp14:anchorId="23438ACD" wp14:editId="71309A89">
                <wp:simplePos x="0" y="0"/>
                <wp:positionH relativeFrom="column">
                  <wp:posOffset>3738323</wp:posOffset>
                </wp:positionH>
                <wp:positionV relativeFrom="paragraph">
                  <wp:posOffset>212059</wp:posOffset>
                </wp:positionV>
                <wp:extent cx="149442" cy="956796"/>
                <wp:effectExtent l="0" t="155892" r="0" b="171133"/>
                <wp:wrapNone/>
                <wp:docPr id="27" name="矢印: 下 27"/>
                <wp:cNvGraphicFramePr/>
                <a:graphic xmlns:a="http://schemas.openxmlformats.org/drawingml/2006/main">
                  <a:graphicData uri="http://schemas.microsoft.com/office/word/2010/wordprocessingShape">
                    <wps:wsp>
                      <wps:cNvSpPr/>
                      <wps:spPr>
                        <a:xfrm rot="4109646">
                          <a:off x="0" y="0"/>
                          <a:ext cx="149442" cy="95679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790A9" id="矢印: 下 27" o:spid="_x0000_s1026" type="#_x0000_t67" style="position:absolute;margin-left:294.35pt;margin-top:16.7pt;width:11.75pt;height:75.35pt;rotation:4488829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" adj="19913" fillcolor="#4f81bd [3204]" strokecolor="#243f60 [1604]" strokeweight="2pt"/>
            </w:pict>
          </mc:Fallback>
        </mc:AlternateContent>
      </w:r>
      <w:r w:rsidRPr="00767FBD">
        <w:rPr>
          <w:rFonts w:asciiTheme="majorHAnsi" w:hAnsiTheme="majorHAnsi"/>
          <w:noProof/>
          <w:sz w:val="20"/>
          <w:szCs w:val="20"/>
        </w:rPr>
        <mc:AlternateContent>
          <mc:Choice Requires="wps">
            <w:drawing>
              <wp:anchor distT="0" distB="0" distL="114300" distR="114300" simplePos="0" relativeHeight="251659264" behindDoc="0" locked="0" layoutInCell="1" allowOverlap="1" wp14:anchorId="70A55F38" wp14:editId="1342E573">
                <wp:simplePos x="0" y="0"/>
                <wp:positionH relativeFrom="column">
                  <wp:posOffset>4344670</wp:posOffset>
                </wp:positionH>
                <wp:positionV relativeFrom="paragraph">
                  <wp:posOffset>208280</wp:posOffset>
                </wp:positionV>
                <wp:extent cx="1066800" cy="292100"/>
                <wp:effectExtent l="0" t="0" r="19050" b="12700"/>
                <wp:wrapNone/>
                <wp:docPr id="1" name="Text Box 1"/>
                <wp:cNvGraphicFramePr/>
                <a:graphic xmlns:a="http://schemas.openxmlformats.org/drawingml/2006/main">
                  <a:graphicData uri="http://schemas.microsoft.com/office/word/2010/wordprocessingShape">
                    <wps:wsp>
                      <wps:cNvSpPr txBox="1"/>
                      <wps:spPr>
                        <a:xfrm>
                          <a:off x="0" y="0"/>
                          <a:ext cx="1066800" cy="292100"/>
                        </a:xfrm>
                        <a:prstGeom prst="rect">
                          <a:avLst/>
                        </a:prstGeom>
                        <a:solidFill>
                          <a:schemeClr val="lt1"/>
                        </a:solidFill>
                        <a:ln w="6350">
                          <a:solidFill>
                            <a:prstClr val="black"/>
                          </a:solidFill>
                        </a:ln>
                      </wps:spPr>
                      <wps:txbx>
                        <w:txbxContent>
                          <w:p w14:paraId="3317C476" w14:textId="77777777" w:rsidR="003A0F43" w:rsidRPr="001768EB" w:rsidRDefault="003A0F43" w:rsidP="003A0F43">
                            <w:r w:rsidRPr="001768EB">
                              <w:rPr>
                                <w:rStyle w:val="fontstyle11"/>
                                <w:color w:val="auto"/>
                              </w:rPr>
                              <w:t>Si existen EC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55F38" id="Text Box 1" o:spid="_x0000_s1027" type="#_x0000_t202" style="position:absolute;margin-left:342.1pt;margin-top:16.4pt;width:84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" fillcolor="white [3201]" strokeweight=".5pt">
                <v:textbox>
                  <w:txbxContent>
                    <w:p w14:paraId="3317C476" w14:textId="77777777" w:rsidR="003A0F43" w:rsidRPr="001768EB" w:rsidRDefault="003A0F43" w:rsidP="003A0F43">
                      <w:r w:rsidRPr="001768EB">
                        <w:rPr>
                          <w:rStyle w:val="fontstyle11"/>
                          <w:color w:val="auto"/>
                        </w:rPr>
                        <w:t>Si existen EC</w:t>
                      </w:r>
                    </w:p>
                  </w:txbxContent>
                </v:textbox>
              </v:shape>
            </w:pict>
          </mc:Fallback>
        </mc:AlternateContent>
      </w:r>
      <w:r w:rsidRPr="00767FBD">
        <w:rPr>
          <w:rFonts w:asciiTheme="majorHAnsi" w:hAnsiTheme="majorHAnsi"/>
          <w:b/>
          <w:bCs/>
          <w:sz w:val="20"/>
          <w:szCs w:val="20"/>
        </w:rPr>
        <w:br/>
      </w:r>
      <w:r w:rsidRPr="00767FBD">
        <w:rPr>
          <w:rFonts w:asciiTheme="majorHAnsi" w:hAnsiTheme="majorHAnsi"/>
          <w:noProof/>
          <w:sz w:val="20"/>
          <w:szCs w:val="20"/>
        </w:rPr>
        <mc:AlternateContent>
          <mc:Choice Requires="wps">
            <w:drawing>
              <wp:anchor distT="0" distB="0" distL="114300" distR="114300" simplePos="0" relativeHeight="251665408" behindDoc="0" locked="0" layoutInCell="1" allowOverlap="1" wp14:anchorId="08693B3B" wp14:editId="481200BA">
                <wp:simplePos x="0" y="0"/>
                <wp:positionH relativeFrom="column">
                  <wp:posOffset>4657090</wp:posOffset>
                </wp:positionH>
                <wp:positionV relativeFrom="paragraph">
                  <wp:posOffset>15875</wp:posOffset>
                </wp:positionV>
                <wp:extent cx="260350" cy="152400"/>
                <wp:effectExtent l="38100" t="0" r="25400" b="38100"/>
                <wp:wrapNone/>
                <wp:docPr id="23" name="矢印: 下 23"/>
                <wp:cNvGraphicFramePr/>
                <a:graphic xmlns:a="http://schemas.openxmlformats.org/drawingml/2006/main">
                  <a:graphicData uri="http://schemas.microsoft.com/office/word/2010/wordprocessingShape">
                    <wps:wsp>
                      <wps:cNvSpPr/>
                      <wps:spPr>
                        <a:xfrm>
                          <a:off x="0" y="0"/>
                          <a:ext cx="260350" cy="1524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644760" id="矢印: 下 23" o:spid="_x0000_s1026" type="#_x0000_t67" style="position:absolute;margin-left:366.7pt;margin-top:1.25pt;width:20.5pt;height: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" adj="10800" fillcolor="#4f81bd" strokecolor="#385d8a" strokeweight="2pt"/>
            </w:pict>
          </mc:Fallback>
        </mc:AlternateContent>
      </w:r>
    </w:p>
    <w:p w14:paraId="14DCD85B" w14:textId="77777777" w:rsidR="003A0F43" w:rsidRPr="00767FBD" w:rsidRDefault="003A0F43" w:rsidP="003A0F43">
      <w:pPr>
        <w:rPr>
          <w:rStyle w:val="fontstyle11"/>
          <w:rFonts w:asciiTheme="majorHAnsi" w:hAnsiTheme="majorHAnsi"/>
          <w:color w:val="auto"/>
        </w:rPr>
      </w:pPr>
      <w:r w:rsidRPr="00767FBD">
        <w:rPr>
          <w:rFonts w:asciiTheme="majorHAnsi" w:hAnsiTheme="majorHAnsi"/>
          <w:noProof/>
          <w:sz w:val="20"/>
          <w:szCs w:val="20"/>
        </w:rPr>
        <mc:AlternateContent>
          <mc:Choice Requires="wps">
            <w:drawing>
              <wp:anchor distT="0" distB="0" distL="114300" distR="114300" simplePos="0" relativeHeight="251673600" behindDoc="0" locked="0" layoutInCell="1" allowOverlap="1" wp14:anchorId="75B2C58B" wp14:editId="66516DDD">
                <wp:simplePos x="0" y="0"/>
                <wp:positionH relativeFrom="margin">
                  <wp:posOffset>1622637</wp:posOffset>
                </wp:positionH>
                <wp:positionV relativeFrom="paragraph">
                  <wp:posOffset>6773</wp:posOffset>
                </wp:positionV>
                <wp:extent cx="1685925" cy="1176867"/>
                <wp:effectExtent l="0" t="0" r="28575" b="23495"/>
                <wp:wrapNone/>
                <wp:docPr id="14" name="Text Box 14"/>
                <wp:cNvGraphicFramePr/>
                <a:graphic xmlns:a="http://schemas.openxmlformats.org/drawingml/2006/main">
                  <a:graphicData uri="http://schemas.microsoft.com/office/word/2010/wordprocessingShape">
                    <wps:wsp>
                      <wps:cNvSpPr txBox="1"/>
                      <wps:spPr>
                        <a:xfrm>
                          <a:off x="0" y="0"/>
                          <a:ext cx="1685925" cy="1176867"/>
                        </a:xfrm>
                        <a:prstGeom prst="rect">
                          <a:avLst/>
                        </a:prstGeom>
                        <a:solidFill>
                          <a:schemeClr val="lt1"/>
                        </a:solidFill>
                        <a:ln w="6350">
                          <a:solidFill>
                            <a:prstClr val="black"/>
                          </a:solidFill>
                        </a:ln>
                      </wps:spPr>
                      <wps:txbx>
                        <w:txbxContent>
                          <w:p w14:paraId="31D8B0A5" w14:textId="77777777" w:rsidR="003A0F43" w:rsidRPr="001768EB" w:rsidRDefault="003A0F43" w:rsidP="003A0F43">
                            <w:pPr>
                              <w:rPr>
                                <w:rStyle w:val="fontstyle11"/>
                                <w:color w:val="auto"/>
                              </w:rPr>
                            </w:pPr>
                            <w:r w:rsidRPr="001768EB">
                              <w:rPr>
                                <w:rStyle w:val="fontstyle11"/>
                                <w:color w:val="auto"/>
                              </w:rPr>
                              <w:t xml:space="preserve">El SCRS determina que las EC no impiden la aplicación del MP ni la implementación de sus resultados (es decir, el TAC). </w:t>
                            </w:r>
                          </w:p>
                          <w:p w14:paraId="60FD723F" w14:textId="77777777" w:rsidR="003A0F43" w:rsidRPr="001768EB" w:rsidRDefault="003A0F43" w:rsidP="003A0F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2C58B" id="Text Box 14" o:spid="_x0000_s1028" type="#_x0000_t202" style="position:absolute;margin-left:127.75pt;margin-top:.55pt;width:132.75pt;height:92.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" fillcolor="white [3201]" strokeweight=".5pt">
                <v:textbox>
                  <w:txbxContent>
                    <w:p w14:paraId="31D8B0A5" w14:textId="77777777" w:rsidR="003A0F43" w:rsidRPr="001768EB" w:rsidRDefault="003A0F43" w:rsidP="003A0F43">
                      <w:pPr>
                        <w:rPr>
                          <w:rStyle w:val="fontstyle11"/>
                          <w:color w:val="auto"/>
                        </w:rPr>
                      </w:pPr>
                      <w:r w:rsidRPr="001768EB">
                        <w:rPr>
                          <w:rStyle w:val="fontstyle11"/>
                          <w:color w:val="auto"/>
                        </w:rPr>
                        <w:t xml:space="preserve">El SCRS determina que las EC no impiden la aplicación del MP ni la implementación de sus resultados (es decir, el TAC). </w:t>
                      </w:r>
                    </w:p>
                    <w:p w14:paraId="60FD723F" w14:textId="77777777" w:rsidR="003A0F43" w:rsidRPr="001768EB" w:rsidRDefault="003A0F43" w:rsidP="003A0F43"/>
                  </w:txbxContent>
                </v:textbox>
                <w10:wrap anchorx="margin"/>
              </v:shape>
            </w:pict>
          </mc:Fallback>
        </mc:AlternateContent>
      </w:r>
      <w:r w:rsidRPr="00767FBD">
        <w:rPr>
          <w:rFonts w:asciiTheme="majorHAnsi" w:hAnsiTheme="majorHAnsi"/>
          <w:noProof/>
          <w:sz w:val="20"/>
          <w:szCs w:val="20"/>
        </w:rPr>
        <mc:AlternateContent>
          <mc:Choice Requires="wps">
            <w:drawing>
              <wp:anchor distT="0" distB="0" distL="114300" distR="114300" simplePos="0" relativeHeight="251666432" behindDoc="0" locked="0" layoutInCell="1" allowOverlap="1" wp14:anchorId="5CF0A79A" wp14:editId="175AA380">
                <wp:simplePos x="0" y="0"/>
                <wp:positionH relativeFrom="column">
                  <wp:posOffset>636270</wp:posOffset>
                </wp:positionH>
                <wp:positionV relativeFrom="paragraph">
                  <wp:posOffset>68580</wp:posOffset>
                </wp:positionV>
                <wp:extent cx="260350" cy="152400"/>
                <wp:effectExtent l="38100" t="0" r="25400" b="38100"/>
                <wp:wrapNone/>
                <wp:docPr id="26" name="矢印: 下 26"/>
                <wp:cNvGraphicFramePr/>
                <a:graphic xmlns:a="http://schemas.openxmlformats.org/drawingml/2006/main">
                  <a:graphicData uri="http://schemas.microsoft.com/office/word/2010/wordprocessingShape">
                    <wps:wsp>
                      <wps:cNvSpPr/>
                      <wps:spPr>
                        <a:xfrm>
                          <a:off x="0" y="0"/>
                          <a:ext cx="2603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729538" id="矢印: 下 26" o:spid="_x0000_s1026" type="#_x0000_t67" style="position:absolute;margin-left:50.1pt;margin-top:5.4pt;width:20.5pt;height:1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" adj="10800" fillcolor="#4f81bd [3204]" strokecolor="#243f60 [1604]" strokeweight="2pt"/>
            </w:pict>
          </mc:Fallback>
        </mc:AlternateContent>
      </w:r>
      <w:r w:rsidRPr="00767FBD">
        <w:rPr>
          <w:rFonts w:asciiTheme="majorHAnsi" w:hAnsiTheme="majorHAnsi"/>
          <w:noProof/>
          <w:sz w:val="20"/>
          <w:szCs w:val="20"/>
        </w:rPr>
        <mc:AlternateContent>
          <mc:Choice Requires="wps">
            <w:drawing>
              <wp:anchor distT="0" distB="0" distL="114300" distR="114300" simplePos="0" relativeHeight="251672576" behindDoc="0" locked="0" layoutInCell="1" allowOverlap="1" wp14:anchorId="0B3F3634" wp14:editId="130F0E0F">
                <wp:simplePos x="0" y="0"/>
                <wp:positionH relativeFrom="margin">
                  <wp:posOffset>4664075</wp:posOffset>
                </wp:positionH>
                <wp:positionV relativeFrom="paragraph">
                  <wp:posOffset>93345</wp:posOffset>
                </wp:positionV>
                <wp:extent cx="260350" cy="161925"/>
                <wp:effectExtent l="38100" t="0" r="6350" b="47625"/>
                <wp:wrapNone/>
                <wp:docPr id="15" name="矢印: 下 15"/>
                <wp:cNvGraphicFramePr/>
                <a:graphic xmlns:a="http://schemas.openxmlformats.org/drawingml/2006/main">
                  <a:graphicData uri="http://schemas.microsoft.com/office/word/2010/wordprocessingShape">
                    <wps:wsp>
                      <wps:cNvSpPr/>
                      <wps:spPr>
                        <a:xfrm>
                          <a:off x="0" y="0"/>
                          <a:ext cx="260350" cy="1619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38A76A7" id="矢印: 下 15" o:spid="_x0000_s1026" type="#_x0000_t67" style="position:absolute;margin-left:367.25pt;margin-top:7.35pt;width:20.5pt;height:12.75pt;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" adj="10800" fillcolor="#4f81bd" strokecolor="#385d8a" strokeweight="2pt">
                <w10:wrap anchorx="margin"/>
              </v:shape>
            </w:pict>
          </mc:Fallback>
        </mc:AlternateContent>
      </w:r>
      <w:r w:rsidRPr="00767FBD">
        <w:rPr>
          <w:rFonts w:asciiTheme="majorHAnsi" w:hAnsiTheme="majorHAnsi"/>
          <w:noProof/>
          <w:sz w:val="20"/>
          <w:szCs w:val="20"/>
        </w:rPr>
        <mc:AlternateContent>
          <mc:Choice Requires="wps">
            <w:drawing>
              <wp:anchor distT="0" distB="0" distL="114300" distR="114300" simplePos="0" relativeHeight="251661312" behindDoc="0" locked="0" layoutInCell="1" allowOverlap="1" wp14:anchorId="439B0C86" wp14:editId="2E3C3790">
                <wp:simplePos x="0" y="0"/>
                <wp:positionH relativeFrom="margin">
                  <wp:posOffset>-62230</wp:posOffset>
                </wp:positionH>
                <wp:positionV relativeFrom="paragraph">
                  <wp:posOffset>313690</wp:posOffset>
                </wp:positionV>
                <wp:extent cx="1381760" cy="1819275"/>
                <wp:effectExtent l="0" t="0" r="27940" b="28575"/>
                <wp:wrapNone/>
                <wp:docPr id="5" name="Text Box 5"/>
                <wp:cNvGraphicFramePr/>
                <a:graphic xmlns:a="http://schemas.openxmlformats.org/drawingml/2006/main">
                  <a:graphicData uri="http://schemas.microsoft.com/office/word/2010/wordprocessingShape">
                    <wps:wsp>
                      <wps:cNvSpPr txBox="1"/>
                      <wps:spPr>
                        <a:xfrm>
                          <a:off x="0" y="0"/>
                          <a:ext cx="1381760" cy="1819275"/>
                        </a:xfrm>
                        <a:prstGeom prst="rect">
                          <a:avLst/>
                        </a:prstGeom>
                        <a:solidFill>
                          <a:schemeClr val="lt1"/>
                        </a:solidFill>
                        <a:ln w="6350">
                          <a:solidFill>
                            <a:prstClr val="black"/>
                          </a:solidFill>
                        </a:ln>
                      </wps:spPr>
                      <wps:txbx>
                        <w:txbxContent>
                          <w:p w14:paraId="7614BF96" w14:textId="77777777" w:rsidR="003A0F43" w:rsidRPr="001768EB" w:rsidRDefault="003A0F43" w:rsidP="003A0F43">
                            <w:pPr>
                              <w:rPr>
                                <w:rStyle w:val="fontstyle11"/>
                                <w:color w:val="auto"/>
                              </w:rPr>
                            </w:pPr>
                            <w:r w:rsidRPr="001768EB">
                              <w:rPr>
                                <w:rStyle w:val="fontstyle11"/>
                                <w:color w:val="auto"/>
                              </w:rPr>
                              <w:t>El TAC calculado por el MP continúa siendo válido (en los años 1 - 3) y el MP continúa aplicándose en el año 3 para calcular el TAC para el siguiente periodo de ordenación de tres 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B0C86" id="Text Box 5" o:spid="_x0000_s1029" type="#_x0000_t202" style="position:absolute;margin-left:-4.9pt;margin-top:24.7pt;width:108.8pt;height:14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" fillcolor="white [3201]" strokeweight=".5pt">
                <v:textbox>
                  <w:txbxContent>
                    <w:p w14:paraId="7614BF96" w14:textId="77777777" w:rsidR="003A0F43" w:rsidRPr="001768EB" w:rsidRDefault="003A0F43" w:rsidP="003A0F43">
                      <w:pPr>
                        <w:rPr>
                          <w:rStyle w:val="fontstyle11"/>
                          <w:color w:val="auto"/>
                        </w:rPr>
                      </w:pPr>
                      <w:r w:rsidRPr="001768EB">
                        <w:rPr>
                          <w:rStyle w:val="fontstyle11"/>
                          <w:color w:val="auto"/>
                        </w:rPr>
                        <w:t>El TAC calculado por el MP continúa siendo válido (en los años 1 - 3) y el MP continúa aplicándose en el año 3 para calcular el TAC para el siguiente periodo de ordenación de tres años.</w:t>
                      </w:r>
                    </w:p>
                  </w:txbxContent>
                </v:textbox>
                <w10:wrap anchorx="margin"/>
              </v:shape>
            </w:pict>
          </mc:Fallback>
        </mc:AlternateContent>
      </w:r>
    </w:p>
    <w:p w14:paraId="7764D07B" w14:textId="77777777" w:rsidR="003A0F43" w:rsidRPr="00767FBD" w:rsidRDefault="003A0F43" w:rsidP="003A0F43">
      <w:pPr>
        <w:rPr>
          <w:rStyle w:val="fontstyle11"/>
          <w:rFonts w:asciiTheme="majorHAnsi" w:hAnsiTheme="majorHAnsi"/>
          <w:color w:val="auto"/>
        </w:rPr>
      </w:pPr>
      <w:r w:rsidRPr="00767FBD">
        <w:rPr>
          <w:rFonts w:asciiTheme="majorHAnsi" w:hAnsiTheme="majorHAnsi"/>
          <w:noProof/>
          <w:sz w:val="20"/>
          <w:szCs w:val="20"/>
        </w:rPr>
        <mc:AlternateContent>
          <mc:Choice Requires="wps">
            <w:drawing>
              <wp:anchor distT="0" distB="0" distL="114300" distR="114300" simplePos="0" relativeHeight="251670528" behindDoc="0" locked="0" layoutInCell="1" allowOverlap="1" wp14:anchorId="572C62B5" wp14:editId="5CD399F6">
                <wp:simplePos x="0" y="0"/>
                <wp:positionH relativeFrom="column">
                  <wp:posOffset>4090670</wp:posOffset>
                </wp:positionH>
                <wp:positionV relativeFrom="paragraph">
                  <wp:posOffset>5715</wp:posOffset>
                </wp:positionV>
                <wp:extent cx="2647950" cy="1181100"/>
                <wp:effectExtent l="0" t="0" r="19050" b="19050"/>
                <wp:wrapNone/>
                <wp:docPr id="6" name="Text Box 3"/>
                <wp:cNvGraphicFramePr/>
                <a:graphic xmlns:a="http://schemas.openxmlformats.org/drawingml/2006/main">
                  <a:graphicData uri="http://schemas.microsoft.com/office/word/2010/wordprocessingShape">
                    <wps:wsp>
                      <wps:cNvSpPr txBox="1"/>
                      <wps:spPr>
                        <a:xfrm>
                          <a:off x="0" y="0"/>
                          <a:ext cx="2647950" cy="1181100"/>
                        </a:xfrm>
                        <a:prstGeom prst="rect">
                          <a:avLst/>
                        </a:prstGeom>
                        <a:solidFill>
                          <a:sysClr val="window" lastClr="FFFFFF"/>
                        </a:solidFill>
                        <a:ln w="6350">
                          <a:solidFill>
                            <a:prstClr val="black"/>
                          </a:solidFill>
                        </a:ln>
                      </wps:spPr>
                      <wps:txbx>
                        <w:txbxContent>
                          <w:p w14:paraId="1506E27E" w14:textId="033EB3DC" w:rsidR="003A0F43" w:rsidRPr="001768EB" w:rsidRDefault="003A0F43" w:rsidP="003A0F43">
                            <w:pPr>
                              <w:rPr>
                                <w:rStyle w:val="fontstyle11"/>
                                <w:color w:val="auto"/>
                              </w:rPr>
                            </w:pPr>
                            <w:r w:rsidRPr="001768EB">
                              <w:rPr>
                                <w:rStyle w:val="fontstyle11"/>
                                <w:color w:val="auto"/>
                              </w:rPr>
                              <w:t xml:space="preserve">El SCRS determina que las EC impiden la aplicación del MP o hacen que no sea aconsejable la aplicación del MP </w:t>
                            </w:r>
                            <w:r w:rsidR="00925573">
                              <w:rPr>
                                <w:rStyle w:val="fontstyle11"/>
                                <w:color w:val="auto"/>
                              </w:rPr>
                              <w:t>o</w:t>
                            </w:r>
                            <w:r w:rsidRPr="001768EB">
                              <w:rPr>
                                <w:rStyle w:val="fontstyle11"/>
                                <w:color w:val="auto"/>
                              </w:rPr>
                              <w:t xml:space="preserve"> la implementación de sus resultados (es decir, el TAC). </w:t>
                            </w:r>
                          </w:p>
                          <w:p w14:paraId="442BBF22" w14:textId="77777777" w:rsidR="003A0F43" w:rsidRPr="001768EB" w:rsidRDefault="003A0F43" w:rsidP="003A0F43">
                            <w:pPr>
                              <w:spacing w:after="0" w:line="240" w:lineRule="auto"/>
                              <w:jc w:val="both"/>
                              <w:rPr>
                                <w:rStyle w:val="fontstyle11"/>
                                <w:strike/>
                                <w:color w:val="au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C62B5" id="Text Box 3" o:spid="_x0000_s1030" type="#_x0000_t202" style="position:absolute;margin-left:322.1pt;margin-top:.45pt;width:208.5pt;height:9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" fillcolor="window" strokeweight=".5pt">
                <v:textbox>
                  <w:txbxContent>
                    <w:p w14:paraId="1506E27E" w14:textId="033EB3DC" w:rsidR="003A0F43" w:rsidRPr="001768EB" w:rsidRDefault="003A0F43" w:rsidP="003A0F43">
                      <w:pPr>
                        <w:rPr>
                          <w:rStyle w:val="fontstyle11"/>
                          <w:color w:val="auto"/>
                        </w:rPr>
                      </w:pPr>
                      <w:r w:rsidRPr="001768EB">
                        <w:rPr>
                          <w:rStyle w:val="fontstyle11"/>
                          <w:color w:val="auto"/>
                        </w:rPr>
                        <w:t xml:space="preserve">El SCRS determina que las EC impiden la aplicación del MP o hacen que no sea aconsejable la aplicación del MP </w:t>
                      </w:r>
                      <w:r w:rsidR="00925573">
                        <w:rPr>
                          <w:rStyle w:val="fontstyle11"/>
                          <w:color w:val="auto"/>
                        </w:rPr>
                        <w:t>o</w:t>
                      </w:r>
                      <w:r w:rsidRPr="001768EB">
                        <w:rPr>
                          <w:rStyle w:val="fontstyle11"/>
                          <w:color w:val="auto"/>
                        </w:rPr>
                        <w:t xml:space="preserve"> la implementación de sus resultados (es decir, el TAC). </w:t>
                      </w:r>
                    </w:p>
                    <w:p w14:paraId="442BBF22" w14:textId="77777777" w:rsidR="003A0F43" w:rsidRPr="001768EB" w:rsidRDefault="003A0F43" w:rsidP="003A0F43">
                      <w:pPr>
                        <w:spacing w:after="0" w:line="240" w:lineRule="auto"/>
                        <w:jc w:val="both"/>
                        <w:rPr>
                          <w:rStyle w:val="fontstyle11"/>
                          <w:strike/>
                          <w:color w:val="auto"/>
                        </w:rPr>
                      </w:pPr>
                    </w:p>
                  </w:txbxContent>
                </v:textbox>
              </v:shape>
            </w:pict>
          </mc:Fallback>
        </mc:AlternateContent>
      </w:r>
    </w:p>
    <w:p w14:paraId="719EEC14" w14:textId="77777777" w:rsidR="003A0F43" w:rsidRPr="00767FBD" w:rsidRDefault="003A0F43" w:rsidP="003A0F43">
      <w:pPr>
        <w:rPr>
          <w:rStyle w:val="fontstyle11"/>
          <w:rFonts w:asciiTheme="majorHAnsi" w:hAnsiTheme="majorHAnsi"/>
          <w:color w:val="auto"/>
        </w:rPr>
      </w:pPr>
      <w:r w:rsidRPr="00767FBD">
        <w:rPr>
          <w:rFonts w:asciiTheme="majorHAnsi" w:hAnsiTheme="majorHAnsi"/>
          <w:noProof/>
          <w:sz w:val="20"/>
          <w:szCs w:val="20"/>
        </w:rPr>
        <mc:AlternateContent>
          <mc:Choice Requires="wps">
            <w:drawing>
              <wp:anchor distT="0" distB="0" distL="114300" distR="114300" simplePos="0" relativeHeight="251671552" behindDoc="0" locked="0" layoutInCell="1" allowOverlap="1" wp14:anchorId="3CC654E6" wp14:editId="1FB3CFED">
                <wp:simplePos x="0" y="0"/>
                <wp:positionH relativeFrom="column">
                  <wp:posOffset>1370964</wp:posOffset>
                </wp:positionH>
                <wp:positionV relativeFrom="paragraph">
                  <wp:posOffset>299403</wp:posOffset>
                </wp:positionV>
                <wp:extent cx="204006" cy="225254"/>
                <wp:effectExtent l="27623" t="10477" r="0" b="33338"/>
                <wp:wrapNone/>
                <wp:docPr id="13" name="矢印: 下 13"/>
                <wp:cNvGraphicFramePr/>
                <a:graphic xmlns:a="http://schemas.openxmlformats.org/drawingml/2006/main">
                  <a:graphicData uri="http://schemas.microsoft.com/office/word/2010/wordprocessingShape">
                    <wps:wsp>
                      <wps:cNvSpPr/>
                      <wps:spPr>
                        <a:xfrm rot="5400000">
                          <a:off x="0" y="0"/>
                          <a:ext cx="204006" cy="225254"/>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81849" id="矢印: 下 13" o:spid="_x0000_s1026" type="#_x0000_t67" style="position:absolute;margin-left:107.95pt;margin-top:23.6pt;width:16.05pt;height:17.7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" adj="11819" fillcolor="#4f81bd" strokecolor="#385d8a" strokeweight="2pt"/>
            </w:pict>
          </mc:Fallback>
        </mc:AlternateContent>
      </w:r>
    </w:p>
    <w:p w14:paraId="78D39C98" w14:textId="77777777" w:rsidR="003A0F43" w:rsidRPr="00767FBD" w:rsidRDefault="003A0F43" w:rsidP="003A0F43">
      <w:pPr>
        <w:rPr>
          <w:rFonts w:asciiTheme="majorHAnsi" w:hAnsiTheme="majorHAnsi"/>
          <w:sz w:val="20"/>
          <w:szCs w:val="20"/>
        </w:rPr>
      </w:pPr>
      <w:r w:rsidRPr="00767FBD">
        <w:rPr>
          <w:rFonts w:asciiTheme="majorHAnsi" w:hAnsiTheme="majorHAnsi"/>
          <w:sz w:val="20"/>
          <w:szCs w:val="20"/>
        </w:rPr>
        <w:br/>
      </w:r>
    </w:p>
    <w:p w14:paraId="692B719F" w14:textId="77777777" w:rsidR="003A0F43" w:rsidRPr="00767FBD" w:rsidRDefault="003A0F43" w:rsidP="003A0F43">
      <w:pPr>
        <w:rPr>
          <w:sz w:val="20"/>
          <w:szCs w:val="20"/>
        </w:rPr>
      </w:pPr>
      <w:r w:rsidRPr="00767FBD">
        <w:rPr>
          <w:rFonts w:asciiTheme="majorHAnsi" w:hAnsiTheme="majorHAnsi"/>
          <w:noProof/>
          <w:sz w:val="20"/>
          <w:szCs w:val="20"/>
        </w:rPr>
        <mc:AlternateContent>
          <mc:Choice Requires="wps">
            <w:drawing>
              <wp:anchor distT="0" distB="0" distL="114300" distR="114300" simplePos="0" relativeHeight="251668480" behindDoc="0" locked="0" layoutInCell="1" allowOverlap="1" wp14:anchorId="503C7ECE" wp14:editId="150FA7D9">
                <wp:simplePos x="0" y="0"/>
                <wp:positionH relativeFrom="margin">
                  <wp:posOffset>4614545</wp:posOffset>
                </wp:positionH>
                <wp:positionV relativeFrom="paragraph">
                  <wp:posOffset>174683</wp:posOffset>
                </wp:positionV>
                <wp:extent cx="826770" cy="329565"/>
                <wp:effectExtent l="38100" t="0" r="0" b="32385"/>
                <wp:wrapNone/>
                <wp:docPr id="29" name="矢印: 下 29"/>
                <wp:cNvGraphicFramePr/>
                <a:graphic xmlns:a="http://schemas.openxmlformats.org/drawingml/2006/main">
                  <a:graphicData uri="http://schemas.microsoft.com/office/word/2010/wordprocessingShape">
                    <wps:wsp>
                      <wps:cNvSpPr/>
                      <wps:spPr>
                        <a:xfrm>
                          <a:off x="0" y="0"/>
                          <a:ext cx="826770" cy="32956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44139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9" o:spid="_x0000_s1026" type="#_x0000_t67" style="position:absolute;margin-left:363.35pt;margin-top:13.75pt;width:65.1pt;height:25.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" adj="10800" fillcolor="#4f81bd" strokecolor="#385d8a" strokeweight="2pt">
                <w10:wrap anchorx="margin"/>
              </v:shape>
            </w:pict>
          </mc:Fallback>
        </mc:AlternateContent>
      </w:r>
    </w:p>
    <w:p w14:paraId="42B2CB16" w14:textId="77169500" w:rsidR="003A0F43" w:rsidRPr="00767FBD" w:rsidRDefault="001640D5" w:rsidP="003A0F43">
      <w:pPr>
        <w:rPr>
          <w:rStyle w:val="fontstyle11"/>
          <w:rFonts w:asciiTheme="majorHAnsi" w:hAnsiTheme="majorHAnsi"/>
          <w:color w:val="auto"/>
        </w:rPr>
      </w:pPr>
      <w:r w:rsidRPr="00767FBD">
        <w:rPr>
          <w:rFonts w:asciiTheme="majorHAnsi" w:hAnsiTheme="majorHAnsi"/>
          <w:noProof/>
          <w:sz w:val="20"/>
          <w:szCs w:val="20"/>
        </w:rPr>
        <mc:AlternateContent>
          <mc:Choice Requires="wps">
            <w:drawing>
              <wp:anchor distT="0" distB="0" distL="114300" distR="114300" simplePos="0" relativeHeight="251662336" behindDoc="0" locked="0" layoutInCell="1" allowOverlap="1" wp14:anchorId="6A928A4D" wp14:editId="556228C3">
                <wp:simplePos x="0" y="0"/>
                <wp:positionH relativeFrom="page">
                  <wp:posOffset>2141220</wp:posOffset>
                </wp:positionH>
                <wp:positionV relativeFrom="paragraph">
                  <wp:posOffset>238125</wp:posOffset>
                </wp:positionV>
                <wp:extent cx="5527040" cy="1630680"/>
                <wp:effectExtent l="0" t="0" r="16510" b="26670"/>
                <wp:wrapNone/>
                <wp:docPr id="9" name="Text Box 9"/>
                <wp:cNvGraphicFramePr/>
                <a:graphic xmlns:a="http://schemas.openxmlformats.org/drawingml/2006/main">
                  <a:graphicData uri="http://schemas.microsoft.com/office/word/2010/wordprocessingShape">
                    <wps:wsp>
                      <wps:cNvSpPr txBox="1"/>
                      <wps:spPr>
                        <a:xfrm>
                          <a:off x="0" y="0"/>
                          <a:ext cx="5527040" cy="1630680"/>
                        </a:xfrm>
                        <a:prstGeom prst="rect">
                          <a:avLst/>
                        </a:prstGeom>
                        <a:solidFill>
                          <a:schemeClr val="lt1"/>
                        </a:solidFill>
                        <a:ln w="6350">
                          <a:solidFill>
                            <a:prstClr val="black"/>
                          </a:solidFill>
                        </a:ln>
                      </wps:spPr>
                      <wps:txbx>
                        <w:txbxContent>
                          <w:p w14:paraId="6F9316F1" w14:textId="77777777" w:rsidR="003A0F43" w:rsidRPr="00925573" w:rsidRDefault="003A0F43" w:rsidP="003A0F43">
                            <w:pPr>
                              <w:spacing w:after="0" w:line="240" w:lineRule="auto"/>
                              <w:jc w:val="both"/>
                              <w:rPr>
                                <w:rStyle w:val="fontstyle11"/>
                                <w:color w:val="auto"/>
                              </w:rPr>
                            </w:pPr>
                            <w:r w:rsidRPr="00925573">
                              <w:rPr>
                                <w:rStyle w:val="fontstyle11"/>
                                <w:color w:val="auto"/>
                              </w:rPr>
                              <w:t xml:space="preserve">El SCRS asesorará a la Comisión sobre: </w:t>
                            </w:r>
                          </w:p>
                          <w:p w14:paraId="78E412D5" w14:textId="77777777" w:rsidR="003A0F43" w:rsidRPr="00925573" w:rsidRDefault="003A0F43" w:rsidP="003A0F43">
                            <w:pPr>
                              <w:spacing w:after="0" w:line="240" w:lineRule="auto"/>
                              <w:jc w:val="both"/>
                              <w:rPr>
                                <w:rStyle w:val="fontstyle11"/>
                                <w:color w:val="auto"/>
                              </w:rPr>
                            </w:pPr>
                            <w:r w:rsidRPr="00925573">
                              <w:rPr>
                                <w:rStyle w:val="fontstyle11"/>
                                <w:color w:val="auto"/>
                              </w:rPr>
                              <w:t xml:space="preserve">(A) Opciones de ordenación alternativas para el siguiente año de pesca destinadas a garantizar, como mínimo, la estabilidad del estado del stock, incluidas las implicaciones de: </w:t>
                            </w:r>
                          </w:p>
                          <w:p w14:paraId="60B37C2C" w14:textId="4D466A54" w:rsidR="003A0F43" w:rsidRPr="00925573" w:rsidRDefault="003A0F43" w:rsidP="003A0F43">
                            <w:pPr>
                              <w:spacing w:after="0" w:line="240" w:lineRule="auto"/>
                              <w:ind w:firstLineChars="50" w:firstLine="100"/>
                              <w:jc w:val="both"/>
                              <w:rPr>
                                <w:rStyle w:val="fontstyle11"/>
                                <w:color w:val="auto"/>
                              </w:rPr>
                            </w:pPr>
                            <w:r w:rsidRPr="00925573">
                              <w:rPr>
                                <w:rStyle w:val="fontstyle11"/>
                                <w:color w:val="auto"/>
                              </w:rPr>
                              <w:t>(i) mantener el total admisible de capturas (TAC)</w:t>
                            </w:r>
                            <w:r w:rsidR="00925573">
                              <w:rPr>
                                <w:rStyle w:val="fontstyle11"/>
                                <w:color w:val="auto"/>
                              </w:rPr>
                              <w:t xml:space="preserve"> del statu quo</w:t>
                            </w:r>
                            <w:r w:rsidRPr="00925573">
                              <w:rPr>
                                <w:rStyle w:val="fontstyle11"/>
                                <w:color w:val="auto"/>
                              </w:rPr>
                              <w:t>;</w:t>
                            </w:r>
                          </w:p>
                          <w:p w14:paraId="60AF9B7E" w14:textId="10383025" w:rsidR="003A0F43" w:rsidRPr="00925573" w:rsidRDefault="003A0F43" w:rsidP="003A0F43">
                            <w:pPr>
                              <w:spacing w:after="0" w:line="240" w:lineRule="auto"/>
                              <w:ind w:firstLineChars="50" w:firstLine="100"/>
                              <w:jc w:val="both"/>
                              <w:rPr>
                                <w:rStyle w:val="fontstyle11"/>
                                <w:color w:val="auto"/>
                              </w:rPr>
                            </w:pPr>
                            <w:r w:rsidRPr="00925573">
                              <w:rPr>
                                <w:rStyle w:val="fontstyle11"/>
                                <w:color w:val="auto"/>
                              </w:rPr>
                              <w:t>(</w:t>
                            </w:r>
                            <w:r w:rsidRPr="00925573">
                              <w:rPr>
                                <w:rStyle w:val="fontstyle11"/>
                                <w:color w:val="auto"/>
                              </w:rPr>
                              <w:t xml:space="preserve">ii) reducir el TAC en un </w:t>
                            </w:r>
                            <w:r w:rsidR="001E6314" w:rsidRPr="00925573">
                              <w:rPr>
                                <w:rFonts w:ascii="Cambria" w:eastAsia="Calibri" w:hAnsi="Cambria" w:cs="Times New Roman"/>
                                <w:b/>
                                <w:bCs/>
                                <w:sz w:val="20"/>
                                <w:szCs w:val="20"/>
                              </w:rPr>
                              <w:t xml:space="preserve">20 % </w:t>
                            </w:r>
                            <w:r w:rsidRPr="00925573">
                              <w:rPr>
                                <w:rStyle w:val="fontstyle11"/>
                                <w:color w:val="auto"/>
                              </w:rPr>
                              <w:t>u otro porcentaje adecuado, en particular a la luz de los indicios de disminución del stock; y</w:t>
                            </w:r>
                          </w:p>
                          <w:p w14:paraId="4BED261C" w14:textId="77777777" w:rsidR="003A0F43" w:rsidRPr="00925573" w:rsidRDefault="003A0F43" w:rsidP="003A0F43">
                            <w:pPr>
                              <w:spacing w:after="0" w:line="240" w:lineRule="auto"/>
                              <w:ind w:firstLineChars="50" w:firstLine="100"/>
                              <w:jc w:val="both"/>
                              <w:rPr>
                                <w:rStyle w:val="fontstyle11"/>
                                <w:color w:val="auto"/>
                              </w:rPr>
                            </w:pPr>
                            <w:r w:rsidRPr="00925573">
                              <w:rPr>
                                <w:rStyle w:val="fontstyle11"/>
                                <w:color w:val="auto"/>
                              </w:rPr>
                              <w:t xml:space="preserve"> (iii) cualquier otra acción de conservación y ordenación adecuada; </w:t>
                            </w:r>
                          </w:p>
                          <w:p w14:paraId="63DBEB3E" w14:textId="77777777" w:rsidR="003A0F43" w:rsidRPr="00925573" w:rsidRDefault="003A0F43" w:rsidP="003A0F43">
                            <w:pPr>
                              <w:spacing w:after="0"/>
                              <w:rPr>
                                <w:rStyle w:val="fontstyle11"/>
                                <w:color w:val="auto"/>
                              </w:rPr>
                            </w:pPr>
                            <w:r w:rsidRPr="00925573">
                              <w:rPr>
                                <w:rStyle w:val="fontstyle11"/>
                                <w:color w:val="auto"/>
                              </w:rPr>
                              <w:t>(B) si el MP existente puede y debería ajustarse o si se requiere el desarrollo de un nuevo MP; y</w:t>
                            </w:r>
                          </w:p>
                          <w:p w14:paraId="06DC9905" w14:textId="77777777" w:rsidR="003A0F43" w:rsidRPr="00925573" w:rsidRDefault="003A0F43" w:rsidP="003A0F43">
                            <w:pPr>
                              <w:spacing w:after="0"/>
                              <w:rPr>
                                <w:rStyle w:val="fontstyle11"/>
                                <w:color w:val="auto"/>
                              </w:rPr>
                            </w:pPr>
                            <w:r w:rsidRPr="00925573">
                              <w:rPr>
                                <w:rStyle w:val="fontstyle11"/>
                                <w:color w:val="auto"/>
                              </w:rPr>
                              <w:t>(C) si es necesaria una evaluación de stock para proporcionar asesoramiento de ordenación en el ínterin.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28A4D" id="Text Box 9" o:spid="_x0000_s1031" type="#_x0000_t202" style="position:absolute;margin-left:168.6pt;margin-top:18.75pt;width:435.2pt;height:128.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" fillcolor="white [3201]" strokeweight=".5pt">
                <v:textbox>
                  <w:txbxContent>
                    <w:p w14:paraId="6F9316F1" w14:textId="77777777" w:rsidR="003A0F43" w:rsidRPr="00925573" w:rsidRDefault="003A0F43" w:rsidP="003A0F43">
                      <w:pPr>
                        <w:spacing w:after="0" w:line="240" w:lineRule="auto"/>
                        <w:jc w:val="both"/>
                        <w:rPr>
                          <w:rStyle w:val="fontstyle11"/>
                          <w:color w:val="auto"/>
                        </w:rPr>
                      </w:pPr>
                      <w:r w:rsidRPr="00925573">
                        <w:rPr>
                          <w:rStyle w:val="fontstyle11"/>
                          <w:color w:val="auto"/>
                        </w:rPr>
                        <w:t xml:space="preserve">El SCRS asesorará a la Comisión sobre: </w:t>
                      </w:r>
                    </w:p>
                    <w:p w14:paraId="78E412D5" w14:textId="77777777" w:rsidR="003A0F43" w:rsidRPr="00925573" w:rsidRDefault="003A0F43" w:rsidP="003A0F43">
                      <w:pPr>
                        <w:spacing w:after="0" w:line="240" w:lineRule="auto"/>
                        <w:jc w:val="both"/>
                        <w:rPr>
                          <w:rStyle w:val="fontstyle11"/>
                          <w:color w:val="auto"/>
                        </w:rPr>
                      </w:pPr>
                      <w:r w:rsidRPr="00925573">
                        <w:rPr>
                          <w:rStyle w:val="fontstyle11"/>
                          <w:color w:val="auto"/>
                        </w:rPr>
                        <w:t xml:space="preserve">(A) Opciones de ordenación alternativas para el siguiente año de pesca destinadas a garantizar, como mínimo, la estabilidad del estado del stock, incluidas las implicaciones de: </w:t>
                      </w:r>
                    </w:p>
                    <w:p w14:paraId="60B37C2C" w14:textId="4D466A54" w:rsidR="003A0F43" w:rsidRPr="00925573" w:rsidRDefault="003A0F43" w:rsidP="003A0F43">
                      <w:pPr>
                        <w:spacing w:after="0" w:line="240" w:lineRule="auto"/>
                        <w:ind w:firstLineChars="50" w:firstLine="100"/>
                        <w:jc w:val="both"/>
                        <w:rPr>
                          <w:rStyle w:val="fontstyle11"/>
                          <w:color w:val="auto"/>
                        </w:rPr>
                      </w:pPr>
                      <w:r w:rsidRPr="00925573">
                        <w:rPr>
                          <w:rStyle w:val="fontstyle11"/>
                          <w:color w:val="auto"/>
                        </w:rPr>
                        <w:t>(i) mantener el total admisible de capturas (TAC)</w:t>
                      </w:r>
                      <w:r w:rsidR="00925573">
                        <w:rPr>
                          <w:rStyle w:val="fontstyle11"/>
                          <w:color w:val="auto"/>
                        </w:rPr>
                        <w:t xml:space="preserve"> del statu quo</w:t>
                      </w:r>
                      <w:r w:rsidRPr="00925573">
                        <w:rPr>
                          <w:rStyle w:val="fontstyle11"/>
                          <w:color w:val="auto"/>
                        </w:rPr>
                        <w:t>;</w:t>
                      </w:r>
                    </w:p>
                    <w:p w14:paraId="60AF9B7E" w14:textId="10383025" w:rsidR="003A0F43" w:rsidRPr="00925573" w:rsidRDefault="003A0F43" w:rsidP="003A0F43">
                      <w:pPr>
                        <w:spacing w:after="0" w:line="240" w:lineRule="auto"/>
                        <w:ind w:firstLineChars="50" w:firstLine="100"/>
                        <w:jc w:val="both"/>
                        <w:rPr>
                          <w:rStyle w:val="fontstyle11"/>
                          <w:color w:val="auto"/>
                        </w:rPr>
                      </w:pPr>
                      <w:r w:rsidRPr="00925573">
                        <w:rPr>
                          <w:rStyle w:val="fontstyle11"/>
                          <w:color w:val="auto"/>
                        </w:rPr>
                        <w:t>(</w:t>
                      </w:r>
                      <w:proofErr w:type="spellStart"/>
                      <w:r w:rsidRPr="00925573">
                        <w:rPr>
                          <w:rStyle w:val="fontstyle11"/>
                          <w:color w:val="auto"/>
                        </w:rPr>
                        <w:t>ii</w:t>
                      </w:r>
                      <w:proofErr w:type="spellEnd"/>
                      <w:r w:rsidRPr="00925573">
                        <w:rPr>
                          <w:rStyle w:val="fontstyle11"/>
                          <w:color w:val="auto"/>
                        </w:rPr>
                        <w:t xml:space="preserve">) reducir el TAC en un </w:t>
                      </w:r>
                      <w:r w:rsidR="001E6314" w:rsidRPr="00925573">
                        <w:rPr>
                          <w:rFonts w:ascii="Cambria" w:eastAsia="Calibri" w:hAnsi="Cambria" w:cs="Times New Roman"/>
                          <w:b/>
                          <w:bCs/>
                          <w:sz w:val="20"/>
                          <w:szCs w:val="20"/>
                        </w:rPr>
                        <w:t xml:space="preserve">20 % </w:t>
                      </w:r>
                      <w:r w:rsidRPr="00925573">
                        <w:rPr>
                          <w:rStyle w:val="fontstyle11"/>
                          <w:color w:val="auto"/>
                        </w:rPr>
                        <w:t>u otro porcentaje adecuado, en particular a la luz de los indicios de disminución del stock; y</w:t>
                      </w:r>
                    </w:p>
                    <w:p w14:paraId="4BED261C" w14:textId="77777777" w:rsidR="003A0F43" w:rsidRPr="00925573" w:rsidRDefault="003A0F43" w:rsidP="003A0F43">
                      <w:pPr>
                        <w:spacing w:after="0" w:line="240" w:lineRule="auto"/>
                        <w:ind w:firstLineChars="50" w:firstLine="100"/>
                        <w:jc w:val="both"/>
                        <w:rPr>
                          <w:rStyle w:val="fontstyle11"/>
                          <w:color w:val="auto"/>
                        </w:rPr>
                      </w:pPr>
                      <w:r w:rsidRPr="00925573">
                        <w:rPr>
                          <w:rStyle w:val="fontstyle11"/>
                          <w:color w:val="auto"/>
                        </w:rPr>
                        <w:t xml:space="preserve"> (</w:t>
                      </w:r>
                      <w:proofErr w:type="spellStart"/>
                      <w:r w:rsidRPr="00925573">
                        <w:rPr>
                          <w:rStyle w:val="fontstyle11"/>
                          <w:color w:val="auto"/>
                        </w:rPr>
                        <w:t>iii</w:t>
                      </w:r>
                      <w:proofErr w:type="spellEnd"/>
                      <w:r w:rsidRPr="00925573">
                        <w:rPr>
                          <w:rStyle w:val="fontstyle11"/>
                          <w:color w:val="auto"/>
                        </w:rPr>
                        <w:t xml:space="preserve">) cualquier otra acción de conservación y ordenación adecuada; </w:t>
                      </w:r>
                    </w:p>
                    <w:p w14:paraId="63DBEB3E" w14:textId="77777777" w:rsidR="003A0F43" w:rsidRPr="00925573" w:rsidRDefault="003A0F43" w:rsidP="003A0F43">
                      <w:pPr>
                        <w:spacing w:after="0"/>
                        <w:rPr>
                          <w:rStyle w:val="fontstyle11"/>
                          <w:color w:val="auto"/>
                        </w:rPr>
                      </w:pPr>
                      <w:r w:rsidRPr="00925573">
                        <w:rPr>
                          <w:rStyle w:val="fontstyle11"/>
                          <w:color w:val="auto"/>
                        </w:rPr>
                        <w:t>(B) si el MP existente puede y debería ajustarse o si se requiere el desarrollo de un nuevo MP; y</w:t>
                      </w:r>
                    </w:p>
                    <w:p w14:paraId="06DC9905" w14:textId="77777777" w:rsidR="003A0F43" w:rsidRPr="00925573" w:rsidRDefault="003A0F43" w:rsidP="003A0F43">
                      <w:pPr>
                        <w:spacing w:after="0"/>
                        <w:rPr>
                          <w:rStyle w:val="fontstyle11"/>
                          <w:color w:val="auto"/>
                        </w:rPr>
                      </w:pPr>
                      <w:r w:rsidRPr="00925573">
                        <w:rPr>
                          <w:rStyle w:val="fontstyle11"/>
                          <w:color w:val="auto"/>
                        </w:rPr>
                        <w:t>(C) si es necesaria una evaluación de stock para proporcionar asesoramiento de ordenación en el ínterin.</w:t>
                      </w:r>
                    </w:p>
                  </w:txbxContent>
                </v:textbox>
                <w10:wrap anchorx="page"/>
              </v:shape>
            </w:pict>
          </mc:Fallback>
        </mc:AlternateContent>
      </w:r>
    </w:p>
    <w:p w14:paraId="013D93FA" w14:textId="6FABD984" w:rsidR="003A0F43" w:rsidRPr="00767FBD" w:rsidRDefault="001640D5">
      <w:pPr>
        <w:rPr>
          <w:sz w:val="20"/>
          <w:szCs w:val="20"/>
        </w:rPr>
      </w:pPr>
      <w:r w:rsidRPr="00767FBD">
        <w:rPr>
          <w:rFonts w:asciiTheme="majorHAnsi" w:hAnsiTheme="majorHAnsi"/>
          <w:noProof/>
          <w:sz w:val="20"/>
          <w:szCs w:val="20"/>
        </w:rPr>
        <mc:AlternateContent>
          <mc:Choice Requires="wps">
            <w:drawing>
              <wp:anchor distT="0" distB="0" distL="114300" distR="114300" simplePos="0" relativeHeight="251663360" behindDoc="0" locked="0" layoutInCell="1" allowOverlap="1" wp14:anchorId="520B9B56" wp14:editId="7B86D1C1">
                <wp:simplePos x="0" y="0"/>
                <wp:positionH relativeFrom="margin">
                  <wp:posOffset>76835</wp:posOffset>
                </wp:positionH>
                <wp:positionV relativeFrom="paragraph">
                  <wp:posOffset>1832033</wp:posOffset>
                </wp:positionV>
                <wp:extent cx="6362700" cy="862965"/>
                <wp:effectExtent l="0" t="0" r="19050" b="13335"/>
                <wp:wrapNone/>
                <wp:docPr id="12" name="Text Box 12"/>
                <wp:cNvGraphicFramePr/>
                <a:graphic xmlns:a="http://schemas.openxmlformats.org/drawingml/2006/main">
                  <a:graphicData uri="http://schemas.microsoft.com/office/word/2010/wordprocessingShape">
                    <wps:wsp>
                      <wps:cNvSpPr txBox="1"/>
                      <wps:spPr>
                        <a:xfrm>
                          <a:off x="0" y="0"/>
                          <a:ext cx="6362700" cy="862965"/>
                        </a:xfrm>
                        <a:prstGeom prst="rect">
                          <a:avLst/>
                        </a:prstGeom>
                        <a:solidFill>
                          <a:schemeClr val="lt1"/>
                        </a:solidFill>
                        <a:ln w="6350">
                          <a:solidFill>
                            <a:prstClr val="black"/>
                          </a:solidFill>
                        </a:ln>
                      </wps:spPr>
                      <wps:txbx>
                        <w:txbxContent>
                          <w:p w14:paraId="5D506081" w14:textId="7668F3FB" w:rsidR="003A0F43" w:rsidRPr="001768EB" w:rsidRDefault="003A0F43" w:rsidP="003A0F43">
                            <w:pPr>
                              <w:spacing w:after="0" w:line="240" w:lineRule="auto"/>
                              <w:jc w:val="both"/>
                              <w:rPr>
                                <w:rStyle w:val="fontstyle11"/>
                                <w:color w:val="auto"/>
                              </w:rPr>
                            </w:pPr>
                            <w:r w:rsidRPr="001768EB">
                              <w:rPr>
                                <w:rStyle w:val="fontstyle11"/>
                                <w:color w:val="auto"/>
                              </w:rPr>
                              <w:t xml:space="preserve">Basándose en el asesoramiento del SCRS, la Comisión decidirá la(s) acción(es) de ordenación alternativa(s) que debe(n) adoptarse. A menos </w:t>
                            </w:r>
                            <w:r w:rsidR="00FA1392" w:rsidRPr="001768EB">
                              <w:rPr>
                                <w:rStyle w:val="fontstyle11"/>
                                <w:color w:val="auto"/>
                              </w:rPr>
                              <w:t xml:space="preserve">que el SCRS </w:t>
                            </w:r>
                            <w:r w:rsidR="00925573">
                              <w:rPr>
                                <w:rStyle w:val="fontstyle11"/>
                                <w:color w:val="auto"/>
                              </w:rPr>
                              <w:t>indique</w:t>
                            </w:r>
                            <w:r w:rsidR="00FA1392" w:rsidRPr="001768EB">
                              <w:rPr>
                                <w:rStyle w:val="fontstyle11"/>
                                <w:color w:val="auto"/>
                              </w:rPr>
                              <w:t xml:space="preserve"> </w:t>
                            </w:r>
                            <w:r w:rsidRPr="001768EB">
                              <w:rPr>
                                <w:rStyle w:val="fontstyle11"/>
                                <w:color w:val="auto"/>
                              </w:rPr>
                              <w:t>que exist</w:t>
                            </w:r>
                            <w:r w:rsidR="0007261F" w:rsidRPr="001768EB">
                              <w:rPr>
                                <w:rStyle w:val="fontstyle11"/>
                                <w:color w:val="auto"/>
                              </w:rPr>
                              <w:t>e</w:t>
                            </w:r>
                            <w:r w:rsidRPr="001768EB">
                              <w:rPr>
                                <w:rStyle w:val="fontstyle11"/>
                                <w:color w:val="auto"/>
                              </w:rPr>
                              <w:t xml:space="preserve"> una base científica suficiente para desviarse, la Comisión reducirá el TAC en </w:t>
                            </w:r>
                            <w:r w:rsidR="001E6314" w:rsidRPr="001768EB">
                              <w:rPr>
                                <w:rStyle w:val="fontstyle11"/>
                                <w:color w:val="auto"/>
                              </w:rPr>
                              <w:t xml:space="preserve">un </w:t>
                            </w:r>
                            <w:r w:rsidR="001E6314" w:rsidRPr="001768EB">
                              <w:rPr>
                                <w:rFonts w:ascii="Cambria" w:eastAsia="Calibri" w:hAnsi="Cambria" w:cs="Times New Roman"/>
                                <w:b/>
                                <w:bCs/>
                                <w:sz w:val="20"/>
                                <w:szCs w:val="20"/>
                              </w:rPr>
                              <w:t>20 %</w:t>
                            </w:r>
                            <w:r w:rsidR="001E6314" w:rsidRPr="001768EB">
                              <w:rPr>
                                <w:rFonts w:ascii="Cambria" w:eastAsia="Calibri" w:hAnsi="Cambria" w:cs="Times New Roman"/>
                                <w:b/>
                                <w:bCs/>
                                <w:sz w:val="20"/>
                              </w:rPr>
                              <w:t xml:space="preserve"> </w:t>
                            </w:r>
                            <w:r w:rsidRPr="001768EB">
                              <w:rPr>
                                <w:rStyle w:val="fontstyle11"/>
                                <w:color w:val="auto"/>
                              </w:rPr>
                              <w:t>para el año siguiente. Además, según sea necesario y apropiado, el SCRS llevará a cabo una nueva evaluación de stock y/o proporcionará asesoramiento sobre nuevos MP candidatos tan pronto como sea posible.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B9B56" id="Text Box 12" o:spid="_x0000_s1032" type="#_x0000_t202" style="position:absolute;margin-left:6.05pt;margin-top:144.25pt;width:501pt;height:67.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" fillcolor="white [3201]" strokeweight=".5pt">
                <v:textbox>
                  <w:txbxContent>
                    <w:p w14:paraId="5D506081" w14:textId="7668F3FB" w:rsidR="003A0F43" w:rsidRPr="001768EB" w:rsidRDefault="003A0F43" w:rsidP="003A0F43">
                      <w:pPr>
                        <w:spacing w:after="0" w:line="240" w:lineRule="auto"/>
                        <w:jc w:val="both"/>
                        <w:rPr>
                          <w:rStyle w:val="fontstyle11"/>
                          <w:color w:val="auto"/>
                        </w:rPr>
                      </w:pPr>
                      <w:r w:rsidRPr="001768EB">
                        <w:rPr>
                          <w:rStyle w:val="fontstyle11"/>
                          <w:color w:val="auto"/>
                        </w:rPr>
                        <w:t xml:space="preserve">Basándose en el asesoramiento del SCRS, la Comisión decidirá la(s) acción(es) de ordenación alternativa(s) que debe(n) adoptarse. A menos </w:t>
                      </w:r>
                      <w:r w:rsidR="00FA1392" w:rsidRPr="001768EB">
                        <w:rPr>
                          <w:rStyle w:val="fontstyle11"/>
                          <w:color w:val="auto"/>
                        </w:rPr>
                        <w:t xml:space="preserve">que el SCRS </w:t>
                      </w:r>
                      <w:r w:rsidR="00925573">
                        <w:rPr>
                          <w:rStyle w:val="fontstyle11"/>
                          <w:color w:val="auto"/>
                        </w:rPr>
                        <w:t>indique</w:t>
                      </w:r>
                      <w:r w:rsidR="00FA1392" w:rsidRPr="001768EB">
                        <w:rPr>
                          <w:rStyle w:val="fontstyle11"/>
                          <w:color w:val="auto"/>
                        </w:rPr>
                        <w:t xml:space="preserve"> </w:t>
                      </w:r>
                      <w:r w:rsidRPr="001768EB">
                        <w:rPr>
                          <w:rStyle w:val="fontstyle11"/>
                          <w:color w:val="auto"/>
                        </w:rPr>
                        <w:t>que exist</w:t>
                      </w:r>
                      <w:r w:rsidR="0007261F" w:rsidRPr="001768EB">
                        <w:rPr>
                          <w:rStyle w:val="fontstyle11"/>
                          <w:color w:val="auto"/>
                        </w:rPr>
                        <w:t>e</w:t>
                      </w:r>
                      <w:r w:rsidRPr="001768EB">
                        <w:rPr>
                          <w:rStyle w:val="fontstyle11"/>
                          <w:color w:val="auto"/>
                        </w:rPr>
                        <w:t xml:space="preserve"> una base científica suficiente para desviarse, la Comisión reducirá el TAC en </w:t>
                      </w:r>
                      <w:r w:rsidR="001E6314" w:rsidRPr="001768EB">
                        <w:rPr>
                          <w:rStyle w:val="fontstyle11"/>
                          <w:color w:val="auto"/>
                        </w:rPr>
                        <w:t xml:space="preserve">un </w:t>
                      </w:r>
                      <w:r w:rsidR="001E6314" w:rsidRPr="001768EB">
                        <w:rPr>
                          <w:rFonts w:ascii="Cambria" w:eastAsia="Calibri" w:hAnsi="Cambria" w:cs="Times New Roman"/>
                          <w:b/>
                          <w:bCs/>
                          <w:sz w:val="20"/>
                          <w:szCs w:val="20"/>
                        </w:rPr>
                        <w:t>20 %</w:t>
                      </w:r>
                      <w:r w:rsidR="001E6314" w:rsidRPr="001768EB">
                        <w:rPr>
                          <w:rFonts w:ascii="Cambria" w:eastAsia="Calibri" w:hAnsi="Cambria" w:cs="Times New Roman"/>
                          <w:b/>
                          <w:bCs/>
                          <w:sz w:val="20"/>
                        </w:rPr>
                        <w:t xml:space="preserve"> </w:t>
                      </w:r>
                      <w:r w:rsidRPr="001768EB">
                        <w:rPr>
                          <w:rStyle w:val="fontstyle11"/>
                          <w:color w:val="auto"/>
                        </w:rPr>
                        <w:t>para el año siguiente. Además, según sea necesario y apropiado, el SCRS llevará a cabo una nueva evaluación de stock y/o proporcionará asesoramiento sobre nuevos MP candidatos tan pronto como sea posible.</w:t>
                      </w:r>
                    </w:p>
                  </w:txbxContent>
                </v:textbox>
                <w10:wrap anchorx="margin"/>
              </v:shape>
            </w:pict>
          </mc:Fallback>
        </mc:AlternateContent>
      </w:r>
      <w:r w:rsidRPr="00767FBD">
        <w:rPr>
          <w:rFonts w:asciiTheme="majorHAnsi" w:hAnsiTheme="majorHAnsi"/>
          <w:noProof/>
          <w:sz w:val="20"/>
          <w:szCs w:val="20"/>
        </w:rPr>
        <mc:AlternateContent>
          <mc:Choice Requires="wps">
            <w:drawing>
              <wp:anchor distT="0" distB="0" distL="114300" distR="114300" simplePos="0" relativeHeight="251669504" behindDoc="0" locked="0" layoutInCell="1" allowOverlap="1" wp14:anchorId="20E36FC6" wp14:editId="2EC4A001">
                <wp:simplePos x="0" y="0"/>
                <wp:positionH relativeFrom="margin">
                  <wp:posOffset>3014345</wp:posOffset>
                </wp:positionH>
                <wp:positionV relativeFrom="paragraph">
                  <wp:posOffset>1560888</wp:posOffset>
                </wp:positionV>
                <wp:extent cx="876300" cy="253365"/>
                <wp:effectExtent l="38100" t="0" r="0" b="32385"/>
                <wp:wrapNone/>
                <wp:docPr id="30" name="矢印: 下 30"/>
                <wp:cNvGraphicFramePr/>
                <a:graphic xmlns:a="http://schemas.openxmlformats.org/drawingml/2006/main">
                  <a:graphicData uri="http://schemas.microsoft.com/office/word/2010/wordprocessingShape">
                    <wps:wsp>
                      <wps:cNvSpPr/>
                      <wps:spPr>
                        <a:xfrm>
                          <a:off x="0" y="0"/>
                          <a:ext cx="876300" cy="25336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7C036" id="矢印: 下 30" o:spid="_x0000_s1026" type="#_x0000_t67" style="position:absolute;margin-left:237.35pt;margin-top:122.9pt;width:69pt;height:19.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" adj="10800" fillcolor="#4f81bd" strokecolor="#385d8a" strokeweight="2pt">
                <w10:wrap anchorx="margin"/>
              </v:shape>
            </w:pict>
          </mc:Fallback>
        </mc:AlternateContent>
      </w:r>
      <w:r w:rsidR="003A0F43" w:rsidRPr="00767FBD">
        <w:rPr>
          <w:sz w:val="20"/>
          <w:szCs w:val="20"/>
        </w:rPr>
        <w:br w:type="page"/>
      </w:r>
    </w:p>
    <w:p w14:paraId="6286C196" w14:textId="4AF4EFA3" w:rsidR="00434388" w:rsidRPr="00767FBD" w:rsidRDefault="00434388" w:rsidP="00434388">
      <w:pPr>
        <w:jc w:val="right"/>
        <w:rPr>
          <w:rFonts w:ascii="Cambria" w:hAnsi="Cambria"/>
          <w:b/>
          <w:sz w:val="20"/>
          <w:szCs w:val="20"/>
        </w:rPr>
      </w:pPr>
      <w:r w:rsidRPr="00767FBD">
        <w:rPr>
          <w:rFonts w:ascii="Cambria" w:hAnsi="Cambria"/>
          <w:b/>
          <w:sz w:val="20"/>
          <w:szCs w:val="20"/>
        </w:rPr>
        <w:lastRenderedPageBreak/>
        <w:t xml:space="preserve">Anexo </w:t>
      </w:r>
      <w:r w:rsidR="00D211F7" w:rsidRPr="00767FBD">
        <w:rPr>
          <w:rFonts w:ascii="Cambria" w:hAnsi="Cambria"/>
          <w:b/>
          <w:sz w:val="20"/>
          <w:szCs w:val="20"/>
        </w:rPr>
        <w:t>3</w:t>
      </w:r>
    </w:p>
    <w:p w14:paraId="780FFE37" w14:textId="658610FB" w:rsidR="00B62BFA" w:rsidRPr="00767FBD" w:rsidRDefault="00B62BFA" w:rsidP="00434388">
      <w:pPr>
        <w:jc w:val="center"/>
        <w:rPr>
          <w:rFonts w:ascii="Cambria" w:hAnsi="Cambria" w:cs="Cambria"/>
          <w:b/>
          <w:bCs/>
          <w:sz w:val="20"/>
          <w:szCs w:val="20"/>
        </w:rPr>
      </w:pPr>
      <w:r w:rsidRPr="00767FBD">
        <w:rPr>
          <w:rFonts w:ascii="Cambria" w:hAnsi="Cambria"/>
          <w:b/>
          <w:sz w:val="20"/>
          <w:szCs w:val="20"/>
        </w:rPr>
        <w:t>P</w:t>
      </w:r>
      <w:r w:rsidR="00D211F7" w:rsidRPr="00767FBD">
        <w:rPr>
          <w:rFonts w:ascii="Cambria" w:hAnsi="Cambria"/>
          <w:b/>
          <w:sz w:val="20"/>
          <w:szCs w:val="20"/>
        </w:rPr>
        <w:t>rocedimiento para establecer el total admisible de capturas para cada período de ordenación</w:t>
      </w:r>
    </w:p>
    <w:p w14:paraId="18986A69" w14:textId="77777777" w:rsidR="00B62BFA" w:rsidRPr="00767FBD" w:rsidRDefault="00B62BFA" w:rsidP="00B62BFA">
      <w:pPr>
        <w:autoSpaceDE w:val="0"/>
        <w:autoSpaceDN w:val="0"/>
        <w:adjustRightInd w:val="0"/>
        <w:spacing w:after="0" w:line="240" w:lineRule="auto"/>
        <w:rPr>
          <w:rFonts w:ascii="Cambria" w:hAnsi="Cambria" w:cs="Cambria"/>
          <w:sz w:val="20"/>
          <w:szCs w:val="20"/>
        </w:rPr>
      </w:pPr>
    </w:p>
    <w:p w14:paraId="2A36FD50" w14:textId="1D611D59" w:rsidR="00B62BFA" w:rsidRPr="00767FBD" w:rsidRDefault="00B62BFA" w:rsidP="001640D5">
      <w:pPr>
        <w:autoSpaceDE w:val="0"/>
        <w:autoSpaceDN w:val="0"/>
        <w:adjustRightInd w:val="0"/>
        <w:spacing w:after="0" w:line="240" w:lineRule="auto"/>
        <w:ind w:left="360"/>
        <w:jc w:val="both"/>
        <w:rPr>
          <w:rFonts w:ascii="Cambria" w:hAnsi="Cambria" w:cs="Cambria"/>
          <w:sz w:val="20"/>
          <w:szCs w:val="20"/>
        </w:rPr>
      </w:pPr>
      <w:r w:rsidRPr="00767FBD">
        <w:rPr>
          <w:rFonts w:ascii="Cambria" w:hAnsi="Cambria"/>
          <w:sz w:val="20"/>
          <w:szCs w:val="20"/>
        </w:rPr>
        <w:t xml:space="preserve">El TAC constante anual para tres años se establecerá del siguiente modo sobre la base de los puntos de referencia de un procedimiento de ordenación establecido en el </w:t>
      </w:r>
      <w:r w:rsidR="00434388" w:rsidRPr="00767FBD">
        <w:rPr>
          <w:rFonts w:ascii="Cambria" w:hAnsi="Cambria"/>
          <w:b/>
          <w:bCs/>
          <w:sz w:val="20"/>
          <w:szCs w:val="20"/>
        </w:rPr>
        <w:t>Anexo</w:t>
      </w:r>
      <w:r w:rsidR="00434388" w:rsidRPr="00767FBD">
        <w:rPr>
          <w:rFonts w:ascii="Cambria" w:hAnsi="Cambria"/>
          <w:sz w:val="20"/>
          <w:szCs w:val="20"/>
        </w:rPr>
        <w:t xml:space="preserve"> </w:t>
      </w:r>
      <w:r w:rsidR="00D211F7" w:rsidRPr="00767FBD">
        <w:rPr>
          <w:rFonts w:ascii="Cambria" w:hAnsi="Cambria"/>
          <w:b/>
          <w:bCs/>
          <w:sz w:val="20"/>
          <w:szCs w:val="20"/>
        </w:rPr>
        <w:t>1</w:t>
      </w:r>
      <w:r w:rsidRPr="00767FBD">
        <w:rPr>
          <w:rFonts w:ascii="Cambria" w:hAnsi="Cambria"/>
          <w:b/>
          <w:bCs/>
          <w:sz w:val="20"/>
          <w:szCs w:val="20"/>
        </w:rPr>
        <w:t xml:space="preserve"> </w:t>
      </w:r>
      <w:r w:rsidRPr="00767FBD">
        <w:rPr>
          <w:rFonts w:ascii="Cambria" w:hAnsi="Cambria"/>
          <w:sz w:val="20"/>
          <w:szCs w:val="20"/>
        </w:rPr>
        <w:t xml:space="preserve">anterior. </w:t>
      </w:r>
    </w:p>
    <w:p w14:paraId="1AA09E43" w14:textId="77777777" w:rsidR="00B62BFA" w:rsidRPr="00767FBD" w:rsidRDefault="00B62BFA" w:rsidP="00B62BFA">
      <w:pPr>
        <w:pStyle w:val="ListParagraph"/>
        <w:autoSpaceDE w:val="0"/>
        <w:autoSpaceDN w:val="0"/>
        <w:adjustRightInd w:val="0"/>
        <w:spacing w:after="0" w:line="240" w:lineRule="auto"/>
        <w:rPr>
          <w:rFonts w:ascii="Cambria" w:hAnsi="Cambria" w:cs="Cambria"/>
          <w:sz w:val="20"/>
          <w:szCs w:val="20"/>
        </w:rPr>
      </w:pPr>
    </w:p>
    <w:p w14:paraId="1EE42CA9" w14:textId="0B184E4E" w:rsidR="00B62BFA" w:rsidRPr="00767FBD" w:rsidRDefault="00B62BFA" w:rsidP="00B62BFA">
      <w:pPr>
        <w:pStyle w:val="ListParagraph"/>
        <w:numPr>
          <w:ilvl w:val="1"/>
          <w:numId w:val="32"/>
        </w:numPr>
        <w:autoSpaceDE w:val="0"/>
        <w:autoSpaceDN w:val="0"/>
        <w:adjustRightInd w:val="0"/>
        <w:spacing w:after="0" w:line="240" w:lineRule="auto"/>
        <w:jc w:val="both"/>
        <w:rPr>
          <w:rFonts w:ascii="Cambria" w:hAnsi="Cambria" w:cs="Cambria"/>
          <w:sz w:val="20"/>
          <w:szCs w:val="20"/>
        </w:rPr>
      </w:pPr>
      <w:r w:rsidRPr="00767FBD">
        <w:rPr>
          <w:rFonts w:ascii="Cambria" w:hAnsi="Cambria"/>
          <w:sz w:val="20"/>
          <w:szCs w:val="20"/>
        </w:rPr>
        <w:t xml:space="preserve"> Si se estima que la biomasa actual (</w:t>
      </w:r>
      <w:r w:rsidR="00D211F7" w:rsidRPr="00767FBD">
        <w:rPr>
          <w:rFonts w:ascii="Cambria" w:hAnsi="Cambria"/>
          <w:sz w:val="20"/>
          <w:szCs w:val="20"/>
        </w:rPr>
        <w:t>B</w:t>
      </w:r>
      <w:r w:rsidR="00D211F7" w:rsidRPr="00767FBD">
        <w:rPr>
          <w:rFonts w:ascii="Cambria" w:hAnsi="Cambria"/>
          <w:sz w:val="20"/>
          <w:szCs w:val="20"/>
          <w:vertAlign w:val="subscript"/>
        </w:rPr>
        <w:t>ACTUAL</w:t>
      </w:r>
      <w:r w:rsidRPr="00767FBD">
        <w:rPr>
          <w:rFonts w:ascii="Cambria" w:hAnsi="Cambria"/>
          <w:sz w:val="20"/>
          <w:szCs w:val="20"/>
        </w:rPr>
        <w:t xml:space="preserve">) se sitúa en o por encima de la biomasa umbral (a saber, </w:t>
      </w:r>
      <w:r w:rsidR="00D211F7" w:rsidRPr="00767FBD">
        <w:rPr>
          <w:rFonts w:ascii="Cambria" w:hAnsi="Cambria"/>
          <w:sz w:val="20"/>
          <w:szCs w:val="20"/>
        </w:rPr>
        <w:t>B</w:t>
      </w:r>
      <w:r w:rsidR="00D211F7" w:rsidRPr="00767FBD">
        <w:rPr>
          <w:rFonts w:ascii="Cambria" w:hAnsi="Cambria"/>
          <w:sz w:val="20"/>
          <w:szCs w:val="20"/>
          <w:vertAlign w:val="subscript"/>
        </w:rPr>
        <w:t>ACTUAL</w:t>
      </w:r>
      <w:r w:rsidR="00D211F7" w:rsidRPr="00767FBD">
        <w:rPr>
          <w:rFonts w:ascii="Cambria" w:hAnsi="Cambria"/>
          <w:sz w:val="20"/>
          <w:szCs w:val="20"/>
        </w:rPr>
        <w:t xml:space="preserve"> </w:t>
      </w:r>
      <w:r w:rsidRPr="00767FBD">
        <w:rPr>
          <w:rFonts w:ascii="Cambria" w:hAnsi="Cambria"/>
          <w:sz w:val="20"/>
          <w:szCs w:val="20"/>
        </w:rPr>
        <w:t>≥ B</w:t>
      </w:r>
      <w:r w:rsidRPr="00767FBD">
        <w:rPr>
          <w:rFonts w:ascii="Cambria" w:hAnsi="Cambria"/>
          <w:sz w:val="20"/>
          <w:szCs w:val="20"/>
          <w:vertAlign w:val="subscript"/>
        </w:rPr>
        <w:t>RMS</w:t>
      </w:r>
      <w:r w:rsidRPr="00767FBD">
        <w:rPr>
          <w:rFonts w:ascii="Cambria" w:hAnsi="Cambria"/>
          <w:sz w:val="20"/>
          <w:szCs w:val="20"/>
        </w:rPr>
        <w:t xml:space="preserve">), entonces el límite de captura se establecerá en: </w:t>
      </w:r>
    </w:p>
    <w:p w14:paraId="32920B57" w14:textId="77777777" w:rsidR="00B62BFA" w:rsidRPr="00767FBD" w:rsidRDefault="00B62BFA" w:rsidP="00B62BFA">
      <w:pPr>
        <w:pStyle w:val="ListParagraph"/>
        <w:autoSpaceDE w:val="0"/>
        <w:autoSpaceDN w:val="0"/>
        <w:adjustRightInd w:val="0"/>
        <w:spacing w:after="0" w:line="240" w:lineRule="auto"/>
        <w:ind w:left="1440"/>
        <w:jc w:val="both"/>
        <w:rPr>
          <w:rFonts w:ascii="Cambria" w:hAnsi="Cambria" w:cs="Cambria"/>
          <w:sz w:val="20"/>
          <w:szCs w:val="20"/>
        </w:rPr>
      </w:pPr>
    </w:p>
    <w:p w14:paraId="27C9C812" w14:textId="24A2C73A" w:rsidR="00B62BFA" w:rsidRPr="00767FBD" w:rsidRDefault="00B62BFA" w:rsidP="00B62BFA">
      <w:pPr>
        <w:pStyle w:val="ListParagraph"/>
        <w:numPr>
          <w:ilvl w:val="2"/>
          <w:numId w:val="32"/>
        </w:numPr>
        <w:autoSpaceDE w:val="0"/>
        <w:autoSpaceDN w:val="0"/>
        <w:adjustRightInd w:val="0"/>
        <w:spacing w:after="0" w:line="240" w:lineRule="auto"/>
        <w:jc w:val="both"/>
        <w:rPr>
          <w:rFonts w:ascii="Cambria" w:hAnsi="Cambria" w:cs="Cambria"/>
          <w:sz w:val="20"/>
          <w:szCs w:val="20"/>
        </w:rPr>
      </w:pPr>
      <w:r w:rsidRPr="00767FBD">
        <w:rPr>
          <w:rFonts w:ascii="Cambria" w:hAnsi="Cambria"/>
          <w:sz w:val="20"/>
          <w:szCs w:val="20"/>
        </w:rPr>
        <w:t xml:space="preserve">   TAC =    </w:t>
      </w:r>
      <w:r w:rsidR="00D211F7" w:rsidRPr="00767FBD">
        <w:rPr>
          <w:rFonts w:ascii="Cambria" w:hAnsi="Cambria"/>
          <w:sz w:val="20"/>
          <w:szCs w:val="20"/>
        </w:rPr>
        <w:t>F</w:t>
      </w:r>
      <w:r w:rsidR="00D211F7" w:rsidRPr="00767FBD">
        <w:rPr>
          <w:rFonts w:ascii="Cambria" w:hAnsi="Cambria"/>
          <w:sz w:val="20"/>
          <w:szCs w:val="20"/>
          <w:vertAlign w:val="subscript"/>
        </w:rPr>
        <w:t>OBJETIVO</w:t>
      </w:r>
      <w:r w:rsidR="00D211F7" w:rsidRPr="00767FBD">
        <w:rPr>
          <w:rFonts w:ascii="Cambria" w:hAnsi="Cambria"/>
          <w:sz w:val="20"/>
          <w:szCs w:val="20"/>
        </w:rPr>
        <w:t xml:space="preserve"> </w:t>
      </w:r>
      <w:r w:rsidRPr="00767FBD">
        <w:rPr>
          <w:rFonts w:ascii="Cambria" w:hAnsi="Cambria"/>
          <w:sz w:val="20"/>
          <w:szCs w:val="20"/>
        </w:rPr>
        <w:t xml:space="preserve">* </w:t>
      </w:r>
      <w:r w:rsidR="00D211F7" w:rsidRPr="00767FBD">
        <w:rPr>
          <w:rFonts w:ascii="Cambria" w:hAnsi="Cambria"/>
          <w:sz w:val="20"/>
          <w:szCs w:val="20"/>
        </w:rPr>
        <w:t>B</w:t>
      </w:r>
      <w:r w:rsidR="00D211F7" w:rsidRPr="00767FBD">
        <w:rPr>
          <w:rFonts w:ascii="Cambria" w:hAnsi="Cambria"/>
          <w:sz w:val="20"/>
          <w:szCs w:val="20"/>
          <w:vertAlign w:val="subscript"/>
        </w:rPr>
        <w:t xml:space="preserve">ACTUAL </w:t>
      </w:r>
    </w:p>
    <w:p w14:paraId="030D2E9D" w14:textId="77777777" w:rsidR="00B62BFA" w:rsidRPr="00767FBD" w:rsidRDefault="00B62BFA" w:rsidP="00B62BFA">
      <w:pPr>
        <w:pStyle w:val="ListParagraph"/>
        <w:autoSpaceDE w:val="0"/>
        <w:autoSpaceDN w:val="0"/>
        <w:adjustRightInd w:val="0"/>
        <w:spacing w:after="0" w:line="240" w:lineRule="auto"/>
        <w:ind w:left="2160"/>
        <w:jc w:val="both"/>
        <w:rPr>
          <w:rFonts w:ascii="Cambria" w:hAnsi="Cambria" w:cs="Cambria"/>
          <w:sz w:val="20"/>
          <w:szCs w:val="20"/>
        </w:rPr>
      </w:pPr>
    </w:p>
    <w:p w14:paraId="2BC1E8DF" w14:textId="2CEA77C3" w:rsidR="00B62BFA" w:rsidRPr="00767FBD" w:rsidRDefault="00B62BFA" w:rsidP="00B62BFA">
      <w:pPr>
        <w:pStyle w:val="ListParagraph"/>
        <w:numPr>
          <w:ilvl w:val="1"/>
          <w:numId w:val="32"/>
        </w:numPr>
        <w:autoSpaceDE w:val="0"/>
        <w:autoSpaceDN w:val="0"/>
        <w:adjustRightInd w:val="0"/>
        <w:spacing w:after="0" w:line="240" w:lineRule="auto"/>
        <w:jc w:val="both"/>
        <w:rPr>
          <w:rFonts w:ascii="Cambria" w:hAnsi="Cambria" w:cs="Cambria"/>
          <w:sz w:val="20"/>
          <w:szCs w:val="20"/>
        </w:rPr>
      </w:pPr>
      <w:r w:rsidRPr="00767FBD">
        <w:rPr>
          <w:rFonts w:ascii="Cambria" w:hAnsi="Cambria"/>
          <w:sz w:val="20"/>
          <w:szCs w:val="20"/>
        </w:rPr>
        <w:t>Si se estima que la biomasa actual (</w:t>
      </w:r>
      <w:r w:rsidR="00D211F7" w:rsidRPr="00767FBD">
        <w:rPr>
          <w:rFonts w:ascii="Cambria" w:hAnsi="Cambria"/>
          <w:sz w:val="20"/>
          <w:szCs w:val="20"/>
        </w:rPr>
        <w:t>B</w:t>
      </w:r>
      <w:r w:rsidR="00D211F7" w:rsidRPr="00767FBD">
        <w:rPr>
          <w:rFonts w:ascii="Cambria" w:hAnsi="Cambria"/>
          <w:sz w:val="20"/>
          <w:szCs w:val="20"/>
          <w:vertAlign w:val="subscript"/>
        </w:rPr>
        <w:t>ACTUAL</w:t>
      </w:r>
      <w:r w:rsidRPr="00767FBD">
        <w:rPr>
          <w:rFonts w:ascii="Cambria" w:hAnsi="Cambria"/>
          <w:sz w:val="20"/>
          <w:szCs w:val="20"/>
        </w:rPr>
        <w:t>) se sitúa por debajo de la biomasa umbral, pero por encima de B</w:t>
      </w:r>
      <w:r w:rsidR="00434388" w:rsidRPr="00767FBD">
        <w:rPr>
          <w:rFonts w:ascii="Cambria" w:hAnsi="Cambria"/>
          <w:sz w:val="20"/>
          <w:szCs w:val="20"/>
          <w:vertAlign w:val="subscript"/>
        </w:rPr>
        <w:t xml:space="preserve">LIM </w:t>
      </w:r>
      <w:r w:rsidRPr="00767FBD">
        <w:rPr>
          <w:rFonts w:ascii="Cambria" w:hAnsi="Cambria"/>
          <w:sz w:val="20"/>
          <w:szCs w:val="20"/>
        </w:rPr>
        <w:t xml:space="preserve">(a saber, </w:t>
      </w:r>
      <w:r w:rsidR="00D211F7" w:rsidRPr="00767FBD">
        <w:rPr>
          <w:rFonts w:ascii="Cambria" w:hAnsi="Cambria"/>
          <w:sz w:val="20"/>
          <w:szCs w:val="20"/>
        </w:rPr>
        <w:t>B</w:t>
      </w:r>
      <w:r w:rsidR="00D211F7" w:rsidRPr="00767FBD">
        <w:rPr>
          <w:rFonts w:ascii="Cambria" w:hAnsi="Cambria"/>
          <w:sz w:val="20"/>
          <w:szCs w:val="20"/>
          <w:vertAlign w:val="subscript"/>
        </w:rPr>
        <w:t xml:space="preserve">ACTUAL </w:t>
      </w:r>
      <w:r w:rsidRPr="00767FBD">
        <w:rPr>
          <w:rFonts w:ascii="Cambria" w:hAnsi="Cambria"/>
          <w:sz w:val="20"/>
          <w:szCs w:val="20"/>
        </w:rPr>
        <w:t>&gt; 0,4*B</w:t>
      </w:r>
      <w:r w:rsidRPr="00767FBD">
        <w:rPr>
          <w:rFonts w:ascii="Cambria" w:hAnsi="Cambria"/>
          <w:sz w:val="20"/>
          <w:szCs w:val="20"/>
          <w:vertAlign w:val="subscript"/>
        </w:rPr>
        <w:t>RMS</w:t>
      </w:r>
      <w:r w:rsidRPr="00767FBD">
        <w:rPr>
          <w:rFonts w:ascii="Cambria" w:hAnsi="Cambria"/>
          <w:sz w:val="20"/>
          <w:szCs w:val="20"/>
        </w:rPr>
        <w:t xml:space="preserve">), entonces el límite de captura se establecerá en: </w:t>
      </w:r>
    </w:p>
    <w:p w14:paraId="490F7074" w14:textId="77777777" w:rsidR="00B62BFA" w:rsidRPr="00767FBD" w:rsidRDefault="00B62BFA" w:rsidP="00B62BFA">
      <w:pPr>
        <w:pStyle w:val="ListParagraph"/>
        <w:autoSpaceDE w:val="0"/>
        <w:autoSpaceDN w:val="0"/>
        <w:adjustRightInd w:val="0"/>
        <w:spacing w:after="0" w:line="240" w:lineRule="auto"/>
        <w:ind w:left="1440"/>
        <w:jc w:val="both"/>
        <w:rPr>
          <w:rFonts w:ascii="Cambria" w:hAnsi="Cambria" w:cs="Cambria"/>
          <w:sz w:val="20"/>
          <w:szCs w:val="20"/>
        </w:rPr>
      </w:pPr>
    </w:p>
    <w:p w14:paraId="705A00E2" w14:textId="37DEB8E7" w:rsidR="00B62BFA" w:rsidRPr="00767FBD" w:rsidRDefault="00B62BFA" w:rsidP="00B62BFA">
      <w:pPr>
        <w:pStyle w:val="ListParagraph"/>
        <w:numPr>
          <w:ilvl w:val="2"/>
          <w:numId w:val="32"/>
        </w:numPr>
        <w:autoSpaceDE w:val="0"/>
        <w:autoSpaceDN w:val="0"/>
        <w:adjustRightInd w:val="0"/>
        <w:spacing w:after="0" w:line="240" w:lineRule="auto"/>
        <w:jc w:val="both"/>
        <w:rPr>
          <w:rFonts w:ascii="Cambria" w:hAnsi="Cambria" w:cs="Cambria"/>
          <w:sz w:val="20"/>
          <w:szCs w:val="20"/>
        </w:rPr>
      </w:pPr>
      <w:r w:rsidRPr="00767FBD">
        <w:rPr>
          <w:rFonts w:ascii="Cambria" w:hAnsi="Cambria"/>
          <w:sz w:val="20"/>
          <w:szCs w:val="20"/>
        </w:rPr>
        <w:t xml:space="preserve">   TAC = </w:t>
      </w:r>
      <w:r w:rsidR="00434388" w:rsidRPr="00767FBD">
        <w:rPr>
          <w:rFonts w:ascii="Cambria" w:hAnsi="Cambria"/>
          <w:sz w:val="20"/>
          <w:szCs w:val="20"/>
        </w:rPr>
        <w:t>F</w:t>
      </w:r>
      <w:r w:rsidR="00434388" w:rsidRPr="00767FBD">
        <w:rPr>
          <w:rFonts w:ascii="Cambria" w:hAnsi="Cambria"/>
          <w:sz w:val="20"/>
          <w:szCs w:val="20"/>
          <w:vertAlign w:val="subscript"/>
        </w:rPr>
        <w:t>PROX</w:t>
      </w:r>
      <w:r w:rsidR="00434388" w:rsidRPr="00767FBD">
        <w:rPr>
          <w:rFonts w:ascii="Cambria" w:hAnsi="Cambria"/>
          <w:sz w:val="20"/>
          <w:szCs w:val="20"/>
        </w:rPr>
        <w:t xml:space="preserve"> </w:t>
      </w:r>
      <w:r w:rsidRPr="00767FBD">
        <w:rPr>
          <w:rFonts w:ascii="Cambria" w:hAnsi="Cambria"/>
          <w:sz w:val="20"/>
          <w:szCs w:val="20"/>
        </w:rPr>
        <w:t xml:space="preserve">* </w:t>
      </w:r>
      <w:r w:rsidR="00D211F7" w:rsidRPr="00767FBD">
        <w:rPr>
          <w:rFonts w:ascii="Cambria" w:hAnsi="Cambria"/>
          <w:sz w:val="20"/>
          <w:szCs w:val="20"/>
        </w:rPr>
        <w:t>B</w:t>
      </w:r>
      <w:r w:rsidR="00D211F7" w:rsidRPr="00767FBD">
        <w:rPr>
          <w:rFonts w:ascii="Cambria" w:hAnsi="Cambria"/>
          <w:sz w:val="20"/>
          <w:szCs w:val="20"/>
          <w:vertAlign w:val="subscript"/>
        </w:rPr>
        <w:t xml:space="preserve">ACTUAL </w:t>
      </w:r>
    </w:p>
    <w:p w14:paraId="47E0C9C6" w14:textId="77777777" w:rsidR="00B62BFA" w:rsidRPr="00767FBD" w:rsidRDefault="00B62BFA" w:rsidP="00B62BFA">
      <w:pPr>
        <w:autoSpaceDE w:val="0"/>
        <w:autoSpaceDN w:val="0"/>
        <w:adjustRightInd w:val="0"/>
        <w:spacing w:after="0" w:line="240" w:lineRule="auto"/>
        <w:jc w:val="both"/>
        <w:rPr>
          <w:rFonts w:ascii="Cambria" w:hAnsi="Cambria" w:cs="Cambria"/>
          <w:sz w:val="20"/>
          <w:szCs w:val="20"/>
        </w:rPr>
      </w:pPr>
    </w:p>
    <w:p w14:paraId="15A98B85" w14:textId="3B326F1A" w:rsidR="00B62BFA" w:rsidRPr="00767FBD" w:rsidRDefault="00B62BFA" w:rsidP="00B62BFA">
      <w:pPr>
        <w:autoSpaceDE w:val="0"/>
        <w:autoSpaceDN w:val="0"/>
        <w:adjustRightInd w:val="0"/>
        <w:spacing w:after="0" w:line="240" w:lineRule="auto"/>
        <w:ind w:left="1440"/>
        <w:jc w:val="both"/>
        <w:rPr>
          <w:rFonts w:ascii="Cambria" w:hAnsi="Cambria" w:cs="Cambria"/>
          <w:sz w:val="20"/>
          <w:szCs w:val="20"/>
        </w:rPr>
      </w:pPr>
      <w:r w:rsidRPr="00767FBD">
        <w:rPr>
          <w:rFonts w:ascii="Cambria" w:hAnsi="Cambria"/>
          <w:sz w:val="20"/>
          <w:szCs w:val="20"/>
        </w:rPr>
        <w:t xml:space="preserve">Los valores para </w:t>
      </w:r>
      <w:r w:rsidR="00434388" w:rsidRPr="00767FBD">
        <w:rPr>
          <w:rFonts w:ascii="Cambria" w:hAnsi="Cambria"/>
          <w:sz w:val="20"/>
          <w:szCs w:val="20"/>
        </w:rPr>
        <w:t>F</w:t>
      </w:r>
      <w:r w:rsidR="00434388" w:rsidRPr="00767FBD">
        <w:rPr>
          <w:rFonts w:ascii="Cambria" w:hAnsi="Cambria"/>
          <w:sz w:val="20"/>
          <w:szCs w:val="20"/>
          <w:vertAlign w:val="subscript"/>
        </w:rPr>
        <w:t>PROX</w:t>
      </w:r>
      <w:r w:rsidR="00434388" w:rsidRPr="00767FBD">
        <w:rPr>
          <w:rFonts w:ascii="Cambria" w:hAnsi="Cambria"/>
          <w:sz w:val="20"/>
          <w:szCs w:val="20"/>
        </w:rPr>
        <w:t xml:space="preserve"> </w:t>
      </w:r>
      <w:r w:rsidRPr="00767FBD">
        <w:rPr>
          <w:rFonts w:ascii="Cambria" w:hAnsi="Cambria"/>
          <w:sz w:val="20"/>
          <w:szCs w:val="20"/>
        </w:rPr>
        <w:t>se muestran en el</w:t>
      </w:r>
      <w:r w:rsidRPr="00767FBD">
        <w:rPr>
          <w:rFonts w:ascii="Cambria" w:hAnsi="Cambria"/>
          <w:b/>
          <w:bCs/>
          <w:sz w:val="20"/>
          <w:szCs w:val="20"/>
        </w:rPr>
        <w:t xml:space="preserve"> Apéndice C del </w:t>
      </w:r>
      <w:r w:rsidR="00434388" w:rsidRPr="00767FBD">
        <w:rPr>
          <w:rFonts w:ascii="Cambria" w:hAnsi="Cambria"/>
          <w:b/>
          <w:bCs/>
          <w:sz w:val="20"/>
          <w:szCs w:val="20"/>
        </w:rPr>
        <w:t xml:space="preserve">Anexo </w:t>
      </w:r>
      <w:r w:rsidRPr="00767FBD">
        <w:rPr>
          <w:rFonts w:ascii="Cambria" w:hAnsi="Cambria"/>
          <w:b/>
          <w:bCs/>
          <w:sz w:val="20"/>
          <w:szCs w:val="20"/>
        </w:rPr>
        <w:t xml:space="preserve">1 </w:t>
      </w:r>
      <w:r w:rsidRPr="00767FBD">
        <w:rPr>
          <w:rFonts w:ascii="Cambria" w:hAnsi="Cambria"/>
          <w:sz w:val="20"/>
          <w:szCs w:val="20"/>
        </w:rPr>
        <w:t>y pueden calcularse también mediante la fórmula incluida en el párrafo 4</w:t>
      </w:r>
      <w:r w:rsidR="00434388" w:rsidRPr="00767FBD">
        <w:rPr>
          <w:rFonts w:ascii="Cambria" w:hAnsi="Cambria"/>
          <w:sz w:val="20"/>
          <w:szCs w:val="20"/>
        </w:rPr>
        <w:t xml:space="preserve"> c de este Anexo</w:t>
      </w:r>
      <w:r w:rsidRPr="00767FBD">
        <w:rPr>
          <w:rFonts w:ascii="Cambria" w:hAnsi="Cambria"/>
          <w:sz w:val="20"/>
          <w:szCs w:val="20"/>
        </w:rPr>
        <w:t>.</w:t>
      </w:r>
    </w:p>
    <w:p w14:paraId="245A37F2" w14:textId="77777777" w:rsidR="00B62BFA" w:rsidRPr="00767FBD" w:rsidRDefault="00B62BFA" w:rsidP="00B62BFA">
      <w:pPr>
        <w:autoSpaceDE w:val="0"/>
        <w:autoSpaceDN w:val="0"/>
        <w:adjustRightInd w:val="0"/>
        <w:spacing w:after="0" w:line="240" w:lineRule="auto"/>
        <w:ind w:left="1440"/>
        <w:jc w:val="both"/>
        <w:rPr>
          <w:rFonts w:ascii="Cambria" w:hAnsi="Cambria" w:cs="Cambria"/>
          <w:sz w:val="20"/>
          <w:szCs w:val="20"/>
        </w:rPr>
      </w:pPr>
    </w:p>
    <w:p w14:paraId="34211575" w14:textId="4442B951" w:rsidR="00B62BFA" w:rsidRPr="00767FBD" w:rsidRDefault="00053B8B" w:rsidP="00B62BFA">
      <w:pPr>
        <w:pStyle w:val="ListParagraph"/>
        <w:numPr>
          <w:ilvl w:val="1"/>
          <w:numId w:val="32"/>
        </w:numPr>
        <w:autoSpaceDE w:val="0"/>
        <w:autoSpaceDN w:val="0"/>
        <w:adjustRightInd w:val="0"/>
        <w:spacing w:after="0" w:line="240" w:lineRule="auto"/>
        <w:jc w:val="both"/>
        <w:rPr>
          <w:rFonts w:ascii="Cambria" w:hAnsi="Cambria" w:cs="Cambria"/>
          <w:sz w:val="20"/>
          <w:szCs w:val="20"/>
        </w:rPr>
      </w:pPr>
      <w:r w:rsidRPr="00767FBD">
        <w:rPr>
          <w:rFonts w:ascii="Cambria" w:hAnsi="Cambria"/>
          <w:sz w:val="20"/>
          <w:szCs w:val="20"/>
        </w:rPr>
        <w:t>Si</w:t>
      </w:r>
      <w:r w:rsidR="00B62BFA" w:rsidRPr="00767FBD">
        <w:rPr>
          <w:rFonts w:ascii="Cambria" w:hAnsi="Cambria"/>
          <w:sz w:val="20"/>
          <w:szCs w:val="20"/>
        </w:rPr>
        <w:t xml:space="preserve"> se estima que la biomasa actual (</w:t>
      </w:r>
      <w:r w:rsidR="00D211F7" w:rsidRPr="00767FBD">
        <w:rPr>
          <w:rFonts w:ascii="Cambria" w:hAnsi="Cambria"/>
          <w:sz w:val="20"/>
          <w:szCs w:val="20"/>
        </w:rPr>
        <w:t>B</w:t>
      </w:r>
      <w:r w:rsidR="00D211F7" w:rsidRPr="00767FBD">
        <w:rPr>
          <w:rFonts w:ascii="Cambria" w:hAnsi="Cambria"/>
          <w:sz w:val="20"/>
          <w:szCs w:val="20"/>
          <w:vertAlign w:val="subscript"/>
        </w:rPr>
        <w:t>ACTUAL</w:t>
      </w:r>
      <w:r w:rsidR="00B62BFA" w:rsidRPr="00767FBD">
        <w:rPr>
          <w:rFonts w:ascii="Cambria" w:hAnsi="Cambria"/>
          <w:sz w:val="20"/>
          <w:szCs w:val="20"/>
        </w:rPr>
        <w:t>) está en B</w:t>
      </w:r>
      <w:r w:rsidR="00B62BFA" w:rsidRPr="00767FBD">
        <w:rPr>
          <w:rFonts w:ascii="Cambria" w:hAnsi="Cambria"/>
          <w:sz w:val="20"/>
          <w:szCs w:val="20"/>
          <w:vertAlign w:val="subscript"/>
        </w:rPr>
        <w:t>LIM</w:t>
      </w:r>
      <w:r w:rsidR="00B62BFA" w:rsidRPr="00767FBD">
        <w:rPr>
          <w:rFonts w:ascii="Cambria" w:hAnsi="Cambria"/>
          <w:sz w:val="20"/>
          <w:szCs w:val="20"/>
        </w:rPr>
        <w:t xml:space="preserve"> o por debajo (a saber, </w:t>
      </w:r>
      <w:r w:rsidR="00D211F7" w:rsidRPr="00767FBD">
        <w:rPr>
          <w:rFonts w:ascii="Cambria" w:hAnsi="Cambria"/>
          <w:sz w:val="20"/>
          <w:szCs w:val="20"/>
        </w:rPr>
        <w:t>B</w:t>
      </w:r>
      <w:r w:rsidR="00D211F7" w:rsidRPr="00767FBD">
        <w:rPr>
          <w:rFonts w:ascii="Cambria" w:hAnsi="Cambria"/>
          <w:sz w:val="20"/>
          <w:szCs w:val="20"/>
          <w:vertAlign w:val="subscript"/>
        </w:rPr>
        <w:t>ACTUAL</w:t>
      </w:r>
      <w:r w:rsidR="00D211F7" w:rsidRPr="00767FBD">
        <w:rPr>
          <w:rFonts w:ascii="Cambria" w:hAnsi="Cambria"/>
          <w:sz w:val="20"/>
          <w:szCs w:val="20"/>
        </w:rPr>
        <w:t xml:space="preserve"> </w:t>
      </w:r>
      <w:r w:rsidR="00B62BFA" w:rsidRPr="00767FBD">
        <w:rPr>
          <w:rFonts w:ascii="Cambria" w:hAnsi="Cambria"/>
          <w:sz w:val="20"/>
          <w:szCs w:val="20"/>
        </w:rPr>
        <w:t>&gt; 0,4*B</w:t>
      </w:r>
      <w:r w:rsidR="00B62BFA" w:rsidRPr="00767FBD">
        <w:rPr>
          <w:rFonts w:ascii="Cambria" w:hAnsi="Cambria"/>
          <w:sz w:val="20"/>
          <w:szCs w:val="20"/>
          <w:vertAlign w:val="subscript"/>
        </w:rPr>
        <w:t>RMS</w:t>
      </w:r>
      <w:r w:rsidR="00B62BFA" w:rsidRPr="00767FBD">
        <w:rPr>
          <w:rFonts w:ascii="Cambria" w:hAnsi="Cambria"/>
          <w:sz w:val="20"/>
          <w:szCs w:val="20"/>
        </w:rPr>
        <w:t xml:space="preserve">), el límite de capturas se fijará en </w:t>
      </w:r>
    </w:p>
    <w:p w14:paraId="7440FB79" w14:textId="77777777" w:rsidR="00B62BFA" w:rsidRPr="00767FBD" w:rsidRDefault="00B62BFA" w:rsidP="00B62BFA">
      <w:pPr>
        <w:pStyle w:val="ListParagraph"/>
        <w:autoSpaceDE w:val="0"/>
        <w:autoSpaceDN w:val="0"/>
        <w:adjustRightInd w:val="0"/>
        <w:spacing w:after="0" w:line="240" w:lineRule="auto"/>
        <w:ind w:left="1440"/>
        <w:jc w:val="both"/>
        <w:rPr>
          <w:rFonts w:ascii="Cambria" w:hAnsi="Cambria" w:cs="Cambria"/>
          <w:sz w:val="20"/>
          <w:szCs w:val="20"/>
        </w:rPr>
      </w:pPr>
    </w:p>
    <w:p w14:paraId="7BFC4637" w14:textId="13722FB1" w:rsidR="00B62BFA" w:rsidRPr="00767FBD" w:rsidRDefault="00B62BFA" w:rsidP="00B62BFA">
      <w:pPr>
        <w:pStyle w:val="ListParagraph"/>
        <w:numPr>
          <w:ilvl w:val="2"/>
          <w:numId w:val="32"/>
        </w:numPr>
        <w:autoSpaceDE w:val="0"/>
        <w:autoSpaceDN w:val="0"/>
        <w:adjustRightInd w:val="0"/>
        <w:spacing w:after="0" w:line="240" w:lineRule="auto"/>
        <w:rPr>
          <w:rFonts w:ascii="Cambria" w:hAnsi="Cambria" w:cs="Cambria"/>
          <w:sz w:val="20"/>
          <w:szCs w:val="20"/>
        </w:rPr>
      </w:pPr>
      <w:r w:rsidRPr="00767FBD">
        <w:rPr>
          <w:rFonts w:ascii="Cambria" w:hAnsi="Cambria"/>
          <w:sz w:val="20"/>
          <w:szCs w:val="20"/>
        </w:rPr>
        <w:t xml:space="preserve">   TAC =    F</w:t>
      </w:r>
      <w:r w:rsidRPr="00767FBD">
        <w:rPr>
          <w:rFonts w:ascii="Cambria" w:hAnsi="Cambria"/>
          <w:sz w:val="20"/>
          <w:szCs w:val="20"/>
          <w:vertAlign w:val="subscript"/>
        </w:rPr>
        <w:t>MIN</w:t>
      </w:r>
      <w:r w:rsidRPr="00767FBD">
        <w:rPr>
          <w:rFonts w:ascii="Cambria" w:hAnsi="Cambria"/>
          <w:sz w:val="20"/>
          <w:szCs w:val="20"/>
        </w:rPr>
        <w:t xml:space="preserve"> * </w:t>
      </w:r>
      <w:r w:rsidR="00D211F7" w:rsidRPr="00767FBD">
        <w:rPr>
          <w:rFonts w:ascii="Cambria" w:hAnsi="Cambria"/>
          <w:sz w:val="20"/>
          <w:szCs w:val="20"/>
        </w:rPr>
        <w:t>B</w:t>
      </w:r>
      <w:r w:rsidR="00D211F7" w:rsidRPr="00767FBD">
        <w:rPr>
          <w:rFonts w:ascii="Cambria" w:hAnsi="Cambria"/>
          <w:sz w:val="20"/>
          <w:szCs w:val="20"/>
          <w:vertAlign w:val="subscript"/>
        </w:rPr>
        <w:t>ACTUAL</w:t>
      </w:r>
    </w:p>
    <w:p w14:paraId="181EB687" w14:textId="77777777" w:rsidR="00B62BFA" w:rsidRPr="00767FBD" w:rsidRDefault="00B62BFA" w:rsidP="00B62BFA">
      <w:pPr>
        <w:autoSpaceDE w:val="0"/>
        <w:autoSpaceDN w:val="0"/>
        <w:adjustRightInd w:val="0"/>
        <w:spacing w:after="0" w:line="240" w:lineRule="auto"/>
        <w:rPr>
          <w:rFonts w:ascii="Cambria" w:hAnsi="Cambria" w:cs="Cambria"/>
          <w:sz w:val="20"/>
          <w:szCs w:val="20"/>
        </w:rPr>
      </w:pPr>
    </w:p>
    <w:p w14:paraId="6D4D06F9" w14:textId="77777777" w:rsidR="00B62BFA" w:rsidRPr="00767FBD" w:rsidRDefault="00B62BFA" w:rsidP="00B62BFA">
      <w:pPr>
        <w:autoSpaceDE w:val="0"/>
        <w:autoSpaceDN w:val="0"/>
        <w:adjustRightInd w:val="0"/>
        <w:spacing w:after="0" w:line="240" w:lineRule="auto"/>
        <w:ind w:left="1440"/>
        <w:rPr>
          <w:rFonts w:ascii="Cambria" w:hAnsi="Cambria" w:cs="Cambria"/>
          <w:sz w:val="20"/>
          <w:szCs w:val="20"/>
        </w:rPr>
      </w:pPr>
      <w:r w:rsidRPr="00767FBD">
        <w:rPr>
          <w:rFonts w:ascii="Cambria" w:hAnsi="Cambria"/>
          <w:sz w:val="20"/>
          <w:szCs w:val="20"/>
        </w:rPr>
        <w:t xml:space="preserve">con miras a garantizar un nivel de captura para el seguimiento científico. </w:t>
      </w:r>
    </w:p>
    <w:p w14:paraId="3F11658F" w14:textId="77777777" w:rsidR="00B62BFA" w:rsidRPr="00767FBD" w:rsidRDefault="00B62BFA" w:rsidP="00B62BFA">
      <w:pPr>
        <w:autoSpaceDE w:val="0"/>
        <w:autoSpaceDN w:val="0"/>
        <w:adjustRightInd w:val="0"/>
        <w:spacing w:after="0" w:line="240" w:lineRule="auto"/>
        <w:ind w:left="1440"/>
        <w:jc w:val="both"/>
        <w:rPr>
          <w:rFonts w:ascii="Cambria" w:hAnsi="Cambria"/>
          <w:sz w:val="20"/>
          <w:szCs w:val="20"/>
        </w:rPr>
      </w:pPr>
    </w:p>
    <w:p w14:paraId="1971F665" w14:textId="29FBCCBA" w:rsidR="00B62BFA" w:rsidRPr="00767FBD" w:rsidRDefault="00B62BFA" w:rsidP="00053B8B">
      <w:pPr>
        <w:autoSpaceDE w:val="0"/>
        <w:autoSpaceDN w:val="0"/>
        <w:adjustRightInd w:val="0"/>
        <w:spacing w:after="0" w:line="240" w:lineRule="auto"/>
        <w:ind w:left="1440"/>
        <w:jc w:val="both"/>
        <w:rPr>
          <w:rFonts w:ascii="Cambria" w:hAnsi="Cambria" w:cs="Cambria"/>
          <w:sz w:val="20"/>
          <w:szCs w:val="20"/>
        </w:rPr>
      </w:pPr>
      <w:r w:rsidRPr="00767FBD">
        <w:rPr>
          <w:rFonts w:ascii="Cambria" w:hAnsi="Cambria"/>
          <w:sz w:val="20"/>
          <w:szCs w:val="20"/>
        </w:rPr>
        <w:t xml:space="preserve">Cuando esto ocurra, </w:t>
      </w:r>
      <w:r w:rsidRPr="00767FBD">
        <w:rPr>
          <w:rFonts w:ascii="Cambria" w:eastAsia="Calibri" w:hAnsi="Cambria" w:cs="Times New Roman"/>
          <w:sz w:val="20"/>
          <w:szCs w:val="20"/>
        </w:rPr>
        <w:t>la</w:t>
      </w:r>
      <w:r w:rsidRPr="00767FBD">
        <w:rPr>
          <w:rFonts w:ascii="Cambria" w:hAnsi="Cambria"/>
          <w:sz w:val="20"/>
          <w:szCs w:val="20"/>
        </w:rPr>
        <w:t xml:space="preserve"> Comisión adoptará inmediatamente medidas de ordenación severas para reducir la tasa de mortalidad por pesca a </w:t>
      </w:r>
      <w:r w:rsidR="00AD1AA9" w:rsidRPr="00767FBD">
        <w:rPr>
          <w:rFonts w:ascii="Cambria" w:hAnsi="Cambria"/>
          <w:sz w:val="20"/>
          <w:szCs w:val="20"/>
        </w:rPr>
        <w:t>F</w:t>
      </w:r>
      <w:r w:rsidR="00AD1AA9" w:rsidRPr="00767FBD">
        <w:rPr>
          <w:rFonts w:ascii="Cambria" w:hAnsi="Cambria"/>
          <w:sz w:val="20"/>
          <w:szCs w:val="20"/>
          <w:vertAlign w:val="subscript"/>
        </w:rPr>
        <w:t>MIN</w:t>
      </w:r>
      <w:r w:rsidRPr="00767FBD">
        <w:rPr>
          <w:rFonts w:ascii="Cambria" w:hAnsi="Cambria"/>
          <w:sz w:val="20"/>
          <w:szCs w:val="20"/>
        </w:rPr>
        <w:t>, incluyendo medidas para reducir la pes</w:t>
      </w:r>
      <w:r w:rsidR="00053B8B" w:rsidRPr="00767FBD">
        <w:rPr>
          <w:rFonts w:ascii="Cambria" w:hAnsi="Cambria"/>
          <w:sz w:val="20"/>
          <w:szCs w:val="20"/>
        </w:rPr>
        <w:t>ca</w:t>
      </w:r>
      <w:r w:rsidRPr="00767FBD">
        <w:rPr>
          <w:rFonts w:ascii="Cambria" w:hAnsi="Cambria"/>
          <w:sz w:val="20"/>
          <w:szCs w:val="20"/>
        </w:rPr>
        <w:t xml:space="preserve"> </w:t>
      </w:r>
      <w:r w:rsidR="00AD1AA9" w:rsidRPr="00767FBD">
        <w:rPr>
          <w:rFonts w:ascii="Cambria" w:hAnsi="Cambria"/>
          <w:sz w:val="20"/>
          <w:szCs w:val="20"/>
        </w:rPr>
        <w:t>hasta</w:t>
      </w:r>
      <w:r w:rsidRPr="00767FBD">
        <w:rPr>
          <w:rFonts w:ascii="Cambria" w:hAnsi="Cambria"/>
          <w:sz w:val="20"/>
          <w:szCs w:val="20"/>
        </w:rPr>
        <w:t xml:space="preserve"> un nivel que no supere este nivel y para </w:t>
      </w:r>
      <w:r w:rsidR="00265A91" w:rsidRPr="00767FBD">
        <w:rPr>
          <w:rFonts w:ascii="Cambria" w:hAnsi="Cambria"/>
          <w:sz w:val="20"/>
          <w:szCs w:val="20"/>
        </w:rPr>
        <w:t>implementar</w:t>
      </w:r>
      <w:r w:rsidR="00AD1AA9" w:rsidRPr="00767FBD">
        <w:rPr>
          <w:rFonts w:ascii="Cambria" w:hAnsi="Cambria"/>
          <w:sz w:val="20"/>
          <w:szCs w:val="20"/>
        </w:rPr>
        <w:t xml:space="preserve"> </w:t>
      </w:r>
      <w:r w:rsidRPr="00767FBD">
        <w:rPr>
          <w:rFonts w:ascii="Cambria" w:hAnsi="Cambria"/>
          <w:sz w:val="20"/>
          <w:szCs w:val="20"/>
        </w:rPr>
        <w:t>una cuota de seguimiento científico para poder evaluar el estado del stock. La Comisión no considerará la reapertura de la pes</w:t>
      </w:r>
      <w:r w:rsidR="00053B8B" w:rsidRPr="00767FBD">
        <w:rPr>
          <w:rFonts w:ascii="Cambria" w:hAnsi="Cambria"/>
          <w:sz w:val="20"/>
          <w:szCs w:val="20"/>
        </w:rPr>
        <w:t>ca</w:t>
      </w:r>
      <w:r w:rsidRPr="00767FBD">
        <w:rPr>
          <w:rFonts w:ascii="Cambria" w:hAnsi="Cambria"/>
          <w:sz w:val="20"/>
          <w:szCs w:val="20"/>
        </w:rPr>
        <w:t xml:space="preserve"> más allá de este nivel hasta que la biomasa actual (</w:t>
      </w:r>
      <w:r w:rsidR="00D211F7" w:rsidRPr="00767FBD">
        <w:rPr>
          <w:rFonts w:ascii="Cambria" w:hAnsi="Cambria"/>
          <w:sz w:val="20"/>
          <w:szCs w:val="20"/>
        </w:rPr>
        <w:t>B</w:t>
      </w:r>
      <w:r w:rsidR="00D211F7" w:rsidRPr="00767FBD">
        <w:rPr>
          <w:rFonts w:ascii="Cambria" w:hAnsi="Cambria"/>
          <w:sz w:val="20"/>
          <w:szCs w:val="20"/>
          <w:vertAlign w:val="subscript"/>
        </w:rPr>
        <w:t>ACTUA</w:t>
      </w:r>
      <w:r w:rsidR="00053B8B" w:rsidRPr="00767FBD">
        <w:rPr>
          <w:rFonts w:ascii="Cambria" w:hAnsi="Cambria"/>
          <w:sz w:val="20"/>
          <w:szCs w:val="20"/>
          <w:vertAlign w:val="subscript"/>
        </w:rPr>
        <w:t>L</w:t>
      </w:r>
      <w:r w:rsidRPr="00767FBD">
        <w:rPr>
          <w:rFonts w:ascii="Cambria" w:hAnsi="Cambria"/>
          <w:sz w:val="20"/>
          <w:szCs w:val="20"/>
        </w:rPr>
        <w:t>) supere B</w:t>
      </w:r>
      <w:r w:rsidRPr="00767FBD">
        <w:rPr>
          <w:rFonts w:ascii="Cambria" w:hAnsi="Cambria"/>
          <w:sz w:val="20"/>
          <w:szCs w:val="20"/>
          <w:vertAlign w:val="subscript"/>
        </w:rPr>
        <w:t>LIM</w:t>
      </w:r>
      <w:r w:rsidRPr="00767FBD">
        <w:rPr>
          <w:rFonts w:ascii="Cambria" w:hAnsi="Cambria"/>
          <w:sz w:val="20"/>
          <w:szCs w:val="20"/>
        </w:rPr>
        <w:t xml:space="preserve"> con una alta probabilidad. Además, antes de reabrir la pesquería, la Comisión desarrollará un programa de recuperación para garantizar que el stock vuelva al cuadrante verde del diagrama de Kobe de acuerdo con los términos de la </w:t>
      </w:r>
      <w:r w:rsidRPr="00767FBD">
        <w:rPr>
          <w:rFonts w:ascii="Cambria" w:hAnsi="Cambria"/>
          <w:i/>
          <w:iCs/>
          <w:sz w:val="20"/>
          <w:szCs w:val="20"/>
        </w:rPr>
        <w:t>Recomendación de ICCAT sobre los principios de toma de decisiones para las medidas de conservación y ordenación de ICCAT</w:t>
      </w:r>
      <w:r w:rsidRPr="00767FBD">
        <w:rPr>
          <w:rFonts w:ascii="Cambria" w:hAnsi="Cambria"/>
          <w:sz w:val="20"/>
          <w:szCs w:val="20"/>
        </w:rPr>
        <w:t xml:space="preserve"> (Rec. 11-13),</w:t>
      </w:r>
    </w:p>
    <w:p w14:paraId="44063331" w14:textId="77777777" w:rsidR="00B62BFA" w:rsidRPr="00767FBD" w:rsidRDefault="00B62BFA" w:rsidP="00B62BFA">
      <w:pPr>
        <w:autoSpaceDE w:val="0"/>
        <w:autoSpaceDN w:val="0"/>
        <w:adjustRightInd w:val="0"/>
        <w:spacing w:after="0" w:line="240" w:lineRule="auto"/>
        <w:ind w:left="1440"/>
        <w:rPr>
          <w:rFonts w:ascii="Cambria" w:hAnsi="Cambria" w:cs="Cambria"/>
          <w:strike/>
          <w:sz w:val="20"/>
          <w:szCs w:val="20"/>
        </w:rPr>
      </w:pPr>
    </w:p>
    <w:p w14:paraId="3CE6C8FA" w14:textId="5488C422" w:rsidR="00B62BFA" w:rsidRPr="00767FBD" w:rsidRDefault="00B62BFA" w:rsidP="00B62BFA">
      <w:pPr>
        <w:pStyle w:val="ListParagraph"/>
        <w:numPr>
          <w:ilvl w:val="1"/>
          <w:numId w:val="32"/>
        </w:numPr>
        <w:autoSpaceDE w:val="0"/>
        <w:autoSpaceDN w:val="0"/>
        <w:adjustRightInd w:val="0"/>
        <w:spacing w:after="0" w:line="240" w:lineRule="auto"/>
        <w:jc w:val="both"/>
        <w:rPr>
          <w:rFonts w:ascii="Cambria" w:hAnsi="Cambria" w:cs="Cambria"/>
          <w:sz w:val="20"/>
          <w:szCs w:val="20"/>
        </w:rPr>
      </w:pPr>
      <w:r w:rsidRPr="00767FBD">
        <w:rPr>
          <w:rFonts w:ascii="Cambria" w:hAnsi="Cambria"/>
          <w:sz w:val="20"/>
          <w:szCs w:val="20"/>
        </w:rPr>
        <w:t>El límite de captura resultante de los cálculos anteriores se situará por debajo del límite de captura máximo (</w:t>
      </w:r>
      <w:r w:rsidR="00053B8B" w:rsidRPr="00767FBD">
        <w:rPr>
          <w:rFonts w:ascii="Cambria" w:hAnsi="Cambria"/>
          <w:sz w:val="20"/>
          <w:szCs w:val="20"/>
        </w:rPr>
        <w:t>C</w:t>
      </w:r>
      <w:r w:rsidR="00053B8B" w:rsidRPr="00767FBD">
        <w:rPr>
          <w:rFonts w:ascii="Cambria" w:hAnsi="Cambria"/>
          <w:sz w:val="20"/>
          <w:szCs w:val="20"/>
          <w:vertAlign w:val="subscript"/>
        </w:rPr>
        <w:t>MAX</w:t>
      </w:r>
      <w:r w:rsidRPr="00767FBD">
        <w:rPr>
          <w:rFonts w:ascii="Cambria" w:hAnsi="Cambria"/>
          <w:sz w:val="20"/>
          <w:szCs w:val="20"/>
        </w:rPr>
        <w:t xml:space="preserve">) tal y como se especifica en el párrafo 4 (e) del </w:t>
      </w:r>
      <w:r w:rsidR="00AD1AA9" w:rsidRPr="00767FBD">
        <w:rPr>
          <w:rFonts w:ascii="Cambria" w:hAnsi="Cambria"/>
          <w:b/>
          <w:bCs/>
          <w:sz w:val="20"/>
          <w:szCs w:val="20"/>
        </w:rPr>
        <w:t xml:space="preserve">Anexo </w:t>
      </w:r>
      <w:r w:rsidR="00053B8B" w:rsidRPr="00767FBD">
        <w:rPr>
          <w:rFonts w:ascii="Cambria" w:hAnsi="Cambria"/>
          <w:b/>
          <w:bCs/>
          <w:sz w:val="20"/>
          <w:szCs w:val="20"/>
        </w:rPr>
        <w:t>1</w:t>
      </w:r>
      <w:r w:rsidRPr="00767FBD">
        <w:rPr>
          <w:rFonts w:ascii="Cambria" w:hAnsi="Cambria"/>
          <w:sz w:val="20"/>
          <w:szCs w:val="20"/>
        </w:rPr>
        <w:t xml:space="preserve"> y en ningún caso se incrementará en más de un 25 %  o se reducirá en más de un 20</w:t>
      </w:r>
      <w:r w:rsidR="00AD1AA9" w:rsidRPr="00767FBD">
        <w:rPr>
          <w:rFonts w:ascii="Cambria" w:hAnsi="Cambria"/>
          <w:sz w:val="20"/>
          <w:szCs w:val="20"/>
        </w:rPr>
        <w:t xml:space="preserve"> </w:t>
      </w:r>
      <w:r w:rsidRPr="00767FBD">
        <w:rPr>
          <w:rFonts w:ascii="Cambria" w:hAnsi="Cambria"/>
          <w:sz w:val="20"/>
          <w:szCs w:val="20"/>
        </w:rPr>
        <w:t>% con respecto al límite previo de captura, excepto cuando</w:t>
      </w:r>
      <w:r w:rsidRPr="00767FBD">
        <w:rPr>
          <w:rFonts w:ascii="Cambria" w:hAnsi="Cambria"/>
          <w:b/>
          <w:bCs/>
          <w:sz w:val="20"/>
          <w:szCs w:val="20"/>
        </w:rPr>
        <w:t xml:space="preserve"> </w:t>
      </w:r>
      <w:r w:rsidR="00A23A99" w:rsidRPr="00767FBD">
        <w:rPr>
          <w:rFonts w:ascii="Cambria" w:hAnsi="Cambria" w:cs="Cambria"/>
          <w:sz w:val="20"/>
          <w:szCs w:val="20"/>
        </w:rPr>
        <w:t>B</w:t>
      </w:r>
      <w:r w:rsidR="00A23A99" w:rsidRPr="00767FBD">
        <w:rPr>
          <w:rFonts w:ascii="Cambria" w:hAnsi="Cambria" w:cs="Cambria"/>
          <w:sz w:val="20"/>
          <w:szCs w:val="20"/>
          <w:vertAlign w:val="subscript"/>
        </w:rPr>
        <w:t>ACTUAL</w:t>
      </w:r>
      <w:r w:rsidR="00A23A99" w:rsidRPr="00767FBD">
        <w:rPr>
          <w:rFonts w:ascii="Cambria" w:hAnsi="Cambria" w:cs="Cambria"/>
          <w:sz w:val="20"/>
          <w:szCs w:val="20"/>
        </w:rPr>
        <w:t xml:space="preserve"> </w:t>
      </w:r>
      <w:r w:rsidR="008D1DA2" w:rsidRPr="00767FBD">
        <w:rPr>
          <w:rFonts w:ascii="Cambria" w:hAnsi="Cambria" w:cs="Cambria"/>
          <w:sz w:val="20"/>
          <w:szCs w:val="20"/>
        </w:rPr>
        <w:t>&lt;</w:t>
      </w:r>
      <w:r w:rsidR="00A23A99" w:rsidRPr="00767FBD">
        <w:rPr>
          <w:rFonts w:ascii="Cambria" w:hAnsi="Cambria" w:cs="Cambria"/>
          <w:sz w:val="20"/>
          <w:szCs w:val="20"/>
        </w:rPr>
        <w:t xml:space="preserve"> B</w:t>
      </w:r>
      <w:r w:rsidR="00265A91" w:rsidRPr="00767FBD">
        <w:rPr>
          <w:rFonts w:ascii="Cambria" w:hAnsi="Cambria" w:cs="Cambria"/>
          <w:sz w:val="20"/>
          <w:szCs w:val="20"/>
          <w:vertAlign w:val="subscript"/>
        </w:rPr>
        <w:t>UMB</w:t>
      </w:r>
      <w:r w:rsidR="00A23A99" w:rsidRPr="00767FBD">
        <w:rPr>
          <w:rFonts w:ascii="Cambria" w:hAnsi="Cambria" w:cs="Cambria"/>
          <w:sz w:val="20"/>
          <w:szCs w:val="20"/>
        </w:rPr>
        <w:t xml:space="preserve"> </w:t>
      </w:r>
      <w:r w:rsidRPr="00767FBD">
        <w:rPr>
          <w:rFonts w:ascii="Cambria" w:hAnsi="Cambria"/>
          <w:sz w:val="20"/>
          <w:szCs w:val="20"/>
        </w:rPr>
        <w:t xml:space="preserve">o a menos que se requiera otra cosa con arreglo a una respuesta de ordenación acordada cuando el SCRS determine que se han producido circunstancias excepcionales, de conformidad con el </w:t>
      </w:r>
      <w:r w:rsidR="00AD1AA9" w:rsidRPr="00767FBD">
        <w:rPr>
          <w:rFonts w:ascii="Cambria" w:hAnsi="Cambria"/>
          <w:b/>
          <w:bCs/>
          <w:sz w:val="20"/>
          <w:szCs w:val="20"/>
        </w:rPr>
        <w:t xml:space="preserve">Anexo </w:t>
      </w:r>
      <w:r w:rsidR="00053B8B" w:rsidRPr="00767FBD">
        <w:rPr>
          <w:rFonts w:ascii="Cambria" w:hAnsi="Cambria"/>
          <w:b/>
          <w:bCs/>
          <w:sz w:val="20"/>
          <w:szCs w:val="20"/>
        </w:rPr>
        <w:t>2</w:t>
      </w:r>
      <w:r w:rsidRPr="00767FBD">
        <w:rPr>
          <w:rFonts w:ascii="Cambria" w:hAnsi="Cambria"/>
          <w:sz w:val="20"/>
          <w:szCs w:val="20"/>
        </w:rPr>
        <w:t xml:space="preserve"> de esta Recomendación.</w:t>
      </w:r>
    </w:p>
    <w:p w14:paraId="7CB8E10E" w14:textId="77777777" w:rsidR="00B62BFA" w:rsidRPr="00767FBD" w:rsidRDefault="00B62BFA" w:rsidP="00B62BFA">
      <w:pPr>
        <w:pStyle w:val="ListParagraph"/>
        <w:autoSpaceDE w:val="0"/>
        <w:autoSpaceDN w:val="0"/>
        <w:adjustRightInd w:val="0"/>
        <w:spacing w:after="0" w:line="240" w:lineRule="auto"/>
        <w:ind w:left="1440"/>
        <w:jc w:val="both"/>
        <w:rPr>
          <w:rFonts w:ascii="Cambria" w:hAnsi="Cambria" w:cs="Cambria"/>
          <w:sz w:val="20"/>
          <w:szCs w:val="20"/>
        </w:rPr>
      </w:pPr>
    </w:p>
    <w:p w14:paraId="5B9EC5CD" w14:textId="7B824176" w:rsidR="00B62BFA" w:rsidRPr="00767FBD" w:rsidRDefault="00B62BFA" w:rsidP="00B62BFA">
      <w:pPr>
        <w:pStyle w:val="ListParagraph"/>
        <w:numPr>
          <w:ilvl w:val="1"/>
          <w:numId w:val="32"/>
        </w:numPr>
        <w:autoSpaceDE w:val="0"/>
        <w:autoSpaceDN w:val="0"/>
        <w:adjustRightInd w:val="0"/>
        <w:spacing w:after="0" w:line="240" w:lineRule="auto"/>
        <w:jc w:val="both"/>
        <w:rPr>
          <w:rFonts w:ascii="Cambria" w:hAnsi="Cambria"/>
          <w:sz w:val="20"/>
          <w:szCs w:val="20"/>
        </w:rPr>
      </w:pPr>
      <w:r w:rsidRPr="00767FBD">
        <w:rPr>
          <w:rFonts w:ascii="Cambria" w:hAnsi="Cambria"/>
          <w:sz w:val="20"/>
          <w:szCs w:val="20"/>
        </w:rPr>
        <w:t xml:space="preserve">En el caso del subpárrafo </w:t>
      </w:r>
      <w:r w:rsidR="00AD1AA9" w:rsidRPr="00767FBD">
        <w:rPr>
          <w:rFonts w:ascii="Cambria" w:hAnsi="Cambria"/>
          <w:sz w:val="20"/>
          <w:szCs w:val="20"/>
        </w:rPr>
        <w:t>(</w:t>
      </w:r>
      <w:r w:rsidRPr="00767FBD">
        <w:rPr>
          <w:rFonts w:ascii="Cambria" w:hAnsi="Cambria"/>
          <w:sz w:val="20"/>
          <w:szCs w:val="20"/>
        </w:rPr>
        <w:t>c</w:t>
      </w:r>
      <w:r w:rsidR="00AD1AA9" w:rsidRPr="00767FBD">
        <w:rPr>
          <w:rFonts w:ascii="Cambria" w:hAnsi="Cambria"/>
          <w:sz w:val="20"/>
          <w:szCs w:val="20"/>
        </w:rPr>
        <w:t>)</w:t>
      </w:r>
      <w:r w:rsidRPr="00767FBD">
        <w:rPr>
          <w:rFonts w:ascii="Cambria" w:hAnsi="Cambria"/>
          <w:sz w:val="20"/>
          <w:szCs w:val="20"/>
        </w:rPr>
        <w:t xml:space="preserve"> anterior, el límite de captura podría establecerse en un nivel inferior a </w:t>
      </w:r>
      <w:r w:rsidR="00053B8B" w:rsidRPr="00767FBD">
        <w:rPr>
          <w:rFonts w:ascii="Cambria" w:hAnsi="Cambria"/>
          <w:sz w:val="20"/>
          <w:szCs w:val="20"/>
        </w:rPr>
        <w:t>F</w:t>
      </w:r>
      <w:r w:rsidR="00053B8B" w:rsidRPr="00767FBD">
        <w:rPr>
          <w:rFonts w:ascii="Cambria" w:hAnsi="Cambria"/>
          <w:sz w:val="20"/>
          <w:szCs w:val="20"/>
          <w:vertAlign w:val="subscript"/>
        </w:rPr>
        <w:t>MIN</w:t>
      </w:r>
      <w:r w:rsidR="00053B8B" w:rsidRPr="00767FBD">
        <w:rPr>
          <w:rFonts w:ascii="Cambria" w:hAnsi="Cambria"/>
          <w:sz w:val="20"/>
          <w:szCs w:val="20"/>
        </w:rPr>
        <w:t xml:space="preserve"> </w:t>
      </w:r>
      <w:r w:rsidRPr="00767FBD">
        <w:rPr>
          <w:rFonts w:ascii="Cambria" w:hAnsi="Cambria"/>
          <w:sz w:val="20"/>
          <w:szCs w:val="20"/>
        </w:rPr>
        <w:t>*</w:t>
      </w:r>
      <w:r w:rsidR="00D278B6" w:rsidRPr="00767FBD">
        <w:rPr>
          <w:rFonts w:ascii="Cambria" w:hAnsi="Cambria"/>
          <w:sz w:val="20"/>
          <w:szCs w:val="20"/>
        </w:rPr>
        <w:t xml:space="preserve"> </w:t>
      </w:r>
      <w:r w:rsidRPr="00767FBD">
        <w:rPr>
          <w:rFonts w:ascii="Cambria" w:hAnsi="Cambria"/>
          <w:sz w:val="20"/>
          <w:szCs w:val="20"/>
        </w:rPr>
        <w:t>B</w:t>
      </w:r>
      <w:r w:rsidR="00053B8B" w:rsidRPr="00767FBD">
        <w:rPr>
          <w:rFonts w:ascii="Cambria" w:hAnsi="Cambria"/>
          <w:sz w:val="20"/>
          <w:szCs w:val="20"/>
          <w:vertAlign w:val="subscript"/>
        </w:rPr>
        <w:t>ACTUAL</w:t>
      </w:r>
      <w:r w:rsidRPr="00767FBD">
        <w:rPr>
          <w:rFonts w:ascii="Cambria" w:hAnsi="Cambria"/>
          <w:sz w:val="20"/>
          <w:szCs w:val="20"/>
        </w:rPr>
        <w:t xml:space="preserve">, si el SCRS considera que esto es suficiente para garantizar un nivel de captura </w:t>
      </w:r>
      <w:r w:rsidR="00D278B6" w:rsidRPr="00767FBD">
        <w:rPr>
          <w:rFonts w:ascii="Cambria" w:hAnsi="Cambria"/>
          <w:sz w:val="20"/>
          <w:szCs w:val="20"/>
        </w:rPr>
        <w:t xml:space="preserve">adecuado </w:t>
      </w:r>
      <w:r w:rsidRPr="00767FBD">
        <w:rPr>
          <w:rFonts w:ascii="Cambria" w:hAnsi="Cambria"/>
          <w:sz w:val="20"/>
          <w:szCs w:val="20"/>
        </w:rPr>
        <w:t>para el seguimiento científico.</w:t>
      </w:r>
    </w:p>
    <w:p w14:paraId="75174314" w14:textId="77777777" w:rsidR="00B62BFA" w:rsidRPr="00767FBD" w:rsidRDefault="00B62BFA" w:rsidP="00B62BFA">
      <w:pPr>
        <w:pStyle w:val="ListParagraph"/>
        <w:numPr>
          <w:ilvl w:val="1"/>
          <w:numId w:val="32"/>
        </w:numPr>
        <w:autoSpaceDE w:val="0"/>
        <w:autoSpaceDN w:val="0"/>
        <w:adjustRightInd w:val="0"/>
        <w:spacing w:after="0" w:line="240" w:lineRule="auto"/>
        <w:jc w:val="both"/>
        <w:rPr>
          <w:rFonts w:ascii="Cambria" w:hAnsi="Cambria"/>
          <w:sz w:val="20"/>
          <w:szCs w:val="20"/>
        </w:rPr>
        <w:sectPr w:rsidR="00B62BFA" w:rsidRPr="00767FBD" w:rsidSect="001768EB">
          <w:headerReference w:type="default" r:id="rId15"/>
          <w:footnotePr>
            <w:numRestart w:val="eachSect"/>
          </w:footnotePr>
          <w:pgSz w:w="12240" w:h="15840"/>
          <w:pgMar w:top="1440" w:right="1134" w:bottom="1440" w:left="1134" w:header="850" w:footer="1134" w:gutter="0"/>
          <w:cols w:space="720"/>
          <w:docGrid w:linePitch="360"/>
        </w:sectPr>
      </w:pPr>
    </w:p>
    <w:p w14:paraId="18754EE7" w14:textId="77777777" w:rsidR="00B62BFA" w:rsidRPr="00767FBD" w:rsidRDefault="00B62BFA" w:rsidP="00B62BFA">
      <w:pPr>
        <w:rPr>
          <w:rFonts w:asciiTheme="majorHAnsi" w:hAnsiTheme="majorHAnsi" w:cs="Cambria-Italic"/>
          <w:sz w:val="20"/>
          <w:szCs w:val="20"/>
        </w:rPr>
        <w:sectPr w:rsidR="00B62BFA" w:rsidRPr="00767FBD" w:rsidSect="004457F2">
          <w:footnotePr>
            <w:numRestart w:val="eachSect"/>
          </w:footnotePr>
          <w:type w:val="continuous"/>
          <w:pgSz w:w="12240" w:h="15840"/>
          <w:pgMar w:top="1440" w:right="1134" w:bottom="1440" w:left="1134" w:header="720" w:footer="720" w:gutter="0"/>
          <w:cols w:space="720"/>
          <w:docGrid w:linePitch="360"/>
        </w:sectPr>
      </w:pPr>
    </w:p>
    <w:p w14:paraId="13B8546B" w14:textId="2FC6E8AD" w:rsidR="0053273C" w:rsidRPr="00767FBD" w:rsidRDefault="0053273C" w:rsidP="006B58C5">
      <w:pPr>
        <w:spacing w:after="0" w:line="240" w:lineRule="auto"/>
        <w:jc w:val="right"/>
        <w:rPr>
          <w:rFonts w:asciiTheme="majorHAnsi" w:hAnsiTheme="majorHAnsi"/>
          <w:b/>
          <w:bCs/>
          <w:sz w:val="20"/>
          <w:szCs w:val="20"/>
        </w:rPr>
      </w:pPr>
      <w:r w:rsidRPr="00767FBD">
        <w:rPr>
          <w:rFonts w:asciiTheme="majorHAnsi" w:hAnsiTheme="majorHAnsi"/>
          <w:b/>
          <w:bCs/>
          <w:sz w:val="20"/>
          <w:szCs w:val="20"/>
        </w:rPr>
        <w:lastRenderedPageBreak/>
        <w:t xml:space="preserve">Anexo </w:t>
      </w:r>
      <w:r w:rsidR="00D278B6" w:rsidRPr="00767FBD">
        <w:rPr>
          <w:rFonts w:asciiTheme="majorHAnsi" w:hAnsiTheme="majorHAnsi"/>
          <w:b/>
          <w:bCs/>
          <w:sz w:val="20"/>
          <w:szCs w:val="20"/>
        </w:rPr>
        <w:t>4</w:t>
      </w:r>
    </w:p>
    <w:p w14:paraId="690C1EDE" w14:textId="7F3F34B4" w:rsidR="00D278B6" w:rsidRPr="00767FBD" w:rsidRDefault="0053273C" w:rsidP="006B58C5">
      <w:pPr>
        <w:spacing w:after="0" w:line="240" w:lineRule="auto"/>
        <w:jc w:val="center"/>
        <w:rPr>
          <w:rFonts w:asciiTheme="majorHAnsi" w:hAnsiTheme="majorHAnsi"/>
          <w:b/>
          <w:bCs/>
          <w:sz w:val="20"/>
          <w:szCs w:val="20"/>
        </w:rPr>
      </w:pPr>
      <w:r w:rsidRPr="00767FBD">
        <w:rPr>
          <w:rFonts w:asciiTheme="majorHAnsi" w:hAnsiTheme="majorHAnsi"/>
          <w:b/>
          <w:bCs/>
          <w:sz w:val="20"/>
          <w:szCs w:val="20"/>
        </w:rPr>
        <w:t>Mediciones de desempeño que debe proporcionar el SCRS para apoyar la toma de decisiones</w:t>
      </w:r>
    </w:p>
    <w:p w14:paraId="36D5DDAB" w14:textId="77777777" w:rsidR="006B58C5" w:rsidRPr="00767FBD" w:rsidRDefault="006B58C5" w:rsidP="006B58C5">
      <w:pPr>
        <w:spacing w:after="0" w:line="240" w:lineRule="auto"/>
        <w:jc w:val="center"/>
        <w:rPr>
          <w:rFonts w:asciiTheme="majorHAnsi" w:hAnsiTheme="majorHAnsi"/>
          <w:b/>
          <w:bCs/>
          <w:sz w:val="12"/>
          <w:szCs w:val="12"/>
        </w:rPr>
      </w:pPr>
    </w:p>
    <w:p w14:paraId="20164AE0" w14:textId="77777777" w:rsidR="006B58C5" w:rsidRPr="00767FBD" w:rsidRDefault="00D278B6" w:rsidP="006B58C5">
      <w:pPr>
        <w:spacing w:after="0" w:line="240" w:lineRule="auto"/>
        <w:rPr>
          <w:rFonts w:asciiTheme="majorHAnsi" w:hAnsiTheme="majorHAnsi" w:cs="Cambria-Italic"/>
          <w:sz w:val="20"/>
          <w:szCs w:val="20"/>
        </w:rPr>
      </w:pPr>
      <w:r w:rsidRPr="00767FBD">
        <w:rPr>
          <w:rFonts w:asciiTheme="majorHAnsi" w:hAnsiTheme="majorHAnsi"/>
          <w:sz w:val="20"/>
          <w:szCs w:val="20"/>
        </w:rPr>
        <w:t>L</w:t>
      </w:r>
      <w:r w:rsidR="0053273C" w:rsidRPr="00767FBD">
        <w:rPr>
          <w:rFonts w:asciiTheme="majorHAnsi" w:hAnsiTheme="majorHAnsi"/>
          <w:sz w:val="20"/>
          <w:szCs w:val="20"/>
        </w:rPr>
        <w:t xml:space="preserve">as </w:t>
      </w:r>
      <w:r w:rsidR="00AD1AA9" w:rsidRPr="00767FBD">
        <w:rPr>
          <w:rFonts w:asciiTheme="majorHAnsi" w:hAnsiTheme="majorHAnsi"/>
          <w:sz w:val="20"/>
          <w:szCs w:val="20"/>
        </w:rPr>
        <w:t>mediciones</w:t>
      </w:r>
      <w:r w:rsidR="0053273C" w:rsidRPr="00767FBD">
        <w:rPr>
          <w:rFonts w:asciiTheme="majorHAnsi" w:hAnsiTheme="majorHAnsi"/>
          <w:sz w:val="20"/>
          <w:szCs w:val="20"/>
        </w:rPr>
        <w:t xml:space="preserve"> subrayadas</w:t>
      </w:r>
      <w:r w:rsidR="00AD1AA9" w:rsidRPr="00767FBD">
        <w:rPr>
          <w:rFonts w:asciiTheme="majorHAnsi" w:hAnsiTheme="majorHAnsi"/>
          <w:sz w:val="20"/>
          <w:szCs w:val="20"/>
        </w:rPr>
        <w:t xml:space="preserve"> y</w:t>
      </w:r>
      <w:r w:rsidR="0053273C" w:rsidRPr="00767FBD">
        <w:rPr>
          <w:rFonts w:asciiTheme="majorHAnsi" w:hAnsiTheme="majorHAnsi"/>
          <w:sz w:val="20"/>
          <w:szCs w:val="20"/>
        </w:rPr>
        <w:t xml:space="preserve"> en negrita son el subconjunto que debe proporcionarse regularmente para facilitar la comunicación</w:t>
      </w:r>
      <w:r w:rsidRPr="00767FBD">
        <w:rPr>
          <w:rFonts w:asciiTheme="majorHAnsi" w:hAnsiTheme="majorHAnsi"/>
          <w:sz w:val="20"/>
          <w:szCs w:val="20"/>
        </w:rPr>
        <w:t>.</w:t>
      </w:r>
    </w:p>
    <w:tbl>
      <w:tblPr>
        <w:tblStyle w:val="TableGrid1"/>
        <w:tblW w:w="13032" w:type="dxa"/>
        <w:tblLook w:val="04A0" w:firstRow="1" w:lastRow="0" w:firstColumn="1" w:lastColumn="0" w:noHBand="0" w:noVBand="1"/>
      </w:tblPr>
      <w:tblGrid>
        <w:gridCol w:w="1555"/>
        <w:gridCol w:w="5386"/>
        <w:gridCol w:w="1418"/>
        <w:gridCol w:w="4673"/>
      </w:tblGrid>
      <w:tr w:rsidR="006B58C5" w:rsidRPr="00767FBD" w14:paraId="658DB8EE" w14:textId="77777777" w:rsidTr="00A50307">
        <w:trPr>
          <w:trHeight w:val="219"/>
        </w:trPr>
        <w:tc>
          <w:tcPr>
            <w:tcW w:w="1555" w:type="dxa"/>
            <w:tcBorders>
              <w:top w:val="single" w:sz="4" w:space="0" w:color="auto"/>
              <w:left w:val="single" w:sz="4" w:space="0" w:color="auto"/>
              <w:bottom w:val="single" w:sz="4" w:space="0" w:color="auto"/>
              <w:right w:val="single" w:sz="4" w:space="0" w:color="auto"/>
            </w:tcBorders>
          </w:tcPr>
          <w:p w14:paraId="12432CFF" w14:textId="77777777" w:rsidR="006B58C5" w:rsidRPr="00767FBD" w:rsidRDefault="006B58C5" w:rsidP="00A50307">
            <w:pPr>
              <w:spacing w:line="260" w:lineRule="exact"/>
              <w:jc w:val="both"/>
              <w:rPr>
                <w:rFonts w:ascii="Cambria" w:hAnsi="Cambria"/>
                <w:bCs/>
                <w:i/>
                <w:smallCaps/>
                <w:spacing w:val="5"/>
              </w:rPr>
            </w:pPr>
            <w:r w:rsidRPr="00767FBD">
              <w:rPr>
                <w:rFonts w:ascii="Cambria" w:hAnsi="Cambria"/>
                <w:bCs/>
                <w:i/>
                <w:smallCaps/>
              </w:rPr>
              <w:t>Acrónimos</w:t>
            </w:r>
          </w:p>
        </w:tc>
        <w:tc>
          <w:tcPr>
            <w:tcW w:w="5386" w:type="dxa"/>
            <w:tcBorders>
              <w:top w:val="single" w:sz="4" w:space="0" w:color="auto"/>
              <w:left w:val="single" w:sz="4" w:space="0" w:color="auto"/>
              <w:bottom w:val="single" w:sz="4" w:space="0" w:color="auto"/>
              <w:right w:val="single" w:sz="4" w:space="0" w:color="auto"/>
            </w:tcBorders>
            <w:hideMark/>
          </w:tcPr>
          <w:p w14:paraId="36220043" w14:textId="77777777" w:rsidR="006B58C5" w:rsidRPr="00767FBD" w:rsidRDefault="006B58C5" w:rsidP="00A50307">
            <w:pPr>
              <w:spacing w:line="260" w:lineRule="exact"/>
              <w:jc w:val="center"/>
              <w:rPr>
                <w:bCs/>
                <w:smallCaps/>
                <w:spacing w:val="5"/>
              </w:rPr>
            </w:pPr>
            <w:r w:rsidRPr="00767FBD">
              <w:rPr>
                <w:rFonts w:ascii="Cambria" w:hAnsi="Cambria"/>
                <w:bCs/>
                <w:i/>
                <w:smallCaps/>
              </w:rPr>
              <w:t>indicadores del desempeño y estadísticas asociadas</w:t>
            </w:r>
          </w:p>
        </w:tc>
        <w:tc>
          <w:tcPr>
            <w:tcW w:w="1418" w:type="dxa"/>
            <w:tcBorders>
              <w:top w:val="single" w:sz="4" w:space="0" w:color="auto"/>
              <w:left w:val="single" w:sz="4" w:space="0" w:color="auto"/>
              <w:bottom w:val="single" w:sz="4" w:space="0" w:color="auto"/>
              <w:right w:val="single" w:sz="4" w:space="0" w:color="auto"/>
            </w:tcBorders>
            <w:hideMark/>
          </w:tcPr>
          <w:p w14:paraId="5170EB12" w14:textId="77777777" w:rsidR="006B58C5" w:rsidRPr="00767FBD" w:rsidRDefault="006B58C5" w:rsidP="00A50307">
            <w:pPr>
              <w:spacing w:line="260" w:lineRule="exact"/>
              <w:jc w:val="center"/>
              <w:rPr>
                <w:rFonts w:ascii="Cambria" w:hAnsi="Cambria"/>
                <w:bCs/>
                <w:i/>
                <w:smallCaps/>
                <w:spacing w:val="5"/>
              </w:rPr>
            </w:pPr>
            <w:r w:rsidRPr="00767FBD">
              <w:rPr>
                <w:rFonts w:ascii="Cambria" w:hAnsi="Cambria"/>
                <w:bCs/>
                <w:i/>
                <w:smallCaps/>
              </w:rPr>
              <w:t>Unidad de medida</w:t>
            </w:r>
          </w:p>
        </w:tc>
        <w:tc>
          <w:tcPr>
            <w:tcW w:w="4673" w:type="dxa"/>
            <w:tcBorders>
              <w:top w:val="single" w:sz="4" w:space="0" w:color="auto"/>
              <w:left w:val="single" w:sz="4" w:space="0" w:color="auto"/>
              <w:bottom w:val="single" w:sz="4" w:space="0" w:color="auto"/>
              <w:right w:val="single" w:sz="4" w:space="0" w:color="auto"/>
            </w:tcBorders>
            <w:hideMark/>
          </w:tcPr>
          <w:p w14:paraId="73F6FE7B" w14:textId="77777777" w:rsidR="006B58C5" w:rsidRPr="00767FBD" w:rsidRDefault="006B58C5" w:rsidP="00A50307">
            <w:pPr>
              <w:spacing w:line="260" w:lineRule="exact"/>
              <w:jc w:val="center"/>
              <w:rPr>
                <w:rFonts w:ascii="Cambria" w:hAnsi="Cambria"/>
                <w:bCs/>
                <w:i/>
                <w:smallCaps/>
                <w:spacing w:val="5"/>
              </w:rPr>
            </w:pPr>
            <w:r w:rsidRPr="00767FBD">
              <w:rPr>
                <w:rFonts w:ascii="Cambria" w:hAnsi="Cambria"/>
                <w:bCs/>
                <w:i/>
                <w:smallCaps/>
              </w:rPr>
              <w:t>Tipo de medición</w:t>
            </w:r>
          </w:p>
        </w:tc>
      </w:tr>
      <w:tr w:rsidR="006B58C5" w:rsidRPr="00767FBD" w14:paraId="53E01379" w14:textId="77777777" w:rsidTr="00A50307">
        <w:trPr>
          <w:trHeight w:val="137"/>
        </w:trPr>
        <w:tc>
          <w:tcPr>
            <w:tcW w:w="1555" w:type="dxa"/>
            <w:tcBorders>
              <w:top w:val="single" w:sz="4" w:space="0" w:color="auto"/>
              <w:left w:val="single" w:sz="4" w:space="0" w:color="auto"/>
              <w:bottom w:val="single" w:sz="4" w:space="0" w:color="auto"/>
              <w:right w:val="single" w:sz="4" w:space="0" w:color="auto"/>
            </w:tcBorders>
          </w:tcPr>
          <w:p w14:paraId="08FC733B" w14:textId="77777777" w:rsidR="006B58C5" w:rsidRPr="00767FBD" w:rsidRDefault="006B58C5" w:rsidP="00A50307">
            <w:pPr>
              <w:tabs>
                <w:tab w:val="left" w:pos="284"/>
              </w:tabs>
              <w:ind w:left="142"/>
              <w:jc w:val="both"/>
              <w:rPr>
                <w:rFonts w:ascii="Cambria" w:hAnsi="Cambria"/>
                <w:b/>
                <w:lang w:eastAsia="en-GB"/>
              </w:rPr>
            </w:pPr>
          </w:p>
        </w:tc>
        <w:tc>
          <w:tcPr>
            <w:tcW w:w="5386" w:type="dxa"/>
            <w:tcBorders>
              <w:top w:val="single" w:sz="4" w:space="0" w:color="auto"/>
              <w:left w:val="single" w:sz="4" w:space="0" w:color="auto"/>
              <w:bottom w:val="single" w:sz="4" w:space="0" w:color="auto"/>
              <w:right w:val="single" w:sz="4" w:space="0" w:color="auto"/>
            </w:tcBorders>
            <w:hideMark/>
          </w:tcPr>
          <w:p w14:paraId="57DD6012" w14:textId="77777777" w:rsidR="006B58C5" w:rsidRPr="00767FBD" w:rsidRDefault="006B58C5" w:rsidP="00A50307">
            <w:pPr>
              <w:tabs>
                <w:tab w:val="left" w:pos="284"/>
              </w:tabs>
              <w:ind w:left="142"/>
              <w:jc w:val="both"/>
              <w:rPr>
                <w:rFonts w:ascii="Cambria" w:hAnsi="Cambria"/>
                <w:b/>
              </w:rPr>
            </w:pPr>
            <w:r w:rsidRPr="00767FBD">
              <w:rPr>
                <w:rFonts w:ascii="Cambria" w:hAnsi="Cambria"/>
                <w:b/>
              </w:rPr>
              <w:t>1 Estado:</w:t>
            </w:r>
          </w:p>
        </w:tc>
        <w:tc>
          <w:tcPr>
            <w:tcW w:w="1418" w:type="dxa"/>
            <w:tcBorders>
              <w:top w:val="single" w:sz="4" w:space="0" w:color="auto"/>
              <w:left w:val="single" w:sz="4" w:space="0" w:color="auto"/>
              <w:bottom w:val="single" w:sz="4" w:space="0" w:color="auto"/>
              <w:right w:val="single" w:sz="4" w:space="0" w:color="auto"/>
            </w:tcBorders>
          </w:tcPr>
          <w:p w14:paraId="62BB70DF" w14:textId="77777777" w:rsidR="006B58C5" w:rsidRPr="00767FBD" w:rsidRDefault="006B58C5" w:rsidP="00A50307">
            <w:pPr>
              <w:ind w:left="142"/>
              <w:jc w:val="center"/>
              <w:rPr>
                <w:rFonts w:ascii="Cambria" w:hAnsi="Cambria"/>
                <w:b/>
                <w:lang w:eastAsia="en-GB"/>
              </w:rPr>
            </w:pPr>
          </w:p>
        </w:tc>
        <w:tc>
          <w:tcPr>
            <w:tcW w:w="4673" w:type="dxa"/>
            <w:tcBorders>
              <w:top w:val="single" w:sz="4" w:space="0" w:color="auto"/>
              <w:left w:val="single" w:sz="4" w:space="0" w:color="auto"/>
              <w:bottom w:val="single" w:sz="4" w:space="0" w:color="auto"/>
              <w:right w:val="single" w:sz="4" w:space="0" w:color="auto"/>
            </w:tcBorders>
          </w:tcPr>
          <w:p w14:paraId="4BE60F26" w14:textId="77777777" w:rsidR="006B58C5" w:rsidRPr="00767FBD" w:rsidRDefault="006B58C5" w:rsidP="00A50307">
            <w:pPr>
              <w:ind w:left="142"/>
              <w:jc w:val="both"/>
              <w:rPr>
                <w:rFonts w:ascii="Cambria" w:hAnsi="Cambria"/>
                <w:b/>
                <w:lang w:eastAsia="en-GB"/>
              </w:rPr>
            </w:pPr>
          </w:p>
        </w:tc>
      </w:tr>
      <w:tr w:rsidR="006B58C5" w:rsidRPr="00767FBD" w14:paraId="1AEE87C0" w14:textId="77777777" w:rsidTr="00A50307">
        <w:trPr>
          <w:trHeight w:val="263"/>
        </w:trPr>
        <w:tc>
          <w:tcPr>
            <w:tcW w:w="1555" w:type="dxa"/>
            <w:tcBorders>
              <w:top w:val="single" w:sz="4" w:space="0" w:color="auto"/>
              <w:left w:val="single" w:sz="4" w:space="0" w:color="auto"/>
              <w:bottom w:val="single" w:sz="4" w:space="0" w:color="auto"/>
              <w:right w:val="single" w:sz="4" w:space="0" w:color="auto"/>
            </w:tcBorders>
          </w:tcPr>
          <w:p w14:paraId="5657EDA9" w14:textId="77777777" w:rsidR="006B58C5" w:rsidRPr="00767FBD" w:rsidRDefault="006B58C5" w:rsidP="00A50307">
            <w:pPr>
              <w:ind w:left="22"/>
              <w:jc w:val="both"/>
              <w:rPr>
                <w:rFonts w:ascii="Cambria" w:hAnsi="Cambria"/>
              </w:rPr>
            </w:pPr>
            <w:r w:rsidRPr="00767FBD">
              <w:rPr>
                <w:rFonts w:ascii="Cambria" w:hAnsi="Cambria"/>
              </w:rPr>
              <w:t>B</w:t>
            </w:r>
            <w:r w:rsidRPr="00767FBD">
              <w:rPr>
                <w:rFonts w:ascii="Cambria" w:hAnsi="Cambria"/>
                <w:vertAlign w:val="subscript"/>
              </w:rPr>
              <w:t>MIN</w:t>
            </w:r>
          </w:p>
        </w:tc>
        <w:tc>
          <w:tcPr>
            <w:tcW w:w="5386" w:type="dxa"/>
            <w:tcBorders>
              <w:top w:val="single" w:sz="4" w:space="0" w:color="auto"/>
              <w:left w:val="single" w:sz="4" w:space="0" w:color="auto"/>
              <w:bottom w:val="single" w:sz="4" w:space="0" w:color="auto"/>
              <w:right w:val="single" w:sz="4" w:space="0" w:color="auto"/>
            </w:tcBorders>
            <w:hideMark/>
          </w:tcPr>
          <w:p w14:paraId="06454B08" w14:textId="77777777" w:rsidR="006B58C5" w:rsidRPr="00767FBD" w:rsidRDefault="006B58C5" w:rsidP="00A50307">
            <w:pPr>
              <w:ind w:left="142"/>
              <w:jc w:val="both"/>
              <w:rPr>
                <w:rFonts w:ascii="Cambria" w:hAnsi="Cambria"/>
              </w:rPr>
            </w:pPr>
            <w:r w:rsidRPr="00767FBD">
              <w:rPr>
                <w:rFonts w:ascii="Cambria" w:hAnsi="Cambria"/>
              </w:rPr>
              <w:t>1.1 Biomasa reproductora mínima con respecto a B</w:t>
            </w:r>
            <w:r w:rsidRPr="00767FBD">
              <w:rPr>
                <w:rFonts w:ascii="Cambria" w:hAnsi="Cambria"/>
                <w:vertAlign w:val="subscript"/>
              </w:rPr>
              <w:t>RMS</w:t>
            </w:r>
          </w:p>
        </w:tc>
        <w:tc>
          <w:tcPr>
            <w:tcW w:w="1418" w:type="dxa"/>
            <w:tcBorders>
              <w:top w:val="single" w:sz="4" w:space="0" w:color="auto"/>
              <w:left w:val="single" w:sz="4" w:space="0" w:color="auto"/>
              <w:bottom w:val="single" w:sz="4" w:space="0" w:color="auto"/>
              <w:right w:val="single" w:sz="4" w:space="0" w:color="auto"/>
            </w:tcBorders>
            <w:hideMark/>
          </w:tcPr>
          <w:p w14:paraId="2B5C3532" w14:textId="77777777" w:rsidR="006B58C5" w:rsidRPr="00767FBD" w:rsidRDefault="006B58C5" w:rsidP="00A50307">
            <w:pPr>
              <w:ind w:left="142"/>
              <w:jc w:val="center"/>
              <w:rPr>
                <w:rFonts w:ascii="Cambria" w:hAnsi="Cambria"/>
              </w:rPr>
            </w:pPr>
            <w:r w:rsidRPr="00767FBD">
              <w:rPr>
                <w:rFonts w:ascii="Cambria" w:hAnsi="Cambria"/>
              </w:rPr>
              <w:t>B/ B</w:t>
            </w:r>
            <w:r w:rsidRPr="00767FBD">
              <w:rPr>
                <w:rFonts w:ascii="Cambria" w:hAnsi="Cambria"/>
                <w:vertAlign w:val="subscript"/>
              </w:rPr>
              <w:t>RMS</w:t>
            </w:r>
          </w:p>
        </w:tc>
        <w:tc>
          <w:tcPr>
            <w:tcW w:w="4673" w:type="dxa"/>
            <w:tcBorders>
              <w:top w:val="single" w:sz="4" w:space="0" w:color="auto"/>
              <w:left w:val="single" w:sz="4" w:space="0" w:color="auto"/>
              <w:bottom w:val="single" w:sz="4" w:space="0" w:color="auto"/>
              <w:right w:val="single" w:sz="4" w:space="0" w:color="auto"/>
            </w:tcBorders>
            <w:hideMark/>
          </w:tcPr>
          <w:p w14:paraId="0B7176FD" w14:textId="77777777" w:rsidR="006B58C5" w:rsidRPr="00767FBD" w:rsidRDefault="006B58C5" w:rsidP="00A50307">
            <w:pPr>
              <w:ind w:left="142"/>
              <w:jc w:val="both"/>
              <w:rPr>
                <w:rFonts w:ascii="Cambria" w:hAnsi="Cambria"/>
              </w:rPr>
            </w:pPr>
            <w:r w:rsidRPr="00767FBD">
              <w:rPr>
                <w:rFonts w:ascii="Cambria" w:hAnsi="Cambria"/>
              </w:rPr>
              <w:t>Mínima durante [X] años</w:t>
            </w:r>
          </w:p>
        </w:tc>
      </w:tr>
      <w:tr w:rsidR="006B58C5" w:rsidRPr="00767FBD" w14:paraId="18F40339" w14:textId="77777777" w:rsidTr="00A50307">
        <w:trPr>
          <w:trHeight w:val="137"/>
        </w:trPr>
        <w:tc>
          <w:tcPr>
            <w:tcW w:w="1555" w:type="dxa"/>
            <w:tcBorders>
              <w:top w:val="single" w:sz="4" w:space="0" w:color="auto"/>
              <w:left w:val="single" w:sz="4" w:space="0" w:color="auto"/>
              <w:bottom w:val="single" w:sz="4" w:space="0" w:color="auto"/>
              <w:right w:val="single" w:sz="4" w:space="0" w:color="auto"/>
            </w:tcBorders>
          </w:tcPr>
          <w:p w14:paraId="4BDAA14C" w14:textId="77777777" w:rsidR="006B58C5" w:rsidRPr="00767FBD" w:rsidRDefault="006B58C5" w:rsidP="00A50307">
            <w:pPr>
              <w:ind w:left="22"/>
              <w:jc w:val="both"/>
              <w:rPr>
                <w:rFonts w:ascii="Cambria" w:hAnsi="Cambria"/>
              </w:rPr>
            </w:pPr>
            <w:r w:rsidRPr="00767FBD">
              <w:rPr>
                <w:rFonts w:ascii="Cambria" w:hAnsi="Cambria"/>
              </w:rPr>
              <w:t>B</w:t>
            </w:r>
            <w:r w:rsidRPr="00767FBD">
              <w:rPr>
                <w:rFonts w:ascii="Cambria" w:hAnsi="Cambria"/>
                <w:vertAlign w:val="subscript"/>
              </w:rPr>
              <w:t>MEAN</w:t>
            </w:r>
          </w:p>
        </w:tc>
        <w:tc>
          <w:tcPr>
            <w:tcW w:w="5386" w:type="dxa"/>
            <w:tcBorders>
              <w:top w:val="single" w:sz="4" w:space="0" w:color="auto"/>
              <w:left w:val="single" w:sz="4" w:space="0" w:color="auto"/>
              <w:bottom w:val="single" w:sz="4" w:space="0" w:color="auto"/>
              <w:right w:val="single" w:sz="4" w:space="0" w:color="auto"/>
            </w:tcBorders>
            <w:hideMark/>
          </w:tcPr>
          <w:p w14:paraId="1D6AC491" w14:textId="77777777" w:rsidR="006B58C5" w:rsidRPr="00767FBD" w:rsidRDefault="006B58C5" w:rsidP="00A50307">
            <w:pPr>
              <w:ind w:left="142"/>
              <w:jc w:val="both"/>
              <w:rPr>
                <w:rFonts w:ascii="Cambria" w:hAnsi="Cambria"/>
              </w:rPr>
            </w:pPr>
            <w:r w:rsidRPr="00767FBD">
              <w:rPr>
                <w:rFonts w:ascii="Cambria" w:hAnsi="Cambria"/>
              </w:rPr>
              <w:t>1.2 Biomasa reproductora media con respecto a B</w:t>
            </w:r>
            <w:r w:rsidRPr="00767FBD">
              <w:rPr>
                <w:rFonts w:ascii="Cambria" w:hAnsi="Cambria"/>
                <w:vertAlign w:val="subscript"/>
              </w:rPr>
              <w:t>RMS</w:t>
            </w:r>
            <w:r w:rsidRPr="00767FBD">
              <w:rPr>
                <w:rFonts w:ascii="Cambria" w:hAnsi="Cambria"/>
                <w:vertAlign w:val="superscript"/>
                <w:lang w:eastAsia="en-GB"/>
              </w:rPr>
              <w:footnoteReference w:id="5"/>
            </w:r>
          </w:p>
        </w:tc>
        <w:tc>
          <w:tcPr>
            <w:tcW w:w="1418" w:type="dxa"/>
            <w:tcBorders>
              <w:top w:val="single" w:sz="4" w:space="0" w:color="auto"/>
              <w:left w:val="single" w:sz="4" w:space="0" w:color="auto"/>
              <w:bottom w:val="single" w:sz="4" w:space="0" w:color="auto"/>
              <w:right w:val="single" w:sz="4" w:space="0" w:color="auto"/>
            </w:tcBorders>
            <w:hideMark/>
          </w:tcPr>
          <w:p w14:paraId="2403ADFE" w14:textId="77777777" w:rsidR="006B58C5" w:rsidRPr="00767FBD" w:rsidRDefault="006B58C5" w:rsidP="00A50307">
            <w:pPr>
              <w:ind w:left="142"/>
              <w:jc w:val="center"/>
              <w:rPr>
                <w:rFonts w:ascii="Cambria" w:hAnsi="Cambria"/>
              </w:rPr>
            </w:pPr>
            <w:r w:rsidRPr="00767FBD">
              <w:rPr>
                <w:rFonts w:ascii="Cambria" w:hAnsi="Cambria"/>
              </w:rPr>
              <w:t>B/ B</w:t>
            </w:r>
            <w:r w:rsidRPr="00767FBD">
              <w:rPr>
                <w:rFonts w:ascii="Cambria" w:hAnsi="Cambria"/>
                <w:vertAlign w:val="subscript"/>
              </w:rPr>
              <w:t>RMS</w:t>
            </w:r>
          </w:p>
        </w:tc>
        <w:tc>
          <w:tcPr>
            <w:tcW w:w="4673" w:type="dxa"/>
            <w:tcBorders>
              <w:top w:val="single" w:sz="4" w:space="0" w:color="auto"/>
              <w:left w:val="single" w:sz="4" w:space="0" w:color="auto"/>
              <w:bottom w:val="single" w:sz="4" w:space="0" w:color="auto"/>
              <w:right w:val="single" w:sz="4" w:space="0" w:color="auto"/>
            </w:tcBorders>
            <w:hideMark/>
          </w:tcPr>
          <w:p w14:paraId="3C36AF68" w14:textId="77777777" w:rsidR="006B58C5" w:rsidRPr="00767FBD" w:rsidRDefault="006B58C5" w:rsidP="00A50307">
            <w:pPr>
              <w:ind w:left="142"/>
              <w:jc w:val="both"/>
              <w:rPr>
                <w:rFonts w:ascii="Cambria" w:hAnsi="Cambria"/>
              </w:rPr>
            </w:pPr>
            <w:r w:rsidRPr="00767FBD">
              <w:rPr>
                <w:rFonts w:ascii="Cambria" w:hAnsi="Cambria"/>
              </w:rPr>
              <w:t>Media geométrica durante [X] años</w:t>
            </w:r>
          </w:p>
        </w:tc>
      </w:tr>
      <w:tr w:rsidR="006B58C5" w:rsidRPr="00767FBD" w14:paraId="13733D75" w14:textId="77777777" w:rsidTr="00A50307">
        <w:trPr>
          <w:trHeight w:val="137"/>
        </w:trPr>
        <w:tc>
          <w:tcPr>
            <w:tcW w:w="1555" w:type="dxa"/>
            <w:tcBorders>
              <w:top w:val="single" w:sz="4" w:space="0" w:color="auto"/>
              <w:left w:val="single" w:sz="4" w:space="0" w:color="auto"/>
              <w:bottom w:val="single" w:sz="4" w:space="0" w:color="auto"/>
              <w:right w:val="single" w:sz="4" w:space="0" w:color="auto"/>
            </w:tcBorders>
          </w:tcPr>
          <w:p w14:paraId="642C5E66" w14:textId="77777777" w:rsidR="006B58C5" w:rsidRPr="00767FBD" w:rsidRDefault="006B58C5" w:rsidP="00A50307">
            <w:pPr>
              <w:ind w:left="22"/>
              <w:jc w:val="both"/>
              <w:rPr>
                <w:rFonts w:ascii="Cambria" w:hAnsi="Cambria"/>
              </w:rPr>
            </w:pPr>
            <w:r w:rsidRPr="00767FBD">
              <w:rPr>
                <w:rFonts w:ascii="Cambria" w:hAnsi="Cambria"/>
              </w:rPr>
              <w:t>F</w:t>
            </w:r>
            <w:r w:rsidRPr="00767FBD">
              <w:rPr>
                <w:rFonts w:ascii="Cambria" w:hAnsi="Cambria"/>
                <w:vertAlign w:val="subscript"/>
              </w:rPr>
              <w:t>MEAN</w:t>
            </w:r>
          </w:p>
        </w:tc>
        <w:tc>
          <w:tcPr>
            <w:tcW w:w="5386" w:type="dxa"/>
            <w:tcBorders>
              <w:top w:val="single" w:sz="4" w:space="0" w:color="auto"/>
              <w:left w:val="single" w:sz="4" w:space="0" w:color="auto"/>
              <w:bottom w:val="single" w:sz="4" w:space="0" w:color="auto"/>
              <w:right w:val="single" w:sz="4" w:space="0" w:color="auto"/>
            </w:tcBorders>
            <w:hideMark/>
          </w:tcPr>
          <w:p w14:paraId="152E4DD8" w14:textId="77777777" w:rsidR="006B58C5" w:rsidRPr="00767FBD" w:rsidRDefault="006B58C5" w:rsidP="00A50307">
            <w:pPr>
              <w:ind w:left="142"/>
              <w:jc w:val="both"/>
              <w:rPr>
                <w:rFonts w:ascii="Cambria" w:hAnsi="Cambria"/>
              </w:rPr>
            </w:pPr>
            <w:r w:rsidRPr="00767FBD">
              <w:rPr>
                <w:rFonts w:ascii="Cambria" w:hAnsi="Cambria"/>
              </w:rPr>
              <w:t>1.3 Mortalidad por pesca media con respecto a F</w:t>
            </w:r>
            <w:r w:rsidRPr="00767FBD">
              <w:rPr>
                <w:rFonts w:ascii="Cambria" w:hAnsi="Cambria"/>
                <w:vertAlign w:val="subscript"/>
              </w:rPr>
              <w:t>RMS</w:t>
            </w:r>
          </w:p>
        </w:tc>
        <w:tc>
          <w:tcPr>
            <w:tcW w:w="1418" w:type="dxa"/>
            <w:tcBorders>
              <w:top w:val="single" w:sz="4" w:space="0" w:color="auto"/>
              <w:left w:val="single" w:sz="4" w:space="0" w:color="auto"/>
              <w:bottom w:val="single" w:sz="4" w:space="0" w:color="auto"/>
              <w:right w:val="single" w:sz="4" w:space="0" w:color="auto"/>
            </w:tcBorders>
            <w:hideMark/>
          </w:tcPr>
          <w:p w14:paraId="2C6D0254" w14:textId="77777777" w:rsidR="006B58C5" w:rsidRPr="00767FBD" w:rsidRDefault="006B58C5" w:rsidP="00A50307">
            <w:pPr>
              <w:ind w:left="142"/>
              <w:jc w:val="center"/>
              <w:rPr>
                <w:rFonts w:ascii="Cambria" w:hAnsi="Cambria"/>
              </w:rPr>
            </w:pPr>
            <w:r w:rsidRPr="00767FBD">
              <w:rPr>
                <w:rFonts w:ascii="Cambria" w:hAnsi="Cambria"/>
              </w:rPr>
              <w:t>F/F</w:t>
            </w:r>
            <w:r w:rsidRPr="00767FBD">
              <w:rPr>
                <w:rFonts w:ascii="Cambria" w:hAnsi="Cambria"/>
                <w:vertAlign w:val="subscript"/>
              </w:rPr>
              <w:t>RMS</w:t>
            </w:r>
          </w:p>
        </w:tc>
        <w:tc>
          <w:tcPr>
            <w:tcW w:w="4673" w:type="dxa"/>
            <w:tcBorders>
              <w:top w:val="single" w:sz="4" w:space="0" w:color="auto"/>
              <w:left w:val="single" w:sz="4" w:space="0" w:color="auto"/>
              <w:bottom w:val="single" w:sz="4" w:space="0" w:color="auto"/>
              <w:right w:val="single" w:sz="4" w:space="0" w:color="auto"/>
            </w:tcBorders>
            <w:hideMark/>
          </w:tcPr>
          <w:p w14:paraId="6CFF2675" w14:textId="77777777" w:rsidR="006B58C5" w:rsidRPr="00767FBD" w:rsidRDefault="006B58C5" w:rsidP="00A50307">
            <w:pPr>
              <w:ind w:left="142"/>
              <w:jc w:val="both"/>
              <w:rPr>
                <w:rFonts w:ascii="Cambria" w:hAnsi="Cambria"/>
              </w:rPr>
            </w:pPr>
            <w:r w:rsidRPr="00767FBD">
              <w:rPr>
                <w:rFonts w:ascii="Cambria" w:hAnsi="Cambria"/>
              </w:rPr>
              <w:t>Media geométrica durante [X] años</w:t>
            </w:r>
          </w:p>
        </w:tc>
      </w:tr>
      <w:tr w:rsidR="006B58C5" w:rsidRPr="00767FBD" w14:paraId="3579C1D7" w14:textId="77777777" w:rsidTr="00A50307">
        <w:trPr>
          <w:trHeight w:val="137"/>
        </w:trPr>
        <w:tc>
          <w:tcPr>
            <w:tcW w:w="1555" w:type="dxa"/>
            <w:tcBorders>
              <w:top w:val="single" w:sz="4" w:space="0" w:color="auto"/>
              <w:left w:val="single" w:sz="4" w:space="0" w:color="auto"/>
              <w:bottom w:val="single" w:sz="4" w:space="0" w:color="auto"/>
              <w:right w:val="single" w:sz="4" w:space="0" w:color="auto"/>
            </w:tcBorders>
          </w:tcPr>
          <w:p w14:paraId="47097B29" w14:textId="77777777" w:rsidR="006B58C5" w:rsidRPr="00767FBD" w:rsidRDefault="006B58C5" w:rsidP="00A50307">
            <w:pPr>
              <w:ind w:left="22"/>
              <w:jc w:val="both"/>
              <w:rPr>
                <w:rFonts w:ascii="Cambria" w:hAnsi="Cambria"/>
              </w:rPr>
            </w:pPr>
            <w:proofErr w:type="spellStart"/>
            <w:r w:rsidRPr="00767FBD">
              <w:rPr>
                <w:rFonts w:ascii="Cambria" w:hAnsi="Cambria"/>
              </w:rPr>
              <w:t>pGr</w:t>
            </w:r>
            <w:proofErr w:type="spellEnd"/>
            <w:r w:rsidRPr="00767FBD">
              <w:rPr>
                <w:rFonts w:ascii="Cambria" w:hAnsi="Cambria"/>
              </w:rPr>
              <w:t>%</w:t>
            </w:r>
          </w:p>
        </w:tc>
        <w:tc>
          <w:tcPr>
            <w:tcW w:w="5386" w:type="dxa"/>
            <w:tcBorders>
              <w:top w:val="single" w:sz="4" w:space="0" w:color="auto"/>
              <w:left w:val="single" w:sz="4" w:space="0" w:color="auto"/>
              <w:bottom w:val="single" w:sz="4" w:space="0" w:color="auto"/>
              <w:right w:val="single" w:sz="4" w:space="0" w:color="auto"/>
            </w:tcBorders>
            <w:hideMark/>
          </w:tcPr>
          <w:p w14:paraId="51C69C93" w14:textId="77777777" w:rsidR="006B58C5" w:rsidRPr="00767FBD" w:rsidRDefault="006B58C5" w:rsidP="00A50307">
            <w:pPr>
              <w:ind w:left="142"/>
              <w:jc w:val="both"/>
              <w:rPr>
                <w:rFonts w:ascii="Cambria" w:hAnsi="Cambria"/>
                <w:b/>
                <w:bCs/>
              </w:rPr>
            </w:pPr>
            <w:r w:rsidRPr="00767FBD">
              <w:rPr>
                <w:rFonts w:ascii="Cambria" w:hAnsi="Cambria"/>
                <w:b/>
                <w:bCs/>
              </w:rPr>
              <w:t>1.4 Probabilidad de hallarse en el cuadrante verde de Kobe</w:t>
            </w:r>
          </w:p>
        </w:tc>
        <w:tc>
          <w:tcPr>
            <w:tcW w:w="1418" w:type="dxa"/>
            <w:tcBorders>
              <w:top w:val="single" w:sz="4" w:space="0" w:color="auto"/>
              <w:left w:val="single" w:sz="4" w:space="0" w:color="auto"/>
              <w:bottom w:val="single" w:sz="4" w:space="0" w:color="auto"/>
              <w:right w:val="single" w:sz="4" w:space="0" w:color="auto"/>
            </w:tcBorders>
            <w:hideMark/>
          </w:tcPr>
          <w:p w14:paraId="4B719495" w14:textId="77777777" w:rsidR="006B58C5" w:rsidRPr="00767FBD" w:rsidRDefault="006B58C5" w:rsidP="00A50307">
            <w:pPr>
              <w:ind w:left="142"/>
              <w:jc w:val="center"/>
              <w:rPr>
                <w:rFonts w:ascii="Cambria" w:hAnsi="Cambria"/>
              </w:rPr>
            </w:pPr>
            <w:r w:rsidRPr="00767FBD">
              <w:rPr>
                <w:rFonts w:ascii="Cambria" w:hAnsi="Cambria"/>
              </w:rPr>
              <w:t>B, F</w:t>
            </w:r>
          </w:p>
        </w:tc>
        <w:tc>
          <w:tcPr>
            <w:tcW w:w="4673" w:type="dxa"/>
            <w:tcBorders>
              <w:top w:val="single" w:sz="4" w:space="0" w:color="auto"/>
              <w:left w:val="single" w:sz="4" w:space="0" w:color="auto"/>
              <w:bottom w:val="single" w:sz="4" w:space="0" w:color="auto"/>
              <w:right w:val="single" w:sz="4" w:space="0" w:color="auto"/>
            </w:tcBorders>
            <w:hideMark/>
          </w:tcPr>
          <w:p w14:paraId="5F5E0885" w14:textId="77777777" w:rsidR="006B58C5" w:rsidRPr="00767FBD" w:rsidRDefault="006B58C5" w:rsidP="00A50307">
            <w:pPr>
              <w:ind w:left="142"/>
              <w:jc w:val="both"/>
              <w:rPr>
                <w:rFonts w:ascii="Cambria" w:hAnsi="Cambria"/>
              </w:rPr>
            </w:pPr>
            <w:r w:rsidRPr="00767FBD">
              <w:rPr>
                <w:rFonts w:ascii="Cambria" w:hAnsi="Cambria"/>
              </w:rPr>
              <w:t>Proporción de años en que B≥B</w:t>
            </w:r>
            <w:r w:rsidRPr="00767FBD">
              <w:rPr>
                <w:rFonts w:ascii="Cambria" w:hAnsi="Cambria"/>
                <w:vertAlign w:val="subscript"/>
              </w:rPr>
              <w:t>RMS</w:t>
            </w:r>
            <w:r w:rsidRPr="00767FBD">
              <w:rPr>
                <w:rFonts w:ascii="Cambria" w:hAnsi="Cambria"/>
              </w:rPr>
              <w:t xml:space="preserve"> y F≤F</w:t>
            </w:r>
            <w:r w:rsidRPr="00767FBD">
              <w:rPr>
                <w:rFonts w:ascii="Cambria" w:hAnsi="Cambria"/>
                <w:vertAlign w:val="subscript"/>
              </w:rPr>
              <w:t>RMS</w:t>
            </w:r>
          </w:p>
        </w:tc>
      </w:tr>
      <w:tr w:rsidR="006B58C5" w:rsidRPr="00767FBD" w14:paraId="5DD717F4" w14:textId="77777777" w:rsidTr="00A50307">
        <w:trPr>
          <w:trHeight w:val="137"/>
        </w:trPr>
        <w:tc>
          <w:tcPr>
            <w:tcW w:w="1555" w:type="dxa"/>
            <w:tcBorders>
              <w:top w:val="single" w:sz="4" w:space="0" w:color="auto"/>
              <w:left w:val="single" w:sz="4" w:space="0" w:color="auto"/>
              <w:bottom w:val="single" w:sz="4" w:space="0" w:color="auto"/>
              <w:right w:val="single" w:sz="4" w:space="0" w:color="auto"/>
            </w:tcBorders>
          </w:tcPr>
          <w:p w14:paraId="1B0E21AF" w14:textId="77777777" w:rsidR="006B58C5" w:rsidRPr="00767FBD" w:rsidRDefault="006B58C5" w:rsidP="00A50307">
            <w:pPr>
              <w:ind w:left="22"/>
              <w:jc w:val="both"/>
              <w:rPr>
                <w:rFonts w:ascii="Cambria" w:hAnsi="Cambria"/>
              </w:rPr>
            </w:pPr>
            <w:proofErr w:type="spellStart"/>
            <w:r w:rsidRPr="00767FBD">
              <w:rPr>
                <w:rFonts w:ascii="Cambria" w:hAnsi="Cambria"/>
              </w:rPr>
              <w:t>pRed</w:t>
            </w:r>
            <w:proofErr w:type="spellEnd"/>
            <w:r w:rsidRPr="00767FBD">
              <w:rPr>
                <w:rFonts w:ascii="Cambria" w:hAnsi="Cambria"/>
              </w:rPr>
              <w:t>%</w:t>
            </w:r>
          </w:p>
        </w:tc>
        <w:tc>
          <w:tcPr>
            <w:tcW w:w="5386" w:type="dxa"/>
            <w:tcBorders>
              <w:top w:val="single" w:sz="4" w:space="0" w:color="auto"/>
              <w:left w:val="single" w:sz="4" w:space="0" w:color="auto"/>
              <w:bottom w:val="single" w:sz="4" w:space="0" w:color="auto"/>
              <w:right w:val="single" w:sz="4" w:space="0" w:color="auto"/>
            </w:tcBorders>
            <w:hideMark/>
          </w:tcPr>
          <w:p w14:paraId="082F027B" w14:textId="77777777" w:rsidR="006B58C5" w:rsidRPr="00767FBD" w:rsidRDefault="006B58C5" w:rsidP="00A50307">
            <w:pPr>
              <w:ind w:left="142"/>
              <w:jc w:val="both"/>
              <w:rPr>
                <w:rFonts w:ascii="Cambria" w:hAnsi="Cambria"/>
              </w:rPr>
            </w:pPr>
            <w:r w:rsidRPr="00767FBD">
              <w:rPr>
                <w:rFonts w:ascii="Cambria" w:hAnsi="Cambria"/>
              </w:rPr>
              <w:t>1.5 Probabilidad de hallarse en el cuadrante rojo de Kobe</w:t>
            </w:r>
            <w:r w:rsidRPr="00767FBD">
              <w:rPr>
                <w:rFonts w:ascii="Cambria" w:hAnsi="Cambria"/>
                <w:vertAlign w:val="superscript"/>
                <w:lang w:eastAsia="en-GB"/>
              </w:rPr>
              <w:footnoteReference w:id="6"/>
            </w:r>
          </w:p>
        </w:tc>
        <w:tc>
          <w:tcPr>
            <w:tcW w:w="1418" w:type="dxa"/>
            <w:tcBorders>
              <w:top w:val="single" w:sz="4" w:space="0" w:color="auto"/>
              <w:left w:val="single" w:sz="4" w:space="0" w:color="auto"/>
              <w:bottom w:val="single" w:sz="4" w:space="0" w:color="auto"/>
              <w:right w:val="single" w:sz="4" w:space="0" w:color="auto"/>
            </w:tcBorders>
            <w:hideMark/>
          </w:tcPr>
          <w:p w14:paraId="0E7EDC3D" w14:textId="77777777" w:rsidR="006B58C5" w:rsidRPr="00767FBD" w:rsidRDefault="006B58C5" w:rsidP="00A50307">
            <w:pPr>
              <w:ind w:left="142"/>
              <w:jc w:val="center"/>
              <w:rPr>
                <w:rFonts w:ascii="Cambria" w:hAnsi="Cambria"/>
              </w:rPr>
            </w:pPr>
            <w:r w:rsidRPr="00767FBD">
              <w:rPr>
                <w:rFonts w:ascii="Cambria" w:hAnsi="Cambria"/>
              </w:rPr>
              <w:t>B, F</w:t>
            </w:r>
          </w:p>
        </w:tc>
        <w:tc>
          <w:tcPr>
            <w:tcW w:w="4673" w:type="dxa"/>
            <w:tcBorders>
              <w:top w:val="single" w:sz="4" w:space="0" w:color="auto"/>
              <w:left w:val="single" w:sz="4" w:space="0" w:color="auto"/>
              <w:bottom w:val="single" w:sz="4" w:space="0" w:color="auto"/>
              <w:right w:val="single" w:sz="4" w:space="0" w:color="auto"/>
            </w:tcBorders>
            <w:hideMark/>
          </w:tcPr>
          <w:p w14:paraId="33D3C270" w14:textId="77777777" w:rsidR="006B58C5" w:rsidRPr="00767FBD" w:rsidRDefault="006B58C5" w:rsidP="00A50307">
            <w:pPr>
              <w:ind w:left="142"/>
              <w:jc w:val="both"/>
              <w:rPr>
                <w:rFonts w:ascii="Cambria" w:hAnsi="Cambria"/>
              </w:rPr>
            </w:pPr>
            <w:r w:rsidRPr="00767FBD">
              <w:rPr>
                <w:rFonts w:ascii="Cambria" w:hAnsi="Cambria"/>
              </w:rPr>
              <w:t>Proporción de años en que B≤B</w:t>
            </w:r>
            <w:r w:rsidRPr="00767FBD">
              <w:rPr>
                <w:rFonts w:ascii="Cambria" w:hAnsi="Cambria"/>
                <w:vertAlign w:val="subscript"/>
              </w:rPr>
              <w:t>RMS</w:t>
            </w:r>
            <w:r w:rsidRPr="00767FBD">
              <w:rPr>
                <w:rFonts w:ascii="Cambria" w:hAnsi="Cambria"/>
              </w:rPr>
              <w:t xml:space="preserve"> y F≥F</w:t>
            </w:r>
            <w:r w:rsidRPr="00767FBD">
              <w:rPr>
                <w:rFonts w:ascii="Cambria" w:hAnsi="Cambria"/>
                <w:vertAlign w:val="subscript"/>
              </w:rPr>
              <w:t>RMS</w:t>
            </w:r>
          </w:p>
        </w:tc>
      </w:tr>
      <w:tr w:rsidR="006B58C5" w:rsidRPr="00767FBD" w14:paraId="20DB7091" w14:textId="77777777" w:rsidTr="00A50307">
        <w:trPr>
          <w:trHeight w:val="137"/>
        </w:trPr>
        <w:tc>
          <w:tcPr>
            <w:tcW w:w="1555" w:type="dxa"/>
            <w:tcBorders>
              <w:top w:val="single" w:sz="4" w:space="0" w:color="auto"/>
              <w:left w:val="single" w:sz="4" w:space="0" w:color="auto"/>
              <w:bottom w:val="single" w:sz="4" w:space="0" w:color="auto"/>
              <w:right w:val="single" w:sz="4" w:space="0" w:color="auto"/>
            </w:tcBorders>
          </w:tcPr>
          <w:p w14:paraId="1FBEE09B" w14:textId="77777777" w:rsidR="006B58C5" w:rsidRPr="00767FBD" w:rsidRDefault="006B58C5" w:rsidP="00A50307">
            <w:pPr>
              <w:tabs>
                <w:tab w:val="left" w:pos="284"/>
              </w:tabs>
              <w:ind w:left="22"/>
              <w:jc w:val="both"/>
              <w:rPr>
                <w:rFonts w:ascii="Cambria" w:hAnsi="Cambria"/>
                <w:b/>
                <w:lang w:eastAsia="en-GB"/>
              </w:rPr>
            </w:pPr>
          </w:p>
        </w:tc>
        <w:tc>
          <w:tcPr>
            <w:tcW w:w="5386" w:type="dxa"/>
            <w:tcBorders>
              <w:top w:val="single" w:sz="4" w:space="0" w:color="auto"/>
              <w:left w:val="single" w:sz="4" w:space="0" w:color="auto"/>
              <w:bottom w:val="single" w:sz="4" w:space="0" w:color="auto"/>
              <w:right w:val="single" w:sz="4" w:space="0" w:color="auto"/>
            </w:tcBorders>
            <w:hideMark/>
          </w:tcPr>
          <w:p w14:paraId="78BB6289" w14:textId="77777777" w:rsidR="006B58C5" w:rsidRPr="00767FBD" w:rsidRDefault="006B58C5" w:rsidP="00A50307">
            <w:pPr>
              <w:tabs>
                <w:tab w:val="left" w:pos="284"/>
              </w:tabs>
              <w:ind w:left="142"/>
              <w:jc w:val="both"/>
              <w:rPr>
                <w:rFonts w:ascii="Cambria" w:hAnsi="Cambria"/>
                <w:b/>
              </w:rPr>
            </w:pPr>
            <w:r w:rsidRPr="00767FBD">
              <w:rPr>
                <w:rFonts w:ascii="Cambria" w:hAnsi="Cambria"/>
                <w:b/>
              </w:rPr>
              <w:t>2 Seguridad</w:t>
            </w:r>
          </w:p>
        </w:tc>
        <w:tc>
          <w:tcPr>
            <w:tcW w:w="1418" w:type="dxa"/>
            <w:tcBorders>
              <w:top w:val="single" w:sz="4" w:space="0" w:color="auto"/>
              <w:left w:val="single" w:sz="4" w:space="0" w:color="auto"/>
              <w:bottom w:val="single" w:sz="4" w:space="0" w:color="auto"/>
              <w:right w:val="single" w:sz="4" w:space="0" w:color="auto"/>
            </w:tcBorders>
          </w:tcPr>
          <w:p w14:paraId="47C025DE" w14:textId="77777777" w:rsidR="006B58C5" w:rsidRPr="00767FBD" w:rsidRDefault="006B58C5" w:rsidP="00A50307">
            <w:pPr>
              <w:ind w:left="142"/>
              <w:jc w:val="center"/>
              <w:rPr>
                <w:rFonts w:ascii="Cambria" w:hAnsi="Cambria"/>
                <w:b/>
                <w:lang w:eastAsia="en-GB"/>
              </w:rPr>
            </w:pPr>
          </w:p>
        </w:tc>
        <w:tc>
          <w:tcPr>
            <w:tcW w:w="4673" w:type="dxa"/>
            <w:tcBorders>
              <w:top w:val="single" w:sz="4" w:space="0" w:color="auto"/>
              <w:left w:val="single" w:sz="4" w:space="0" w:color="auto"/>
              <w:bottom w:val="single" w:sz="4" w:space="0" w:color="auto"/>
              <w:right w:val="single" w:sz="4" w:space="0" w:color="auto"/>
            </w:tcBorders>
          </w:tcPr>
          <w:p w14:paraId="3179987B" w14:textId="77777777" w:rsidR="006B58C5" w:rsidRPr="00767FBD" w:rsidRDefault="006B58C5" w:rsidP="00A50307">
            <w:pPr>
              <w:ind w:left="142"/>
              <w:jc w:val="both"/>
              <w:rPr>
                <w:rFonts w:ascii="Cambria" w:hAnsi="Cambria"/>
                <w:b/>
                <w:lang w:eastAsia="en-GB"/>
              </w:rPr>
            </w:pPr>
          </w:p>
        </w:tc>
      </w:tr>
      <w:tr w:rsidR="006B58C5" w:rsidRPr="00767FBD" w14:paraId="1EF58DEF" w14:textId="77777777" w:rsidTr="00A50307">
        <w:trPr>
          <w:trHeight w:val="183"/>
        </w:trPr>
        <w:tc>
          <w:tcPr>
            <w:tcW w:w="1555" w:type="dxa"/>
            <w:tcBorders>
              <w:top w:val="single" w:sz="4" w:space="0" w:color="auto"/>
              <w:left w:val="single" w:sz="4" w:space="0" w:color="auto"/>
              <w:bottom w:val="single" w:sz="4" w:space="0" w:color="auto"/>
              <w:right w:val="single" w:sz="4" w:space="0" w:color="auto"/>
            </w:tcBorders>
          </w:tcPr>
          <w:p w14:paraId="1D7A21E6" w14:textId="77777777" w:rsidR="006B58C5" w:rsidRPr="00767FBD" w:rsidRDefault="006B58C5" w:rsidP="00A50307">
            <w:pPr>
              <w:ind w:left="22"/>
              <w:jc w:val="both"/>
              <w:rPr>
                <w:rFonts w:ascii="Cambria" w:hAnsi="Cambria"/>
              </w:rPr>
            </w:pPr>
            <w:r w:rsidRPr="00767FBD">
              <w:rPr>
                <w:rFonts w:ascii="Cambria" w:hAnsi="Cambria"/>
              </w:rPr>
              <w:t>PB</w:t>
            </w:r>
            <w:r w:rsidRPr="00767FBD">
              <w:rPr>
                <w:rFonts w:ascii="Cambria" w:hAnsi="Cambria"/>
                <w:vertAlign w:val="subscript"/>
              </w:rPr>
              <w:t>LIM</w:t>
            </w:r>
            <w:r w:rsidRPr="00767FBD">
              <w:rPr>
                <w:rFonts w:ascii="Cambria" w:hAnsi="Cambria"/>
              </w:rPr>
              <w:t>%</w:t>
            </w:r>
          </w:p>
        </w:tc>
        <w:tc>
          <w:tcPr>
            <w:tcW w:w="5386" w:type="dxa"/>
            <w:tcBorders>
              <w:top w:val="single" w:sz="4" w:space="0" w:color="auto"/>
              <w:left w:val="single" w:sz="4" w:space="0" w:color="auto"/>
              <w:bottom w:val="single" w:sz="4" w:space="0" w:color="auto"/>
              <w:right w:val="single" w:sz="4" w:space="0" w:color="auto"/>
            </w:tcBorders>
            <w:hideMark/>
          </w:tcPr>
          <w:p w14:paraId="7173495F" w14:textId="77777777" w:rsidR="006B58C5" w:rsidRPr="00767FBD" w:rsidRDefault="006B58C5" w:rsidP="00A50307">
            <w:pPr>
              <w:ind w:left="142"/>
              <w:jc w:val="both"/>
              <w:rPr>
                <w:rFonts w:ascii="Cambria" w:hAnsi="Cambria"/>
              </w:rPr>
            </w:pPr>
            <w:r w:rsidRPr="00767FBD">
              <w:rPr>
                <w:rFonts w:ascii="Cambria" w:hAnsi="Cambria"/>
              </w:rPr>
              <w:t>2.1 Probabilidad de que la biomasa reproductora sea superior a B</w:t>
            </w:r>
            <w:r w:rsidRPr="00767FBD">
              <w:rPr>
                <w:rFonts w:ascii="Cambria" w:hAnsi="Cambria"/>
                <w:vertAlign w:val="subscript"/>
              </w:rPr>
              <w:t>LIM</w:t>
            </w:r>
            <w:r w:rsidRPr="00767FBD">
              <w:rPr>
                <w:rFonts w:ascii="Cambria" w:hAnsi="Cambria"/>
              </w:rPr>
              <w:t xml:space="preserve"> (0,4B</w:t>
            </w:r>
            <w:r w:rsidRPr="00767FBD">
              <w:rPr>
                <w:rFonts w:ascii="Cambria" w:hAnsi="Cambria"/>
                <w:vertAlign w:val="subscript"/>
              </w:rPr>
              <w:t>RMS</w:t>
            </w:r>
            <w:r w:rsidRPr="00767FBD">
              <w:rPr>
                <w:rFonts w:ascii="Cambria" w:hAnsi="Cambria"/>
              </w:rPr>
              <w:t>)</w:t>
            </w:r>
            <w:r w:rsidRPr="00767FBD">
              <w:rPr>
                <w:rFonts w:ascii="Cambria" w:hAnsi="Cambria"/>
                <w:vertAlign w:val="superscript"/>
                <w:lang w:eastAsia="en-GB"/>
              </w:rPr>
              <w:footnoteReference w:id="7"/>
            </w:r>
          </w:p>
        </w:tc>
        <w:tc>
          <w:tcPr>
            <w:tcW w:w="1418" w:type="dxa"/>
            <w:tcBorders>
              <w:top w:val="single" w:sz="4" w:space="0" w:color="auto"/>
              <w:left w:val="single" w:sz="4" w:space="0" w:color="auto"/>
              <w:bottom w:val="single" w:sz="4" w:space="0" w:color="auto"/>
              <w:right w:val="single" w:sz="4" w:space="0" w:color="auto"/>
            </w:tcBorders>
            <w:hideMark/>
          </w:tcPr>
          <w:p w14:paraId="6ED2B307" w14:textId="77777777" w:rsidR="006B58C5" w:rsidRPr="00767FBD" w:rsidRDefault="006B58C5" w:rsidP="00A50307">
            <w:pPr>
              <w:ind w:left="142"/>
              <w:jc w:val="center"/>
              <w:rPr>
                <w:rFonts w:ascii="Cambria" w:hAnsi="Cambria"/>
              </w:rPr>
            </w:pPr>
            <w:r w:rsidRPr="00767FBD">
              <w:rPr>
                <w:rFonts w:ascii="Cambria" w:hAnsi="Cambria"/>
              </w:rPr>
              <w:t>B/ B</w:t>
            </w:r>
            <w:r w:rsidRPr="00767FBD">
              <w:rPr>
                <w:rFonts w:ascii="Cambria" w:hAnsi="Cambria"/>
                <w:vertAlign w:val="subscript"/>
              </w:rPr>
              <w:t>RMS</w:t>
            </w:r>
          </w:p>
        </w:tc>
        <w:tc>
          <w:tcPr>
            <w:tcW w:w="4673" w:type="dxa"/>
            <w:tcBorders>
              <w:top w:val="single" w:sz="4" w:space="0" w:color="auto"/>
              <w:left w:val="single" w:sz="4" w:space="0" w:color="auto"/>
              <w:bottom w:val="single" w:sz="4" w:space="0" w:color="auto"/>
              <w:right w:val="single" w:sz="4" w:space="0" w:color="auto"/>
            </w:tcBorders>
            <w:hideMark/>
          </w:tcPr>
          <w:p w14:paraId="242AF494" w14:textId="77777777" w:rsidR="006B58C5" w:rsidRPr="00767FBD" w:rsidRDefault="006B58C5" w:rsidP="00A50307">
            <w:pPr>
              <w:ind w:left="142"/>
              <w:jc w:val="both"/>
              <w:rPr>
                <w:rFonts w:ascii="Cambria" w:hAnsi="Cambria"/>
              </w:rPr>
            </w:pPr>
            <w:r w:rsidRPr="00767FBD">
              <w:rPr>
                <w:rFonts w:ascii="Cambria" w:hAnsi="Cambria"/>
              </w:rPr>
              <w:t>Proporción de años en que B&gt;B</w:t>
            </w:r>
            <w:r w:rsidRPr="00767FBD">
              <w:rPr>
                <w:rFonts w:ascii="Cambria" w:hAnsi="Cambria"/>
                <w:vertAlign w:val="subscript"/>
              </w:rPr>
              <w:t>LIM</w:t>
            </w:r>
          </w:p>
        </w:tc>
      </w:tr>
      <w:tr w:rsidR="006B58C5" w:rsidRPr="00767FBD" w14:paraId="70FC289F" w14:textId="77777777" w:rsidTr="00A50307">
        <w:trPr>
          <w:trHeight w:val="137"/>
        </w:trPr>
        <w:tc>
          <w:tcPr>
            <w:tcW w:w="1555" w:type="dxa"/>
            <w:tcBorders>
              <w:top w:val="single" w:sz="4" w:space="0" w:color="auto"/>
              <w:left w:val="single" w:sz="4" w:space="0" w:color="auto"/>
              <w:bottom w:val="single" w:sz="4" w:space="0" w:color="auto"/>
              <w:right w:val="single" w:sz="4" w:space="0" w:color="auto"/>
            </w:tcBorders>
          </w:tcPr>
          <w:p w14:paraId="4D52DE31" w14:textId="77777777" w:rsidR="006B58C5" w:rsidRPr="00767FBD" w:rsidRDefault="006B58C5" w:rsidP="00A50307">
            <w:pPr>
              <w:ind w:left="22"/>
              <w:jc w:val="both"/>
              <w:rPr>
                <w:rFonts w:ascii="Cambria" w:eastAsiaTheme="minorEastAsia" w:hAnsi="Cambria"/>
              </w:rPr>
            </w:pPr>
            <w:proofErr w:type="spellStart"/>
            <w:r w:rsidRPr="00767FBD">
              <w:rPr>
                <w:rFonts w:ascii="Cambria" w:hAnsi="Cambria"/>
              </w:rPr>
              <w:t>pB</w:t>
            </w:r>
            <w:r w:rsidRPr="00767FBD">
              <w:rPr>
                <w:rFonts w:ascii="Cambria" w:hAnsi="Cambria"/>
                <w:vertAlign w:val="subscript"/>
              </w:rPr>
              <w:t>INT</w:t>
            </w:r>
            <w:proofErr w:type="spellEnd"/>
            <w:r w:rsidRPr="00767FBD">
              <w:rPr>
                <w:rFonts w:ascii="Cambria" w:hAnsi="Cambria"/>
              </w:rPr>
              <w:t>%</w:t>
            </w:r>
          </w:p>
        </w:tc>
        <w:tc>
          <w:tcPr>
            <w:tcW w:w="5386" w:type="dxa"/>
            <w:tcBorders>
              <w:top w:val="single" w:sz="4" w:space="0" w:color="auto"/>
              <w:left w:val="single" w:sz="4" w:space="0" w:color="auto"/>
              <w:bottom w:val="single" w:sz="4" w:space="0" w:color="auto"/>
              <w:right w:val="single" w:sz="4" w:space="0" w:color="auto"/>
            </w:tcBorders>
            <w:hideMark/>
          </w:tcPr>
          <w:p w14:paraId="7F22EBDE" w14:textId="77777777" w:rsidR="006B58C5" w:rsidRPr="00767FBD" w:rsidRDefault="006B58C5" w:rsidP="00A50307">
            <w:pPr>
              <w:jc w:val="both"/>
              <w:rPr>
                <w:rFonts w:ascii="Cambria" w:hAnsi="Cambria"/>
                <w:b/>
              </w:rPr>
            </w:pPr>
            <w:r w:rsidRPr="00767FBD">
              <w:rPr>
                <w:rFonts w:ascii="Cambria" w:hAnsi="Cambria"/>
                <w:b/>
              </w:rPr>
              <w:t>2.2 Probabilidad de que B</w:t>
            </w:r>
            <w:r w:rsidRPr="00767FBD">
              <w:rPr>
                <w:rFonts w:ascii="Cambria" w:hAnsi="Cambria"/>
                <w:b/>
                <w:vertAlign w:val="subscript"/>
              </w:rPr>
              <w:t>LIM</w:t>
            </w:r>
            <w:r w:rsidRPr="00767FBD">
              <w:rPr>
                <w:rFonts w:ascii="Cambria" w:hAnsi="Cambria"/>
                <w:b/>
              </w:rPr>
              <w:t xml:space="preserve"> &lt;B &lt;B</w:t>
            </w:r>
            <w:r w:rsidRPr="00767FBD">
              <w:rPr>
                <w:rFonts w:ascii="Cambria" w:hAnsi="Cambria"/>
                <w:b/>
                <w:vertAlign w:val="subscript"/>
              </w:rPr>
              <w:t>UMBRAL</w:t>
            </w:r>
          </w:p>
        </w:tc>
        <w:tc>
          <w:tcPr>
            <w:tcW w:w="1418" w:type="dxa"/>
            <w:tcBorders>
              <w:top w:val="single" w:sz="4" w:space="0" w:color="auto"/>
              <w:left w:val="single" w:sz="4" w:space="0" w:color="auto"/>
              <w:bottom w:val="single" w:sz="4" w:space="0" w:color="auto"/>
              <w:right w:val="single" w:sz="4" w:space="0" w:color="auto"/>
            </w:tcBorders>
            <w:hideMark/>
          </w:tcPr>
          <w:p w14:paraId="79BF9D54" w14:textId="77777777" w:rsidR="006B58C5" w:rsidRPr="00767FBD" w:rsidRDefault="006B58C5" w:rsidP="00A50307">
            <w:pPr>
              <w:ind w:left="142"/>
              <w:jc w:val="center"/>
              <w:rPr>
                <w:rFonts w:ascii="Cambria" w:hAnsi="Cambria"/>
                <w:b/>
              </w:rPr>
            </w:pPr>
            <w:r w:rsidRPr="00767FBD">
              <w:rPr>
                <w:rFonts w:ascii="Cambria" w:hAnsi="Cambria"/>
              </w:rPr>
              <w:t>B/ B</w:t>
            </w:r>
            <w:r w:rsidRPr="00767FBD">
              <w:rPr>
                <w:rFonts w:ascii="Cambria" w:hAnsi="Cambria"/>
                <w:vertAlign w:val="subscript"/>
              </w:rPr>
              <w:t>RMS</w:t>
            </w:r>
          </w:p>
        </w:tc>
        <w:tc>
          <w:tcPr>
            <w:tcW w:w="4673" w:type="dxa"/>
            <w:tcBorders>
              <w:top w:val="single" w:sz="4" w:space="0" w:color="auto"/>
              <w:left w:val="single" w:sz="4" w:space="0" w:color="auto"/>
              <w:bottom w:val="single" w:sz="4" w:space="0" w:color="auto"/>
              <w:right w:val="single" w:sz="4" w:space="0" w:color="auto"/>
            </w:tcBorders>
            <w:hideMark/>
          </w:tcPr>
          <w:p w14:paraId="47039F1E" w14:textId="77777777" w:rsidR="006B58C5" w:rsidRPr="00767FBD" w:rsidRDefault="006B58C5" w:rsidP="00A50307">
            <w:pPr>
              <w:ind w:left="142"/>
              <w:jc w:val="both"/>
              <w:rPr>
                <w:rFonts w:ascii="Cambria" w:hAnsi="Cambria"/>
                <w:b/>
              </w:rPr>
            </w:pPr>
            <w:r w:rsidRPr="00767FBD">
              <w:rPr>
                <w:rFonts w:ascii="Cambria" w:hAnsi="Cambria"/>
              </w:rPr>
              <w:t>Proporción de años en que B</w:t>
            </w:r>
            <w:r w:rsidRPr="00767FBD">
              <w:rPr>
                <w:rFonts w:ascii="Cambria" w:hAnsi="Cambria"/>
                <w:vertAlign w:val="subscript"/>
              </w:rPr>
              <w:t>LIM</w:t>
            </w:r>
            <w:r w:rsidRPr="00767FBD">
              <w:rPr>
                <w:rFonts w:ascii="Cambria" w:hAnsi="Cambria"/>
              </w:rPr>
              <w:t xml:space="preserve"> &lt;B &lt;B</w:t>
            </w:r>
            <w:r w:rsidRPr="00767FBD">
              <w:rPr>
                <w:rFonts w:ascii="Cambria" w:hAnsi="Cambria"/>
                <w:vertAlign w:val="subscript"/>
              </w:rPr>
              <w:t>UMBRAL</w:t>
            </w:r>
          </w:p>
        </w:tc>
      </w:tr>
      <w:tr w:rsidR="006B58C5" w:rsidRPr="00767FBD" w14:paraId="1DE4035E" w14:textId="77777777" w:rsidTr="00A50307">
        <w:trPr>
          <w:trHeight w:val="137"/>
        </w:trPr>
        <w:tc>
          <w:tcPr>
            <w:tcW w:w="1555" w:type="dxa"/>
            <w:tcBorders>
              <w:top w:val="single" w:sz="4" w:space="0" w:color="auto"/>
              <w:left w:val="single" w:sz="4" w:space="0" w:color="auto"/>
              <w:bottom w:val="single" w:sz="4" w:space="0" w:color="auto"/>
              <w:right w:val="single" w:sz="4" w:space="0" w:color="auto"/>
            </w:tcBorders>
          </w:tcPr>
          <w:p w14:paraId="14AF5D17" w14:textId="77777777" w:rsidR="006B58C5" w:rsidRPr="00767FBD" w:rsidRDefault="006B58C5" w:rsidP="00A50307">
            <w:pPr>
              <w:tabs>
                <w:tab w:val="left" w:pos="284"/>
              </w:tabs>
              <w:ind w:left="22"/>
              <w:jc w:val="both"/>
              <w:rPr>
                <w:rFonts w:ascii="Cambria" w:hAnsi="Cambria"/>
                <w:b/>
                <w:lang w:eastAsia="en-GB"/>
              </w:rPr>
            </w:pPr>
          </w:p>
        </w:tc>
        <w:tc>
          <w:tcPr>
            <w:tcW w:w="5386" w:type="dxa"/>
            <w:tcBorders>
              <w:top w:val="single" w:sz="4" w:space="0" w:color="auto"/>
              <w:left w:val="single" w:sz="4" w:space="0" w:color="auto"/>
              <w:bottom w:val="single" w:sz="4" w:space="0" w:color="auto"/>
              <w:right w:val="single" w:sz="4" w:space="0" w:color="auto"/>
            </w:tcBorders>
            <w:hideMark/>
          </w:tcPr>
          <w:p w14:paraId="2693029D" w14:textId="77777777" w:rsidR="006B58C5" w:rsidRPr="00767FBD" w:rsidRDefault="006B58C5" w:rsidP="00A50307">
            <w:pPr>
              <w:tabs>
                <w:tab w:val="left" w:pos="284"/>
              </w:tabs>
              <w:ind w:left="142"/>
              <w:jc w:val="both"/>
              <w:rPr>
                <w:rFonts w:ascii="Cambria" w:hAnsi="Cambria"/>
                <w:b/>
              </w:rPr>
            </w:pPr>
            <w:r w:rsidRPr="00767FBD">
              <w:rPr>
                <w:rFonts w:ascii="Cambria" w:hAnsi="Cambria"/>
                <w:b/>
              </w:rPr>
              <w:t>3 Rendimiento</w:t>
            </w:r>
          </w:p>
        </w:tc>
        <w:tc>
          <w:tcPr>
            <w:tcW w:w="1418" w:type="dxa"/>
            <w:tcBorders>
              <w:top w:val="single" w:sz="4" w:space="0" w:color="auto"/>
              <w:left w:val="single" w:sz="4" w:space="0" w:color="auto"/>
              <w:bottom w:val="single" w:sz="4" w:space="0" w:color="auto"/>
              <w:right w:val="single" w:sz="4" w:space="0" w:color="auto"/>
            </w:tcBorders>
          </w:tcPr>
          <w:p w14:paraId="70D810E8" w14:textId="77777777" w:rsidR="006B58C5" w:rsidRPr="00767FBD" w:rsidRDefault="006B58C5" w:rsidP="00A50307">
            <w:pPr>
              <w:ind w:left="142"/>
              <w:jc w:val="center"/>
              <w:rPr>
                <w:rFonts w:ascii="Cambria" w:hAnsi="Cambria"/>
                <w:b/>
                <w:lang w:eastAsia="en-GB"/>
              </w:rPr>
            </w:pPr>
          </w:p>
        </w:tc>
        <w:tc>
          <w:tcPr>
            <w:tcW w:w="4673" w:type="dxa"/>
            <w:tcBorders>
              <w:top w:val="single" w:sz="4" w:space="0" w:color="auto"/>
              <w:left w:val="single" w:sz="4" w:space="0" w:color="auto"/>
              <w:bottom w:val="single" w:sz="4" w:space="0" w:color="auto"/>
              <w:right w:val="single" w:sz="4" w:space="0" w:color="auto"/>
            </w:tcBorders>
          </w:tcPr>
          <w:p w14:paraId="2C0D8640" w14:textId="77777777" w:rsidR="006B58C5" w:rsidRPr="00767FBD" w:rsidRDefault="006B58C5" w:rsidP="00A50307">
            <w:pPr>
              <w:ind w:left="142"/>
              <w:jc w:val="both"/>
              <w:rPr>
                <w:rFonts w:ascii="Cambria" w:hAnsi="Cambria"/>
                <w:b/>
                <w:lang w:eastAsia="en-GB"/>
              </w:rPr>
            </w:pPr>
          </w:p>
        </w:tc>
      </w:tr>
      <w:tr w:rsidR="006B58C5" w:rsidRPr="00767FBD" w14:paraId="653CADA7" w14:textId="77777777" w:rsidTr="00A50307">
        <w:trPr>
          <w:trHeight w:val="137"/>
        </w:trPr>
        <w:tc>
          <w:tcPr>
            <w:tcW w:w="1555" w:type="dxa"/>
            <w:tcBorders>
              <w:top w:val="single" w:sz="4" w:space="0" w:color="auto"/>
              <w:left w:val="single" w:sz="4" w:space="0" w:color="auto"/>
              <w:bottom w:val="single" w:sz="4" w:space="0" w:color="auto"/>
              <w:right w:val="single" w:sz="4" w:space="0" w:color="auto"/>
            </w:tcBorders>
          </w:tcPr>
          <w:p w14:paraId="4F61F6E1" w14:textId="77777777" w:rsidR="006B58C5" w:rsidRPr="00767FBD" w:rsidRDefault="006B58C5" w:rsidP="00A50307">
            <w:pPr>
              <w:ind w:left="22"/>
              <w:jc w:val="both"/>
              <w:rPr>
                <w:rFonts w:ascii="Cambria" w:hAnsi="Cambria"/>
              </w:rPr>
            </w:pPr>
            <w:proofErr w:type="spellStart"/>
            <w:r w:rsidRPr="00767FBD">
              <w:rPr>
                <w:rFonts w:ascii="Cambria" w:hAnsi="Cambria"/>
              </w:rPr>
              <w:t>ShortY</w:t>
            </w:r>
            <w:proofErr w:type="spellEnd"/>
            <w:r w:rsidRPr="00767FBD">
              <w:rPr>
                <w:rFonts w:ascii="Cambria" w:hAnsi="Cambria"/>
              </w:rPr>
              <w:t xml:space="preserve"> (kt)</w:t>
            </w:r>
          </w:p>
        </w:tc>
        <w:tc>
          <w:tcPr>
            <w:tcW w:w="5386" w:type="dxa"/>
            <w:tcBorders>
              <w:top w:val="single" w:sz="4" w:space="0" w:color="auto"/>
              <w:left w:val="single" w:sz="4" w:space="0" w:color="auto"/>
              <w:bottom w:val="single" w:sz="4" w:space="0" w:color="auto"/>
              <w:right w:val="single" w:sz="4" w:space="0" w:color="auto"/>
            </w:tcBorders>
            <w:hideMark/>
          </w:tcPr>
          <w:p w14:paraId="7C48E562" w14:textId="77777777" w:rsidR="006B58C5" w:rsidRPr="00767FBD" w:rsidRDefault="006B58C5" w:rsidP="00A50307">
            <w:pPr>
              <w:ind w:left="142"/>
              <w:jc w:val="both"/>
              <w:rPr>
                <w:rFonts w:ascii="Cambria" w:hAnsi="Cambria"/>
              </w:rPr>
            </w:pPr>
            <w:r w:rsidRPr="00767FBD">
              <w:rPr>
                <w:rFonts w:ascii="Cambria" w:hAnsi="Cambria"/>
              </w:rPr>
              <w:t>3.1 Captura media–corto plazo</w:t>
            </w:r>
          </w:p>
        </w:tc>
        <w:tc>
          <w:tcPr>
            <w:tcW w:w="1418" w:type="dxa"/>
            <w:tcBorders>
              <w:top w:val="single" w:sz="4" w:space="0" w:color="auto"/>
              <w:left w:val="single" w:sz="4" w:space="0" w:color="auto"/>
              <w:bottom w:val="single" w:sz="4" w:space="0" w:color="auto"/>
              <w:right w:val="single" w:sz="4" w:space="0" w:color="auto"/>
            </w:tcBorders>
            <w:hideMark/>
          </w:tcPr>
          <w:p w14:paraId="1394E407" w14:textId="77777777" w:rsidR="006B58C5" w:rsidRPr="00767FBD" w:rsidRDefault="006B58C5" w:rsidP="00A50307">
            <w:pPr>
              <w:ind w:left="142"/>
              <w:jc w:val="center"/>
              <w:rPr>
                <w:rFonts w:ascii="Cambria" w:hAnsi="Cambria"/>
              </w:rPr>
            </w:pPr>
            <w:r w:rsidRPr="00767FBD">
              <w:rPr>
                <w:rFonts w:ascii="Cambria" w:hAnsi="Cambria"/>
              </w:rPr>
              <w:t>Captura</w:t>
            </w:r>
          </w:p>
        </w:tc>
        <w:tc>
          <w:tcPr>
            <w:tcW w:w="4673" w:type="dxa"/>
            <w:tcBorders>
              <w:top w:val="single" w:sz="4" w:space="0" w:color="auto"/>
              <w:left w:val="single" w:sz="4" w:space="0" w:color="auto"/>
              <w:bottom w:val="single" w:sz="4" w:space="0" w:color="auto"/>
              <w:right w:val="single" w:sz="4" w:space="0" w:color="auto"/>
            </w:tcBorders>
            <w:hideMark/>
          </w:tcPr>
          <w:p w14:paraId="51FCAB19" w14:textId="77777777" w:rsidR="006B58C5" w:rsidRPr="00767FBD" w:rsidRDefault="006B58C5" w:rsidP="00A50307">
            <w:pPr>
              <w:ind w:left="142"/>
              <w:jc w:val="both"/>
              <w:rPr>
                <w:rFonts w:ascii="Cambria" w:hAnsi="Cambria"/>
              </w:rPr>
            </w:pPr>
            <w:r w:rsidRPr="00767FBD">
              <w:rPr>
                <w:rFonts w:ascii="Cambria" w:hAnsi="Cambria"/>
              </w:rPr>
              <w:t>Media durante 1-3 años</w:t>
            </w:r>
          </w:p>
        </w:tc>
      </w:tr>
      <w:tr w:rsidR="006B58C5" w:rsidRPr="00767FBD" w14:paraId="5D549C2D" w14:textId="77777777" w:rsidTr="00A50307">
        <w:trPr>
          <w:trHeight w:val="137"/>
        </w:trPr>
        <w:tc>
          <w:tcPr>
            <w:tcW w:w="1555" w:type="dxa"/>
            <w:tcBorders>
              <w:top w:val="single" w:sz="4" w:space="0" w:color="auto"/>
              <w:left w:val="single" w:sz="4" w:space="0" w:color="auto"/>
              <w:bottom w:val="single" w:sz="4" w:space="0" w:color="auto"/>
              <w:right w:val="single" w:sz="4" w:space="0" w:color="auto"/>
            </w:tcBorders>
          </w:tcPr>
          <w:p w14:paraId="63DEDC1F" w14:textId="77777777" w:rsidR="006B58C5" w:rsidRPr="00767FBD" w:rsidRDefault="006B58C5" w:rsidP="00A50307">
            <w:pPr>
              <w:ind w:left="22"/>
              <w:jc w:val="both"/>
              <w:rPr>
                <w:rFonts w:ascii="Cambria" w:hAnsi="Cambria"/>
              </w:rPr>
            </w:pPr>
            <w:proofErr w:type="spellStart"/>
            <w:r w:rsidRPr="00767FBD">
              <w:rPr>
                <w:rFonts w:ascii="Cambria" w:hAnsi="Cambria"/>
              </w:rPr>
              <w:t>MediumY</w:t>
            </w:r>
            <w:proofErr w:type="spellEnd"/>
            <w:r w:rsidRPr="00767FBD">
              <w:rPr>
                <w:rFonts w:ascii="Cambria" w:hAnsi="Cambria"/>
              </w:rPr>
              <w:t xml:space="preserve"> (kt)</w:t>
            </w:r>
          </w:p>
        </w:tc>
        <w:tc>
          <w:tcPr>
            <w:tcW w:w="5386" w:type="dxa"/>
            <w:tcBorders>
              <w:top w:val="single" w:sz="4" w:space="0" w:color="auto"/>
              <w:left w:val="single" w:sz="4" w:space="0" w:color="auto"/>
              <w:bottom w:val="single" w:sz="4" w:space="0" w:color="auto"/>
              <w:right w:val="single" w:sz="4" w:space="0" w:color="auto"/>
            </w:tcBorders>
            <w:hideMark/>
          </w:tcPr>
          <w:p w14:paraId="77AF8626" w14:textId="77777777" w:rsidR="006B58C5" w:rsidRPr="00767FBD" w:rsidRDefault="006B58C5" w:rsidP="00A50307">
            <w:pPr>
              <w:ind w:left="142"/>
              <w:jc w:val="both"/>
              <w:rPr>
                <w:rFonts w:ascii="Cambria" w:hAnsi="Cambria"/>
                <w:b/>
              </w:rPr>
            </w:pPr>
            <w:r w:rsidRPr="00767FBD">
              <w:rPr>
                <w:rFonts w:ascii="Cambria" w:hAnsi="Cambria"/>
              </w:rPr>
              <w:t>3.2 Captura media–medio plazo</w:t>
            </w:r>
          </w:p>
        </w:tc>
        <w:tc>
          <w:tcPr>
            <w:tcW w:w="1418" w:type="dxa"/>
            <w:tcBorders>
              <w:top w:val="single" w:sz="4" w:space="0" w:color="auto"/>
              <w:left w:val="single" w:sz="4" w:space="0" w:color="auto"/>
              <w:bottom w:val="single" w:sz="4" w:space="0" w:color="auto"/>
              <w:right w:val="single" w:sz="4" w:space="0" w:color="auto"/>
            </w:tcBorders>
            <w:hideMark/>
          </w:tcPr>
          <w:p w14:paraId="23BA476F" w14:textId="77777777" w:rsidR="006B58C5" w:rsidRPr="00767FBD" w:rsidRDefault="006B58C5" w:rsidP="00A50307">
            <w:pPr>
              <w:ind w:left="142"/>
              <w:jc w:val="center"/>
              <w:rPr>
                <w:rFonts w:ascii="Cambria" w:hAnsi="Cambria"/>
                <w:b/>
              </w:rPr>
            </w:pPr>
            <w:r w:rsidRPr="00767FBD">
              <w:rPr>
                <w:rFonts w:ascii="Cambria" w:hAnsi="Cambria"/>
              </w:rPr>
              <w:t>Captura</w:t>
            </w:r>
          </w:p>
        </w:tc>
        <w:tc>
          <w:tcPr>
            <w:tcW w:w="4673" w:type="dxa"/>
            <w:tcBorders>
              <w:top w:val="single" w:sz="4" w:space="0" w:color="auto"/>
              <w:left w:val="single" w:sz="4" w:space="0" w:color="auto"/>
              <w:bottom w:val="single" w:sz="4" w:space="0" w:color="auto"/>
              <w:right w:val="single" w:sz="4" w:space="0" w:color="auto"/>
            </w:tcBorders>
            <w:hideMark/>
          </w:tcPr>
          <w:p w14:paraId="3C5328E5" w14:textId="77777777" w:rsidR="006B58C5" w:rsidRPr="00767FBD" w:rsidRDefault="006B58C5" w:rsidP="00A50307">
            <w:pPr>
              <w:ind w:left="142"/>
              <w:jc w:val="both"/>
              <w:rPr>
                <w:rFonts w:ascii="Cambria" w:hAnsi="Cambria"/>
                <w:b/>
              </w:rPr>
            </w:pPr>
            <w:r w:rsidRPr="00767FBD">
              <w:rPr>
                <w:rFonts w:ascii="Cambria" w:hAnsi="Cambria"/>
              </w:rPr>
              <w:t>Media durante 5-10 años</w:t>
            </w:r>
          </w:p>
        </w:tc>
      </w:tr>
      <w:tr w:rsidR="006B58C5" w:rsidRPr="00767FBD" w14:paraId="6DDCBCD1" w14:textId="77777777" w:rsidTr="00A50307">
        <w:trPr>
          <w:trHeight w:val="137"/>
        </w:trPr>
        <w:tc>
          <w:tcPr>
            <w:tcW w:w="1555" w:type="dxa"/>
            <w:tcBorders>
              <w:top w:val="single" w:sz="4" w:space="0" w:color="auto"/>
              <w:left w:val="single" w:sz="4" w:space="0" w:color="auto"/>
              <w:bottom w:val="single" w:sz="4" w:space="0" w:color="auto"/>
              <w:right w:val="single" w:sz="4" w:space="0" w:color="auto"/>
            </w:tcBorders>
          </w:tcPr>
          <w:p w14:paraId="11F85307" w14:textId="77777777" w:rsidR="006B58C5" w:rsidRPr="00767FBD" w:rsidRDefault="006B58C5" w:rsidP="00A50307">
            <w:pPr>
              <w:ind w:left="22"/>
              <w:jc w:val="both"/>
              <w:rPr>
                <w:rFonts w:ascii="Cambria" w:hAnsi="Cambria"/>
              </w:rPr>
            </w:pPr>
            <w:proofErr w:type="spellStart"/>
            <w:r w:rsidRPr="00767FBD">
              <w:rPr>
                <w:rFonts w:ascii="Cambria" w:hAnsi="Cambria"/>
              </w:rPr>
              <w:t>LongY</w:t>
            </w:r>
            <w:proofErr w:type="spellEnd"/>
            <w:r w:rsidRPr="00767FBD">
              <w:rPr>
                <w:rFonts w:ascii="Cambria" w:hAnsi="Cambria"/>
              </w:rPr>
              <w:t xml:space="preserve"> (kt)</w:t>
            </w:r>
          </w:p>
        </w:tc>
        <w:tc>
          <w:tcPr>
            <w:tcW w:w="5386" w:type="dxa"/>
            <w:tcBorders>
              <w:top w:val="single" w:sz="4" w:space="0" w:color="auto"/>
              <w:left w:val="single" w:sz="4" w:space="0" w:color="auto"/>
              <w:bottom w:val="single" w:sz="4" w:space="0" w:color="auto"/>
              <w:right w:val="single" w:sz="4" w:space="0" w:color="auto"/>
            </w:tcBorders>
            <w:hideMark/>
          </w:tcPr>
          <w:p w14:paraId="7E95DD80" w14:textId="77777777" w:rsidR="006B58C5" w:rsidRPr="00767FBD" w:rsidRDefault="006B58C5" w:rsidP="00A50307">
            <w:pPr>
              <w:ind w:left="142"/>
              <w:jc w:val="both"/>
              <w:rPr>
                <w:rFonts w:ascii="Cambria" w:hAnsi="Cambria"/>
                <w:b/>
                <w:bCs/>
              </w:rPr>
            </w:pPr>
            <w:r w:rsidRPr="00767FBD">
              <w:rPr>
                <w:rFonts w:ascii="Cambria" w:hAnsi="Cambria"/>
                <w:b/>
                <w:bCs/>
              </w:rPr>
              <w:t>3.3 Captura media–largo plazo</w:t>
            </w:r>
          </w:p>
        </w:tc>
        <w:tc>
          <w:tcPr>
            <w:tcW w:w="1418" w:type="dxa"/>
            <w:tcBorders>
              <w:top w:val="single" w:sz="4" w:space="0" w:color="auto"/>
              <w:left w:val="single" w:sz="4" w:space="0" w:color="auto"/>
              <w:bottom w:val="single" w:sz="4" w:space="0" w:color="auto"/>
              <w:right w:val="single" w:sz="4" w:space="0" w:color="auto"/>
            </w:tcBorders>
            <w:hideMark/>
          </w:tcPr>
          <w:p w14:paraId="565F6CE9" w14:textId="77777777" w:rsidR="006B58C5" w:rsidRPr="00767FBD" w:rsidRDefault="006B58C5" w:rsidP="00A50307">
            <w:pPr>
              <w:ind w:left="142"/>
              <w:jc w:val="center"/>
              <w:rPr>
                <w:rFonts w:ascii="Cambria" w:hAnsi="Cambria"/>
                <w:b/>
              </w:rPr>
            </w:pPr>
            <w:r w:rsidRPr="00767FBD">
              <w:rPr>
                <w:rFonts w:ascii="Cambria" w:hAnsi="Cambria"/>
              </w:rPr>
              <w:t>Captura</w:t>
            </w:r>
          </w:p>
        </w:tc>
        <w:tc>
          <w:tcPr>
            <w:tcW w:w="4673" w:type="dxa"/>
            <w:tcBorders>
              <w:top w:val="single" w:sz="4" w:space="0" w:color="auto"/>
              <w:left w:val="single" w:sz="4" w:space="0" w:color="auto"/>
              <w:bottom w:val="single" w:sz="4" w:space="0" w:color="auto"/>
              <w:right w:val="single" w:sz="4" w:space="0" w:color="auto"/>
            </w:tcBorders>
            <w:hideMark/>
          </w:tcPr>
          <w:p w14:paraId="25E218C3" w14:textId="77777777" w:rsidR="006B58C5" w:rsidRPr="00767FBD" w:rsidRDefault="006B58C5" w:rsidP="00A50307">
            <w:pPr>
              <w:ind w:left="142"/>
              <w:jc w:val="both"/>
              <w:rPr>
                <w:rFonts w:ascii="Cambria" w:eastAsiaTheme="minorEastAsia" w:hAnsi="Cambria"/>
                <w:b/>
              </w:rPr>
            </w:pPr>
            <w:r w:rsidRPr="00767FBD">
              <w:rPr>
                <w:rFonts w:ascii="Cambria" w:hAnsi="Cambria"/>
              </w:rPr>
              <w:t>Media en 15 años y 30 años</w:t>
            </w:r>
          </w:p>
        </w:tc>
      </w:tr>
      <w:tr w:rsidR="006B58C5" w:rsidRPr="00767FBD" w14:paraId="5945569A" w14:textId="77777777" w:rsidTr="00A50307">
        <w:trPr>
          <w:trHeight w:val="137"/>
        </w:trPr>
        <w:tc>
          <w:tcPr>
            <w:tcW w:w="1555" w:type="dxa"/>
            <w:tcBorders>
              <w:top w:val="single" w:sz="4" w:space="0" w:color="auto"/>
              <w:left w:val="single" w:sz="4" w:space="0" w:color="auto"/>
              <w:bottom w:val="single" w:sz="4" w:space="0" w:color="auto"/>
              <w:right w:val="single" w:sz="4" w:space="0" w:color="auto"/>
            </w:tcBorders>
          </w:tcPr>
          <w:p w14:paraId="48447ECF" w14:textId="77777777" w:rsidR="006B58C5" w:rsidRPr="00767FBD" w:rsidRDefault="006B58C5" w:rsidP="00A50307">
            <w:pPr>
              <w:tabs>
                <w:tab w:val="left" w:pos="284"/>
              </w:tabs>
              <w:ind w:left="22"/>
              <w:jc w:val="both"/>
              <w:rPr>
                <w:rFonts w:ascii="Cambria" w:hAnsi="Cambria"/>
                <w:b/>
                <w:lang w:eastAsia="en-GB"/>
              </w:rPr>
            </w:pPr>
          </w:p>
        </w:tc>
        <w:tc>
          <w:tcPr>
            <w:tcW w:w="5386" w:type="dxa"/>
            <w:tcBorders>
              <w:top w:val="single" w:sz="4" w:space="0" w:color="auto"/>
              <w:left w:val="single" w:sz="4" w:space="0" w:color="auto"/>
              <w:bottom w:val="single" w:sz="4" w:space="0" w:color="auto"/>
              <w:right w:val="single" w:sz="4" w:space="0" w:color="auto"/>
            </w:tcBorders>
            <w:hideMark/>
          </w:tcPr>
          <w:p w14:paraId="06C19FCC" w14:textId="77777777" w:rsidR="006B58C5" w:rsidRPr="00767FBD" w:rsidRDefault="006B58C5" w:rsidP="00A50307">
            <w:pPr>
              <w:tabs>
                <w:tab w:val="left" w:pos="284"/>
              </w:tabs>
              <w:ind w:left="142"/>
              <w:jc w:val="both"/>
              <w:rPr>
                <w:rFonts w:ascii="Cambria" w:eastAsiaTheme="minorEastAsia" w:hAnsi="Cambria"/>
                <w:b/>
              </w:rPr>
            </w:pPr>
            <w:r w:rsidRPr="00767FBD">
              <w:rPr>
                <w:rFonts w:ascii="Cambria" w:hAnsi="Cambria"/>
                <w:b/>
              </w:rPr>
              <w:t xml:space="preserve">4 Estabilidad </w:t>
            </w:r>
          </w:p>
        </w:tc>
        <w:tc>
          <w:tcPr>
            <w:tcW w:w="1418" w:type="dxa"/>
            <w:tcBorders>
              <w:top w:val="single" w:sz="4" w:space="0" w:color="auto"/>
              <w:left w:val="single" w:sz="4" w:space="0" w:color="auto"/>
              <w:bottom w:val="single" w:sz="4" w:space="0" w:color="auto"/>
              <w:right w:val="single" w:sz="4" w:space="0" w:color="auto"/>
            </w:tcBorders>
          </w:tcPr>
          <w:p w14:paraId="4D1C0B5B" w14:textId="77777777" w:rsidR="006B58C5" w:rsidRPr="00767FBD" w:rsidRDefault="006B58C5" w:rsidP="00A50307">
            <w:pPr>
              <w:ind w:left="142"/>
              <w:jc w:val="center"/>
              <w:rPr>
                <w:rFonts w:ascii="Cambria" w:hAnsi="Cambria"/>
                <w:b/>
                <w:lang w:eastAsia="en-GB"/>
              </w:rPr>
            </w:pPr>
          </w:p>
        </w:tc>
        <w:tc>
          <w:tcPr>
            <w:tcW w:w="4673" w:type="dxa"/>
            <w:tcBorders>
              <w:top w:val="single" w:sz="4" w:space="0" w:color="auto"/>
              <w:left w:val="single" w:sz="4" w:space="0" w:color="auto"/>
              <w:bottom w:val="single" w:sz="4" w:space="0" w:color="auto"/>
              <w:right w:val="single" w:sz="4" w:space="0" w:color="auto"/>
            </w:tcBorders>
          </w:tcPr>
          <w:p w14:paraId="47EC8F61" w14:textId="77777777" w:rsidR="006B58C5" w:rsidRPr="00767FBD" w:rsidRDefault="006B58C5" w:rsidP="00A50307">
            <w:pPr>
              <w:ind w:left="142"/>
              <w:jc w:val="both"/>
              <w:rPr>
                <w:rFonts w:ascii="Cambria" w:hAnsi="Cambria"/>
                <w:b/>
                <w:lang w:eastAsia="en-GB"/>
              </w:rPr>
            </w:pPr>
          </w:p>
        </w:tc>
      </w:tr>
      <w:tr w:rsidR="006B58C5" w:rsidRPr="00767FBD" w14:paraId="7E2729DD" w14:textId="77777777" w:rsidTr="00A50307">
        <w:trPr>
          <w:trHeight w:val="137"/>
        </w:trPr>
        <w:tc>
          <w:tcPr>
            <w:tcW w:w="1555" w:type="dxa"/>
            <w:tcBorders>
              <w:top w:val="single" w:sz="4" w:space="0" w:color="auto"/>
              <w:left w:val="single" w:sz="4" w:space="0" w:color="auto"/>
              <w:bottom w:val="single" w:sz="4" w:space="0" w:color="auto"/>
              <w:right w:val="single" w:sz="4" w:space="0" w:color="auto"/>
            </w:tcBorders>
          </w:tcPr>
          <w:p w14:paraId="54182E08" w14:textId="77777777" w:rsidR="006B58C5" w:rsidRPr="00767FBD" w:rsidRDefault="006B58C5" w:rsidP="00A50307">
            <w:pPr>
              <w:ind w:left="22"/>
              <w:jc w:val="both"/>
              <w:rPr>
                <w:rFonts w:ascii="Cambria" w:hAnsi="Cambria"/>
              </w:rPr>
            </w:pPr>
            <w:r w:rsidRPr="00767FBD">
              <w:rPr>
                <w:rFonts w:ascii="Cambria" w:hAnsi="Cambria"/>
              </w:rPr>
              <w:t>MAP (%)</w:t>
            </w:r>
          </w:p>
        </w:tc>
        <w:tc>
          <w:tcPr>
            <w:tcW w:w="5386" w:type="dxa"/>
            <w:tcBorders>
              <w:top w:val="single" w:sz="4" w:space="0" w:color="auto"/>
              <w:left w:val="single" w:sz="4" w:space="0" w:color="auto"/>
              <w:bottom w:val="single" w:sz="4" w:space="0" w:color="auto"/>
              <w:right w:val="single" w:sz="4" w:space="0" w:color="auto"/>
            </w:tcBorders>
            <w:hideMark/>
          </w:tcPr>
          <w:p w14:paraId="3EAACBD0" w14:textId="77777777" w:rsidR="006B58C5" w:rsidRPr="00767FBD" w:rsidRDefault="006B58C5" w:rsidP="00A50307">
            <w:pPr>
              <w:ind w:left="142"/>
              <w:jc w:val="both"/>
              <w:rPr>
                <w:rFonts w:ascii="Cambria" w:hAnsi="Cambria"/>
                <w:b/>
                <w:bCs/>
              </w:rPr>
            </w:pPr>
            <w:r w:rsidRPr="00767FBD">
              <w:rPr>
                <w:rFonts w:ascii="Cambria" w:hAnsi="Cambria"/>
                <w:b/>
                <w:bCs/>
              </w:rPr>
              <w:t>4.1 Cambio medio absoluto proporcional en la captura</w:t>
            </w:r>
          </w:p>
        </w:tc>
        <w:tc>
          <w:tcPr>
            <w:tcW w:w="1418" w:type="dxa"/>
            <w:tcBorders>
              <w:top w:val="single" w:sz="4" w:space="0" w:color="auto"/>
              <w:left w:val="single" w:sz="4" w:space="0" w:color="auto"/>
              <w:bottom w:val="single" w:sz="4" w:space="0" w:color="auto"/>
              <w:right w:val="single" w:sz="4" w:space="0" w:color="auto"/>
            </w:tcBorders>
            <w:hideMark/>
          </w:tcPr>
          <w:p w14:paraId="3959BB69" w14:textId="77777777" w:rsidR="006B58C5" w:rsidRPr="00767FBD" w:rsidRDefault="006B58C5" w:rsidP="00A50307">
            <w:pPr>
              <w:ind w:left="142"/>
              <w:jc w:val="center"/>
              <w:rPr>
                <w:rFonts w:ascii="Cambria" w:hAnsi="Cambria"/>
              </w:rPr>
            </w:pPr>
            <w:r w:rsidRPr="00767FBD">
              <w:rPr>
                <w:rFonts w:ascii="Cambria" w:hAnsi="Cambria"/>
              </w:rPr>
              <w:t>Captura (C)</w:t>
            </w:r>
          </w:p>
        </w:tc>
        <w:tc>
          <w:tcPr>
            <w:tcW w:w="4673" w:type="dxa"/>
            <w:tcBorders>
              <w:top w:val="single" w:sz="4" w:space="0" w:color="auto"/>
              <w:left w:val="single" w:sz="4" w:space="0" w:color="auto"/>
              <w:bottom w:val="single" w:sz="4" w:space="0" w:color="auto"/>
              <w:right w:val="single" w:sz="4" w:space="0" w:color="auto"/>
            </w:tcBorders>
            <w:hideMark/>
          </w:tcPr>
          <w:p w14:paraId="4277849C" w14:textId="77777777" w:rsidR="006B58C5" w:rsidRPr="00767FBD" w:rsidRDefault="006B58C5" w:rsidP="00A50307">
            <w:pPr>
              <w:ind w:left="142"/>
              <w:jc w:val="both"/>
              <w:rPr>
                <w:rFonts w:ascii="Cambria" w:hAnsi="Cambria"/>
              </w:rPr>
            </w:pPr>
            <w:r w:rsidRPr="00767FBD">
              <w:rPr>
                <w:rFonts w:ascii="Cambria" w:hAnsi="Cambria"/>
              </w:rPr>
              <w:t>Media durante [X] años de (C</w:t>
            </w:r>
            <w:r w:rsidRPr="00767FBD">
              <w:rPr>
                <w:rFonts w:ascii="Cambria" w:hAnsi="Cambria"/>
                <w:vertAlign w:val="subscript"/>
              </w:rPr>
              <w:t>n</w:t>
            </w:r>
            <w:r w:rsidRPr="00767FBD">
              <w:rPr>
                <w:rFonts w:ascii="Cambria" w:hAnsi="Cambria"/>
              </w:rPr>
              <w:t>-C</w:t>
            </w:r>
            <w:r w:rsidRPr="00767FBD">
              <w:rPr>
                <w:rFonts w:ascii="Cambria" w:hAnsi="Cambria"/>
                <w:vertAlign w:val="subscript"/>
              </w:rPr>
              <w:t>n-1</w:t>
            </w:r>
            <w:r w:rsidRPr="00767FBD">
              <w:rPr>
                <w:rFonts w:ascii="Cambria" w:hAnsi="Cambria"/>
              </w:rPr>
              <w:t>) / C</w:t>
            </w:r>
            <w:r w:rsidRPr="00767FBD">
              <w:rPr>
                <w:rFonts w:ascii="Cambria" w:hAnsi="Cambria"/>
                <w:vertAlign w:val="subscript"/>
              </w:rPr>
              <w:t>n-1</w:t>
            </w:r>
          </w:p>
        </w:tc>
      </w:tr>
      <w:tr w:rsidR="006B58C5" w:rsidRPr="00767FBD" w14:paraId="45100415" w14:textId="77777777" w:rsidTr="00A50307">
        <w:trPr>
          <w:trHeight w:val="137"/>
        </w:trPr>
        <w:tc>
          <w:tcPr>
            <w:tcW w:w="1555" w:type="dxa"/>
            <w:tcBorders>
              <w:top w:val="single" w:sz="4" w:space="0" w:color="auto"/>
              <w:left w:val="single" w:sz="4" w:space="0" w:color="auto"/>
              <w:bottom w:val="single" w:sz="4" w:space="0" w:color="auto"/>
              <w:right w:val="single" w:sz="4" w:space="0" w:color="auto"/>
            </w:tcBorders>
          </w:tcPr>
          <w:p w14:paraId="3F7DF148" w14:textId="77777777" w:rsidR="006B58C5" w:rsidRPr="00767FBD" w:rsidRDefault="006B58C5" w:rsidP="00A50307">
            <w:pPr>
              <w:ind w:left="22"/>
              <w:jc w:val="both"/>
              <w:rPr>
                <w:rFonts w:ascii="Cambria" w:hAnsi="Cambria"/>
              </w:rPr>
            </w:pPr>
            <w:proofErr w:type="spellStart"/>
            <w:r w:rsidRPr="00767FBD">
              <w:rPr>
                <w:rFonts w:ascii="Cambria" w:hAnsi="Cambria"/>
              </w:rPr>
              <w:t>var</w:t>
            </w:r>
            <w:proofErr w:type="spellEnd"/>
          </w:p>
        </w:tc>
        <w:tc>
          <w:tcPr>
            <w:tcW w:w="5386" w:type="dxa"/>
            <w:tcBorders>
              <w:top w:val="single" w:sz="4" w:space="0" w:color="auto"/>
              <w:left w:val="single" w:sz="4" w:space="0" w:color="auto"/>
              <w:bottom w:val="single" w:sz="4" w:space="0" w:color="auto"/>
              <w:right w:val="single" w:sz="4" w:space="0" w:color="auto"/>
            </w:tcBorders>
            <w:hideMark/>
          </w:tcPr>
          <w:p w14:paraId="5D9E2382" w14:textId="77777777" w:rsidR="006B58C5" w:rsidRPr="00767FBD" w:rsidRDefault="006B58C5" w:rsidP="00A50307">
            <w:pPr>
              <w:ind w:left="142"/>
              <w:jc w:val="both"/>
              <w:rPr>
                <w:rFonts w:ascii="Cambria" w:hAnsi="Cambria"/>
              </w:rPr>
            </w:pPr>
            <w:r w:rsidRPr="00767FBD">
              <w:rPr>
                <w:rFonts w:ascii="Cambria" w:hAnsi="Cambria"/>
              </w:rPr>
              <w:t>4.2 Variación en la captura</w:t>
            </w:r>
          </w:p>
        </w:tc>
        <w:tc>
          <w:tcPr>
            <w:tcW w:w="1418" w:type="dxa"/>
            <w:tcBorders>
              <w:top w:val="single" w:sz="4" w:space="0" w:color="auto"/>
              <w:left w:val="single" w:sz="4" w:space="0" w:color="auto"/>
              <w:bottom w:val="single" w:sz="4" w:space="0" w:color="auto"/>
              <w:right w:val="single" w:sz="4" w:space="0" w:color="auto"/>
            </w:tcBorders>
            <w:hideMark/>
          </w:tcPr>
          <w:p w14:paraId="16C50F97" w14:textId="77777777" w:rsidR="006B58C5" w:rsidRPr="00767FBD" w:rsidRDefault="006B58C5" w:rsidP="00A50307">
            <w:pPr>
              <w:ind w:left="142"/>
              <w:jc w:val="center"/>
              <w:rPr>
                <w:rFonts w:ascii="Cambria" w:hAnsi="Cambria"/>
              </w:rPr>
            </w:pPr>
            <w:r w:rsidRPr="00767FBD">
              <w:rPr>
                <w:rFonts w:ascii="Cambria" w:hAnsi="Cambria"/>
              </w:rPr>
              <w:t>Captura (C)</w:t>
            </w:r>
          </w:p>
        </w:tc>
        <w:tc>
          <w:tcPr>
            <w:tcW w:w="4673" w:type="dxa"/>
            <w:tcBorders>
              <w:top w:val="single" w:sz="4" w:space="0" w:color="auto"/>
              <w:left w:val="single" w:sz="4" w:space="0" w:color="auto"/>
              <w:bottom w:val="single" w:sz="4" w:space="0" w:color="auto"/>
              <w:right w:val="single" w:sz="4" w:space="0" w:color="auto"/>
            </w:tcBorders>
            <w:hideMark/>
          </w:tcPr>
          <w:p w14:paraId="20F3D3C6" w14:textId="77777777" w:rsidR="006B58C5" w:rsidRPr="00767FBD" w:rsidRDefault="006B58C5" w:rsidP="00A50307">
            <w:pPr>
              <w:ind w:left="142"/>
              <w:jc w:val="both"/>
              <w:rPr>
                <w:rFonts w:ascii="Cambria" w:hAnsi="Cambria"/>
              </w:rPr>
            </w:pPr>
            <w:r w:rsidRPr="00767FBD">
              <w:rPr>
                <w:rFonts w:ascii="Cambria" w:hAnsi="Cambria"/>
              </w:rPr>
              <w:t>Variación durante [X] años</w:t>
            </w:r>
          </w:p>
        </w:tc>
      </w:tr>
      <w:tr w:rsidR="006B58C5" w:rsidRPr="00767FBD" w14:paraId="10342931" w14:textId="77777777" w:rsidTr="00A50307">
        <w:trPr>
          <w:trHeight w:val="137"/>
        </w:trPr>
        <w:tc>
          <w:tcPr>
            <w:tcW w:w="1555" w:type="dxa"/>
            <w:tcBorders>
              <w:top w:val="single" w:sz="4" w:space="0" w:color="auto"/>
              <w:left w:val="single" w:sz="4" w:space="0" w:color="auto"/>
              <w:bottom w:val="single" w:sz="4" w:space="0" w:color="auto"/>
              <w:right w:val="single" w:sz="4" w:space="0" w:color="auto"/>
            </w:tcBorders>
          </w:tcPr>
          <w:p w14:paraId="12797977" w14:textId="77777777" w:rsidR="006B58C5" w:rsidRPr="00767FBD" w:rsidRDefault="006B58C5" w:rsidP="00A50307">
            <w:pPr>
              <w:ind w:left="22"/>
              <w:jc w:val="both"/>
              <w:rPr>
                <w:rFonts w:ascii="Cambria" w:hAnsi="Cambria"/>
              </w:rPr>
            </w:pPr>
            <w:proofErr w:type="spellStart"/>
            <w:r w:rsidRPr="00767FBD">
              <w:rPr>
                <w:rFonts w:ascii="Cambria" w:hAnsi="Cambria"/>
              </w:rPr>
              <w:t>Pshut</w:t>
            </w:r>
            <w:proofErr w:type="spellEnd"/>
          </w:p>
        </w:tc>
        <w:tc>
          <w:tcPr>
            <w:tcW w:w="5386" w:type="dxa"/>
            <w:tcBorders>
              <w:top w:val="single" w:sz="4" w:space="0" w:color="auto"/>
              <w:left w:val="single" w:sz="4" w:space="0" w:color="auto"/>
              <w:bottom w:val="single" w:sz="4" w:space="0" w:color="auto"/>
              <w:right w:val="single" w:sz="4" w:space="0" w:color="auto"/>
            </w:tcBorders>
            <w:hideMark/>
          </w:tcPr>
          <w:p w14:paraId="593589EB" w14:textId="77777777" w:rsidR="006B58C5" w:rsidRPr="00767FBD" w:rsidRDefault="006B58C5" w:rsidP="00A50307">
            <w:pPr>
              <w:ind w:left="142"/>
              <w:jc w:val="both"/>
              <w:rPr>
                <w:rFonts w:ascii="Cambria" w:hAnsi="Cambria"/>
              </w:rPr>
            </w:pPr>
            <w:r w:rsidRPr="00767FBD">
              <w:rPr>
                <w:rFonts w:ascii="Cambria" w:hAnsi="Cambria"/>
              </w:rPr>
              <w:t>4.3 Probabilidad de cierre</w:t>
            </w:r>
          </w:p>
        </w:tc>
        <w:tc>
          <w:tcPr>
            <w:tcW w:w="1418" w:type="dxa"/>
            <w:tcBorders>
              <w:top w:val="single" w:sz="4" w:space="0" w:color="auto"/>
              <w:left w:val="single" w:sz="4" w:space="0" w:color="auto"/>
              <w:bottom w:val="single" w:sz="4" w:space="0" w:color="auto"/>
              <w:right w:val="single" w:sz="4" w:space="0" w:color="auto"/>
            </w:tcBorders>
            <w:hideMark/>
          </w:tcPr>
          <w:p w14:paraId="75F8E558" w14:textId="77777777" w:rsidR="006B58C5" w:rsidRPr="00767FBD" w:rsidRDefault="006B58C5" w:rsidP="00A50307">
            <w:pPr>
              <w:ind w:left="142"/>
              <w:jc w:val="center"/>
              <w:rPr>
                <w:rFonts w:ascii="Cambria" w:eastAsiaTheme="minorEastAsia" w:hAnsi="Cambria"/>
              </w:rPr>
            </w:pPr>
            <w:r w:rsidRPr="00767FBD">
              <w:rPr>
                <w:rFonts w:ascii="Cambria" w:hAnsi="Cambria"/>
              </w:rPr>
              <w:t>TAC</w:t>
            </w:r>
          </w:p>
        </w:tc>
        <w:tc>
          <w:tcPr>
            <w:tcW w:w="4673" w:type="dxa"/>
            <w:tcBorders>
              <w:top w:val="single" w:sz="4" w:space="0" w:color="auto"/>
              <w:left w:val="single" w:sz="4" w:space="0" w:color="auto"/>
              <w:bottom w:val="single" w:sz="4" w:space="0" w:color="auto"/>
              <w:right w:val="single" w:sz="4" w:space="0" w:color="auto"/>
            </w:tcBorders>
            <w:hideMark/>
          </w:tcPr>
          <w:p w14:paraId="68834D2A" w14:textId="77777777" w:rsidR="006B58C5" w:rsidRPr="00767FBD" w:rsidRDefault="006B58C5" w:rsidP="00A50307">
            <w:pPr>
              <w:ind w:left="142"/>
              <w:jc w:val="both"/>
              <w:rPr>
                <w:rFonts w:ascii="Cambria" w:hAnsi="Cambria"/>
              </w:rPr>
            </w:pPr>
            <w:r w:rsidRPr="00767FBD">
              <w:rPr>
                <w:rFonts w:ascii="Cambria" w:hAnsi="Cambria"/>
              </w:rPr>
              <w:t>Proporción de años en que TAC=0</w:t>
            </w:r>
          </w:p>
        </w:tc>
      </w:tr>
      <w:tr w:rsidR="006B58C5" w:rsidRPr="00767FBD" w14:paraId="4CD2DC4D" w14:textId="77777777" w:rsidTr="00A50307">
        <w:trPr>
          <w:trHeight w:val="321"/>
        </w:trPr>
        <w:tc>
          <w:tcPr>
            <w:tcW w:w="1555" w:type="dxa"/>
            <w:tcBorders>
              <w:top w:val="single" w:sz="4" w:space="0" w:color="auto"/>
              <w:left w:val="single" w:sz="4" w:space="0" w:color="auto"/>
              <w:bottom w:val="single" w:sz="4" w:space="0" w:color="auto"/>
              <w:right w:val="single" w:sz="4" w:space="0" w:color="auto"/>
            </w:tcBorders>
          </w:tcPr>
          <w:p w14:paraId="3C1CE39D" w14:textId="77777777" w:rsidR="006B58C5" w:rsidRPr="00767FBD" w:rsidRDefault="006B58C5" w:rsidP="00A50307">
            <w:pPr>
              <w:ind w:left="22"/>
              <w:jc w:val="both"/>
              <w:rPr>
                <w:rFonts w:ascii="Cambria" w:eastAsiaTheme="minorEastAsia" w:hAnsi="Cambria"/>
              </w:rPr>
            </w:pPr>
            <w:r w:rsidRPr="00767FBD">
              <w:rPr>
                <w:rFonts w:ascii="Cambria" w:hAnsi="Cambria"/>
              </w:rPr>
              <w:t>P10%</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B54DB52" w14:textId="77777777" w:rsidR="006B58C5" w:rsidRPr="00767FBD" w:rsidRDefault="006B58C5" w:rsidP="00A50307">
            <w:pPr>
              <w:ind w:left="142"/>
              <w:jc w:val="both"/>
              <w:rPr>
                <w:rFonts w:ascii="Cambria" w:eastAsiaTheme="minorEastAsia" w:hAnsi="Cambria"/>
              </w:rPr>
            </w:pPr>
            <w:r w:rsidRPr="00767FBD">
              <w:rPr>
                <w:rFonts w:ascii="Cambria" w:hAnsi="Cambria"/>
              </w:rPr>
              <w:t>4.4 Probabilidad de cambio en el TAC por encima de cierto nivel</w:t>
            </w:r>
            <w:r w:rsidRPr="00767FBD">
              <w:rPr>
                <w:rFonts w:ascii="Cambria" w:eastAsiaTheme="minorEastAsia" w:hAnsi="Cambria"/>
                <w:vertAlign w:val="superscript"/>
                <w:lang w:eastAsia="ja-JP"/>
              </w:rPr>
              <w:footnoteReference w:id="8"/>
            </w:r>
          </w:p>
        </w:tc>
        <w:tc>
          <w:tcPr>
            <w:tcW w:w="1418" w:type="dxa"/>
            <w:tcBorders>
              <w:top w:val="single" w:sz="4" w:space="0" w:color="auto"/>
              <w:left w:val="single" w:sz="4" w:space="0" w:color="auto"/>
              <w:bottom w:val="single" w:sz="4" w:space="0" w:color="auto"/>
              <w:right w:val="single" w:sz="4" w:space="0" w:color="auto"/>
            </w:tcBorders>
            <w:vAlign w:val="center"/>
            <w:hideMark/>
          </w:tcPr>
          <w:p w14:paraId="416EB819" w14:textId="77777777" w:rsidR="006B58C5" w:rsidRPr="00767FBD" w:rsidRDefault="006B58C5" w:rsidP="00A50307">
            <w:pPr>
              <w:ind w:left="142"/>
              <w:jc w:val="center"/>
              <w:rPr>
                <w:rFonts w:ascii="Cambria" w:eastAsiaTheme="minorEastAsia" w:hAnsi="Cambria"/>
              </w:rPr>
            </w:pPr>
            <w:r w:rsidRPr="00767FBD">
              <w:rPr>
                <w:rFonts w:ascii="Cambria" w:hAnsi="Cambria"/>
              </w:rPr>
              <w:t>TAC</w:t>
            </w:r>
          </w:p>
        </w:tc>
        <w:tc>
          <w:tcPr>
            <w:tcW w:w="4673" w:type="dxa"/>
            <w:tcBorders>
              <w:top w:val="single" w:sz="4" w:space="0" w:color="auto"/>
              <w:left w:val="single" w:sz="4" w:space="0" w:color="auto"/>
              <w:bottom w:val="single" w:sz="4" w:space="0" w:color="auto"/>
              <w:right w:val="single" w:sz="4" w:space="0" w:color="auto"/>
            </w:tcBorders>
            <w:hideMark/>
          </w:tcPr>
          <w:p w14:paraId="4F9972B8" w14:textId="77777777" w:rsidR="006B58C5" w:rsidRPr="00767FBD" w:rsidRDefault="006B58C5" w:rsidP="00A50307">
            <w:pPr>
              <w:ind w:left="142"/>
              <w:jc w:val="both"/>
              <w:rPr>
                <w:rFonts w:ascii="Cambria" w:eastAsiaTheme="minorEastAsia" w:hAnsi="Cambria"/>
              </w:rPr>
            </w:pPr>
            <w:r w:rsidRPr="00767FBD">
              <w:rPr>
                <w:rFonts w:ascii="Cambria" w:hAnsi="Cambria"/>
              </w:rPr>
              <w:t>Proporción de ciclos de ordenación en los que la ratio de cambio</w:t>
            </w:r>
            <w:r w:rsidRPr="00767FBD">
              <w:rPr>
                <w:rFonts w:ascii="Cambria" w:eastAsiaTheme="minorEastAsia" w:hAnsi="Cambria"/>
                <w:vertAlign w:val="superscript"/>
                <w:lang w:eastAsia="ja-JP"/>
              </w:rPr>
              <w:footnoteReference w:id="9"/>
            </w:r>
            <w:r w:rsidRPr="00767FBD">
              <w:rPr>
                <w:rFonts w:ascii="Cambria" w:hAnsi="Cambria"/>
              </w:rPr>
              <w:t xml:space="preserve"> (TAC</w:t>
            </w:r>
            <w:r w:rsidRPr="00767FBD">
              <w:rPr>
                <w:rFonts w:ascii="Cambria" w:hAnsi="Cambria"/>
                <w:vertAlign w:val="subscript"/>
              </w:rPr>
              <w:t>n</w:t>
            </w:r>
            <w:r w:rsidRPr="00767FBD">
              <w:rPr>
                <w:rFonts w:ascii="Cambria" w:hAnsi="Cambria"/>
              </w:rPr>
              <w:t>-TAC</w:t>
            </w:r>
            <w:r w:rsidRPr="00767FBD">
              <w:rPr>
                <w:rFonts w:ascii="Cambria" w:hAnsi="Cambria"/>
                <w:vertAlign w:val="subscript"/>
              </w:rPr>
              <w:t>n-1</w:t>
            </w:r>
            <w:r w:rsidRPr="00767FBD">
              <w:rPr>
                <w:rFonts w:ascii="Cambria" w:hAnsi="Cambria"/>
              </w:rPr>
              <w:t>) / TAC</w:t>
            </w:r>
            <w:r w:rsidRPr="00767FBD">
              <w:rPr>
                <w:rFonts w:ascii="Cambria" w:hAnsi="Cambria"/>
                <w:vertAlign w:val="subscript"/>
              </w:rPr>
              <w:t>n-1</w:t>
            </w:r>
            <w:r w:rsidRPr="00767FBD">
              <w:rPr>
                <w:rFonts w:ascii="Cambria" w:hAnsi="Cambria"/>
              </w:rPr>
              <w:t xml:space="preserve"> &gt; X %  </w:t>
            </w:r>
          </w:p>
        </w:tc>
      </w:tr>
      <w:tr w:rsidR="006B58C5" w:rsidRPr="00767FBD" w14:paraId="621CD2FF" w14:textId="77777777" w:rsidTr="00A50307">
        <w:trPr>
          <w:trHeight w:val="91"/>
        </w:trPr>
        <w:tc>
          <w:tcPr>
            <w:tcW w:w="1555" w:type="dxa"/>
            <w:tcBorders>
              <w:top w:val="single" w:sz="4" w:space="0" w:color="auto"/>
              <w:left w:val="single" w:sz="4" w:space="0" w:color="auto"/>
              <w:bottom w:val="single" w:sz="4" w:space="0" w:color="auto"/>
              <w:right w:val="single" w:sz="4" w:space="0" w:color="auto"/>
            </w:tcBorders>
          </w:tcPr>
          <w:p w14:paraId="505A5F8C" w14:textId="77777777" w:rsidR="006B58C5" w:rsidRPr="00767FBD" w:rsidRDefault="006B58C5" w:rsidP="00A50307">
            <w:pPr>
              <w:ind w:left="22"/>
              <w:jc w:val="both"/>
              <w:rPr>
                <w:rFonts w:ascii="Cambria" w:hAnsi="Cambria"/>
              </w:rPr>
            </w:pPr>
            <w:proofErr w:type="spellStart"/>
            <w:r w:rsidRPr="00767FBD">
              <w:rPr>
                <w:rFonts w:ascii="Cambria" w:hAnsi="Cambria"/>
              </w:rPr>
              <w:t>MaxTACc</w:t>
            </w:r>
            <w:proofErr w:type="spellEnd"/>
          </w:p>
        </w:tc>
        <w:tc>
          <w:tcPr>
            <w:tcW w:w="5386" w:type="dxa"/>
            <w:tcBorders>
              <w:top w:val="single" w:sz="4" w:space="0" w:color="auto"/>
              <w:left w:val="single" w:sz="4" w:space="0" w:color="auto"/>
              <w:bottom w:val="single" w:sz="4" w:space="0" w:color="auto"/>
              <w:right w:val="single" w:sz="4" w:space="0" w:color="auto"/>
            </w:tcBorders>
            <w:hideMark/>
          </w:tcPr>
          <w:p w14:paraId="36105514" w14:textId="77777777" w:rsidR="006B58C5" w:rsidRPr="00767FBD" w:rsidRDefault="006B58C5" w:rsidP="00A50307">
            <w:pPr>
              <w:ind w:left="142"/>
              <w:jc w:val="both"/>
              <w:rPr>
                <w:rFonts w:ascii="Cambria" w:eastAsiaTheme="minorEastAsia" w:hAnsi="Cambria"/>
              </w:rPr>
            </w:pPr>
            <w:r w:rsidRPr="00767FBD">
              <w:rPr>
                <w:rFonts w:ascii="Cambria" w:hAnsi="Cambria"/>
              </w:rPr>
              <w:t>4.5 Cantidad máxima del cambio en el TAC entre periodos de ordenación</w:t>
            </w:r>
          </w:p>
        </w:tc>
        <w:tc>
          <w:tcPr>
            <w:tcW w:w="1418" w:type="dxa"/>
            <w:tcBorders>
              <w:top w:val="single" w:sz="4" w:space="0" w:color="auto"/>
              <w:left w:val="single" w:sz="4" w:space="0" w:color="auto"/>
              <w:bottom w:val="single" w:sz="4" w:space="0" w:color="auto"/>
              <w:right w:val="single" w:sz="4" w:space="0" w:color="auto"/>
            </w:tcBorders>
            <w:hideMark/>
          </w:tcPr>
          <w:p w14:paraId="2B9CA43A" w14:textId="77777777" w:rsidR="006B58C5" w:rsidRPr="00767FBD" w:rsidRDefault="006B58C5" w:rsidP="00A50307">
            <w:pPr>
              <w:ind w:left="142"/>
              <w:jc w:val="center"/>
              <w:rPr>
                <w:rFonts w:ascii="Cambria" w:eastAsiaTheme="minorEastAsia" w:hAnsi="Cambria"/>
              </w:rPr>
            </w:pPr>
            <w:r w:rsidRPr="00767FBD">
              <w:rPr>
                <w:rFonts w:ascii="Cambria" w:hAnsi="Cambria"/>
              </w:rPr>
              <w:t>TAC</w:t>
            </w:r>
          </w:p>
        </w:tc>
        <w:tc>
          <w:tcPr>
            <w:tcW w:w="4673" w:type="dxa"/>
            <w:tcBorders>
              <w:top w:val="single" w:sz="4" w:space="0" w:color="auto"/>
              <w:left w:val="single" w:sz="4" w:space="0" w:color="auto"/>
              <w:bottom w:val="single" w:sz="4" w:space="0" w:color="auto"/>
              <w:right w:val="single" w:sz="4" w:space="0" w:color="auto"/>
            </w:tcBorders>
            <w:hideMark/>
          </w:tcPr>
          <w:p w14:paraId="3355153F" w14:textId="77777777" w:rsidR="006B58C5" w:rsidRPr="00767FBD" w:rsidRDefault="006B58C5" w:rsidP="00A50307">
            <w:pPr>
              <w:ind w:left="142"/>
              <w:jc w:val="both"/>
              <w:rPr>
                <w:rFonts w:ascii="Cambria" w:eastAsiaTheme="minorEastAsia" w:hAnsi="Cambria"/>
              </w:rPr>
            </w:pPr>
            <w:r w:rsidRPr="00767FBD">
              <w:rPr>
                <w:rFonts w:ascii="Cambria" w:hAnsi="Cambria"/>
              </w:rPr>
              <w:t>Ratio máxima de cambio</w:t>
            </w:r>
            <w:r w:rsidRPr="00767FBD">
              <w:rPr>
                <w:rFonts w:ascii="Cambria" w:hAnsi="Cambria"/>
                <w:vertAlign w:val="superscript"/>
                <w:lang w:eastAsia="en-GB"/>
              </w:rPr>
              <w:footnoteReference w:id="10"/>
            </w:r>
          </w:p>
        </w:tc>
      </w:tr>
    </w:tbl>
    <w:p w14:paraId="336AD84C" w14:textId="24EFD6F5" w:rsidR="003A0F43" w:rsidRPr="00767FBD" w:rsidRDefault="003A0F43" w:rsidP="006B58C5">
      <w:pPr>
        <w:spacing w:after="0" w:line="240" w:lineRule="auto"/>
        <w:rPr>
          <w:rFonts w:asciiTheme="majorHAnsi" w:hAnsiTheme="majorHAnsi" w:cs="Cambria-Italic"/>
          <w:sz w:val="20"/>
          <w:szCs w:val="20"/>
        </w:rPr>
      </w:pPr>
    </w:p>
    <w:sectPr w:rsidR="003A0F43" w:rsidRPr="00767FBD" w:rsidSect="001768EB">
      <w:headerReference w:type="default" r:id="rId16"/>
      <w:footnotePr>
        <w:numRestart w:val="eachSect"/>
      </w:footnotePr>
      <w:pgSz w:w="15840" w:h="12240" w:orient="landscape" w:code="1"/>
      <w:pgMar w:top="1418" w:right="1418" w:bottom="1418" w:left="1418" w:header="85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023B9" w14:textId="77777777" w:rsidR="00E21C28" w:rsidRDefault="00E21C28" w:rsidP="00221024">
      <w:pPr>
        <w:spacing w:after="0" w:line="240" w:lineRule="auto"/>
      </w:pPr>
      <w:r>
        <w:separator/>
      </w:r>
    </w:p>
  </w:endnote>
  <w:endnote w:type="continuationSeparator" w:id="0">
    <w:p w14:paraId="4C41FB52" w14:textId="77777777" w:rsidR="00E21C28" w:rsidRDefault="00E21C28" w:rsidP="00221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Bold">
    <w:altName w:val="Cambria"/>
    <w:panose1 w:val="00000000000000000000"/>
    <w:charset w:val="00"/>
    <w:family w:val="roman"/>
    <w:notTrueType/>
    <w:pitch w:val="default"/>
  </w:font>
  <w:font w:name="Cambria-Italic">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4222056"/>
      <w:docPartObj>
        <w:docPartGallery w:val="Page Numbers (Bottom of Page)"/>
        <w:docPartUnique/>
      </w:docPartObj>
    </w:sdtPr>
    <w:sdtEndPr>
      <w:rPr>
        <w:rFonts w:asciiTheme="majorHAnsi" w:hAnsiTheme="majorHAnsi"/>
        <w:noProof/>
        <w:sz w:val="20"/>
        <w:szCs w:val="20"/>
      </w:rPr>
    </w:sdtEndPr>
    <w:sdtContent>
      <w:p w14:paraId="27EB6E5B" w14:textId="30C78FCC" w:rsidR="00910E74" w:rsidRPr="0035444C" w:rsidRDefault="0035444C" w:rsidP="0035444C">
        <w:pPr>
          <w:pStyle w:val="Footer"/>
          <w:jc w:val="center"/>
          <w:rPr>
            <w:rFonts w:asciiTheme="majorHAnsi" w:hAnsiTheme="majorHAnsi"/>
            <w:sz w:val="20"/>
            <w:szCs w:val="20"/>
          </w:rPr>
        </w:pPr>
        <w:r w:rsidRPr="0035444C">
          <w:rPr>
            <w:rFonts w:asciiTheme="majorHAnsi" w:hAnsiTheme="majorHAnsi"/>
            <w:sz w:val="20"/>
            <w:szCs w:val="20"/>
          </w:rPr>
          <w:fldChar w:fldCharType="begin"/>
        </w:r>
        <w:r w:rsidRPr="0035444C">
          <w:rPr>
            <w:rFonts w:asciiTheme="majorHAnsi" w:hAnsiTheme="majorHAnsi"/>
            <w:sz w:val="20"/>
            <w:szCs w:val="20"/>
          </w:rPr>
          <w:instrText xml:space="preserve"> PAGE   \* MERGEFORMAT </w:instrText>
        </w:r>
        <w:r w:rsidRPr="0035444C">
          <w:rPr>
            <w:rFonts w:asciiTheme="majorHAnsi" w:hAnsiTheme="majorHAnsi"/>
            <w:sz w:val="20"/>
            <w:szCs w:val="20"/>
          </w:rPr>
          <w:fldChar w:fldCharType="separate"/>
        </w:r>
        <w:r w:rsidRPr="0035444C">
          <w:rPr>
            <w:rFonts w:asciiTheme="majorHAnsi" w:hAnsiTheme="majorHAnsi"/>
            <w:noProof/>
            <w:sz w:val="20"/>
            <w:szCs w:val="20"/>
          </w:rPr>
          <w:t>2</w:t>
        </w:r>
        <w:r w:rsidRPr="0035444C">
          <w:rPr>
            <w:rFonts w:asciiTheme="majorHAnsi" w:hAnsiTheme="maj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F8106" w14:textId="77777777" w:rsidR="00E21C28" w:rsidRDefault="00E21C28" w:rsidP="00221024">
      <w:pPr>
        <w:spacing w:after="0" w:line="240" w:lineRule="auto"/>
      </w:pPr>
      <w:r>
        <w:separator/>
      </w:r>
    </w:p>
  </w:footnote>
  <w:footnote w:type="continuationSeparator" w:id="0">
    <w:p w14:paraId="24FD66B4" w14:textId="77777777" w:rsidR="00E21C28" w:rsidRDefault="00E21C28" w:rsidP="00221024">
      <w:pPr>
        <w:spacing w:after="0" w:line="240" w:lineRule="auto"/>
      </w:pPr>
      <w:r>
        <w:continuationSeparator/>
      </w:r>
    </w:p>
  </w:footnote>
  <w:footnote w:id="1">
    <w:p w14:paraId="5048596F" w14:textId="396A3FBD" w:rsidR="00D46B4B" w:rsidRPr="00767FBD" w:rsidRDefault="00910E74" w:rsidP="00D46B4B">
      <w:pPr>
        <w:pStyle w:val="FootnoteText"/>
        <w:jc w:val="both"/>
        <w:rPr>
          <w:rFonts w:asciiTheme="majorHAnsi" w:eastAsiaTheme="minorEastAsia" w:hAnsiTheme="majorHAnsi"/>
          <w:sz w:val="16"/>
          <w:szCs w:val="16"/>
        </w:rPr>
      </w:pPr>
      <w:r w:rsidRPr="00767FBD">
        <w:rPr>
          <w:rStyle w:val="FootnoteReference"/>
        </w:rPr>
        <w:footnoteRef/>
      </w:r>
      <w:r w:rsidR="00D46B4B" w:rsidRPr="00767FBD">
        <w:rPr>
          <w:rStyle w:val="FootnoteReference"/>
          <w:rFonts w:asciiTheme="majorHAnsi" w:hAnsiTheme="majorHAnsi"/>
          <w:sz w:val="16"/>
          <w:szCs w:val="16"/>
        </w:rPr>
        <w:footnoteRef/>
      </w:r>
      <w:r w:rsidR="00D46B4B" w:rsidRPr="00767FBD">
        <w:rPr>
          <w:rFonts w:asciiTheme="majorHAnsi" w:hAnsiTheme="majorHAnsi"/>
          <w:sz w:val="16"/>
          <w:szCs w:val="16"/>
        </w:rPr>
        <w:t>B/B</w:t>
      </w:r>
      <w:r w:rsidR="00D46B4B" w:rsidRPr="00767FBD">
        <w:rPr>
          <w:rFonts w:asciiTheme="majorHAnsi" w:hAnsiTheme="majorHAnsi"/>
          <w:sz w:val="16"/>
          <w:szCs w:val="16"/>
          <w:vertAlign w:val="subscript"/>
        </w:rPr>
        <w:t>RMS</w:t>
      </w:r>
      <w:r w:rsidR="00D46B4B" w:rsidRPr="00767FBD">
        <w:rPr>
          <w:rFonts w:asciiTheme="majorHAnsi" w:hAnsiTheme="majorHAnsi"/>
          <w:sz w:val="16"/>
          <w:szCs w:val="16"/>
        </w:rPr>
        <w:t xml:space="preserve"> y F/F</w:t>
      </w:r>
      <w:r w:rsidR="00D46B4B" w:rsidRPr="00767FBD">
        <w:rPr>
          <w:rFonts w:asciiTheme="majorHAnsi" w:hAnsiTheme="majorHAnsi"/>
          <w:sz w:val="16"/>
          <w:szCs w:val="16"/>
          <w:vertAlign w:val="subscript"/>
        </w:rPr>
        <w:t>RMS</w:t>
      </w:r>
      <w:r w:rsidR="00D46B4B" w:rsidRPr="00767FBD">
        <w:rPr>
          <w:rFonts w:asciiTheme="majorHAnsi" w:hAnsiTheme="majorHAnsi"/>
          <w:sz w:val="16"/>
          <w:szCs w:val="16"/>
        </w:rPr>
        <w:t>: en cada evaluación de referencia, las trayectorias estimadas B/B</w:t>
      </w:r>
      <w:r w:rsidR="00D46B4B" w:rsidRPr="00767FBD">
        <w:rPr>
          <w:rFonts w:asciiTheme="majorHAnsi" w:hAnsiTheme="majorHAnsi"/>
          <w:sz w:val="16"/>
          <w:szCs w:val="16"/>
          <w:vertAlign w:val="subscript"/>
        </w:rPr>
        <w:t>RMS</w:t>
      </w:r>
      <w:r w:rsidR="00D46B4B" w:rsidRPr="00767FBD">
        <w:rPr>
          <w:rFonts w:asciiTheme="majorHAnsi" w:hAnsiTheme="majorHAnsi"/>
          <w:sz w:val="16"/>
          <w:szCs w:val="16"/>
        </w:rPr>
        <w:t xml:space="preserve"> y F/F</w:t>
      </w:r>
      <w:r w:rsidR="00D46B4B" w:rsidRPr="00767FBD">
        <w:rPr>
          <w:rFonts w:asciiTheme="majorHAnsi" w:hAnsiTheme="majorHAnsi"/>
          <w:sz w:val="16"/>
          <w:szCs w:val="16"/>
          <w:vertAlign w:val="subscript"/>
        </w:rPr>
        <w:t>RMS</w:t>
      </w:r>
      <w:r w:rsidR="00D46B4B" w:rsidRPr="00767FBD">
        <w:rPr>
          <w:rFonts w:asciiTheme="majorHAnsi" w:hAnsiTheme="majorHAnsi"/>
          <w:sz w:val="16"/>
          <w:szCs w:val="16"/>
        </w:rPr>
        <w:t xml:space="preserve"> se trazan (superpuestas) sobre las utilizadas en los OM (Figuras 19 y 20 del documento consolidado sobre MSE </w:t>
      </w:r>
      <w:r w:rsidR="00625D97" w:rsidRPr="00767FBD">
        <w:rPr>
          <w:rFonts w:ascii="Cambria" w:hAnsi="Cambria"/>
          <w:sz w:val="16"/>
          <w:szCs w:val="16"/>
        </w:rPr>
        <w:t xml:space="preserve">(Merino </w:t>
      </w:r>
      <w:r w:rsidR="00625D97" w:rsidRPr="00767FBD">
        <w:rPr>
          <w:rFonts w:ascii="Cambria" w:hAnsi="Cambria"/>
          <w:i/>
          <w:iCs/>
          <w:sz w:val="16"/>
          <w:szCs w:val="16"/>
        </w:rPr>
        <w:t>et al</w:t>
      </w:r>
      <w:r w:rsidR="00625D97" w:rsidRPr="00767FBD">
        <w:rPr>
          <w:rFonts w:ascii="Cambria" w:hAnsi="Cambria"/>
          <w:sz w:val="16"/>
          <w:szCs w:val="16"/>
        </w:rPr>
        <w:t>. 2020))</w:t>
      </w:r>
      <w:r w:rsidR="00D46B4B" w:rsidRPr="00767FBD">
        <w:rPr>
          <w:rFonts w:asciiTheme="majorHAnsi" w:hAnsiTheme="majorHAnsi"/>
          <w:sz w:val="16"/>
          <w:szCs w:val="16"/>
        </w:rPr>
        <w:t>. El SCRS compararía la nueva trayectoria estimada del stock con la realidad potencial del stock contemplada en los OM. Si la nueva tendencia se encuadra dentro de las tendencias consideradas en los OM, no hay ninguna circunstancia excepcional. Los criterios, tal y como están redactados, implican que, si en un solo año la biomasa o la mortalidad por pesca relativas quedan fuera de los valores considerados en los OM, el SCRS identificaría una circunstancia excepcional.</w:t>
      </w:r>
    </w:p>
  </w:footnote>
  <w:footnote w:id="2">
    <w:p w14:paraId="029BC93A" w14:textId="77777777" w:rsidR="00D46B4B" w:rsidRPr="00767FBD" w:rsidRDefault="00D46B4B" w:rsidP="00D46B4B">
      <w:pPr>
        <w:pStyle w:val="FootnoteText"/>
        <w:jc w:val="both"/>
        <w:rPr>
          <w:rFonts w:asciiTheme="majorHAnsi" w:eastAsiaTheme="minorEastAsia" w:hAnsiTheme="majorHAnsi"/>
          <w:sz w:val="2"/>
          <w:szCs w:val="2"/>
          <w:lang w:eastAsia="ja-JP"/>
        </w:rPr>
      </w:pPr>
    </w:p>
  </w:footnote>
  <w:footnote w:id="3">
    <w:p w14:paraId="2D8357A4" w14:textId="463BA956" w:rsidR="00D46B4B" w:rsidRPr="00767FBD" w:rsidRDefault="00D46B4B" w:rsidP="00D46B4B">
      <w:pPr>
        <w:pStyle w:val="FootnoteText"/>
        <w:jc w:val="both"/>
        <w:rPr>
          <w:rStyle w:val="FootnoteReference"/>
          <w:rFonts w:asciiTheme="majorHAnsi" w:hAnsiTheme="majorHAnsi"/>
          <w:sz w:val="16"/>
          <w:szCs w:val="16"/>
        </w:rPr>
      </w:pPr>
      <w:r w:rsidRPr="00767FBD">
        <w:rPr>
          <w:rStyle w:val="FootnoteReference"/>
          <w:rFonts w:asciiTheme="majorHAnsi" w:hAnsiTheme="majorHAnsi"/>
          <w:sz w:val="16"/>
          <w:szCs w:val="16"/>
          <w:lang w:val="es-ES_tradnl"/>
        </w:rPr>
        <w:footnoteRef/>
      </w:r>
      <w:r w:rsidRPr="00767FBD">
        <w:rPr>
          <w:rStyle w:val="FootnoteReference"/>
          <w:rFonts w:asciiTheme="majorHAnsi" w:hAnsiTheme="majorHAnsi"/>
          <w:sz w:val="16"/>
          <w:szCs w:val="16"/>
        </w:rPr>
        <w:t xml:space="preserve">   </w:t>
      </w:r>
      <w:r w:rsidRPr="00767FBD">
        <w:rPr>
          <w:rStyle w:val="FootnoteReference"/>
          <w:rFonts w:asciiTheme="majorHAnsi" w:hAnsiTheme="majorHAnsi"/>
          <w:sz w:val="16"/>
          <w:szCs w:val="16"/>
          <w:vertAlign w:val="baseline"/>
        </w:rPr>
        <w:t>Valores de crecimiento, madurez y mortalidad natural según el documento consolidado</w:t>
      </w:r>
      <w:r w:rsidRPr="00767FBD">
        <w:rPr>
          <w:rStyle w:val="FootnoteReference"/>
          <w:rFonts w:asciiTheme="majorHAnsi" w:hAnsiTheme="majorHAnsi"/>
          <w:sz w:val="16"/>
          <w:szCs w:val="16"/>
        </w:rPr>
        <w:t xml:space="preserve"> </w:t>
      </w:r>
      <w:r w:rsidR="00625D97" w:rsidRPr="00767FBD">
        <w:rPr>
          <w:rFonts w:ascii="Cambria" w:hAnsi="Cambria"/>
          <w:sz w:val="16"/>
          <w:szCs w:val="16"/>
        </w:rPr>
        <w:t xml:space="preserve">(Merino </w:t>
      </w:r>
      <w:r w:rsidR="00625D97" w:rsidRPr="00767FBD">
        <w:rPr>
          <w:rFonts w:ascii="Cambria" w:hAnsi="Cambria"/>
          <w:i/>
          <w:iCs/>
          <w:sz w:val="16"/>
          <w:szCs w:val="16"/>
        </w:rPr>
        <w:t>et al</w:t>
      </w:r>
      <w:r w:rsidR="00625D97" w:rsidRPr="00767FBD">
        <w:rPr>
          <w:rFonts w:ascii="Cambria" w:hAnsi="Cambria"/>
          <w:sz w:val="16"/>
          <w:szCs w:val="16"/>
        </w:rPr>
        <w:t>. 2020)</w:t>
      </w:r>
      <w:r w:rsidR="00625D97" w:rsidRPr="00767FBD">
        <w:rPr>
          <w:rFonts w:asciiTheme="majorHAnsi" w:hAnsiTheme="majorHAnsi"/>
          <w:sz w:val="16"/>
          <w:szCs w:val="16"/>
        </w:rPr>
        <w:t>.</w:t>
      </w:r>
    </w:p>
  </w:footnote>
  <w:footnote w:id="4">
    <w:p w14:paraId="22C5F072" w14:textId="4F4FC725" w:rsidR="001223E4" w:rsidRPr="00767FBD" w:rsidRDefault="001223E4" w:rsidP="00D46B4B">
      <w:pPr>
        <w:pStyle w:val="FootnoteText"/>
        <w:jc w:val="both"/>
        <w:rPr>
          <w:rFonts w:asciiTheme="majorHAnsi" w:hAnsiTheme="majorHAnsi"/>
          <w:sz w:val="16"/>
          <w:szCs w:val="16"/>
        </w:rPr>
      </w:pPr>
      <w:r w:rsidRPr="00767FBD">
        <w:rPr>
          <w:rStyle w:val="FootnoteReference"/>
          <w:rFonts w:asciiTheme="majorHAnsi" w:hAnsiTheme="majorHAnsi"/>
          <w:sz w:val="16"/>
          <w:szCs w:val="16"/>
        </w:rPr>
        <w:t>3</w:t>
      </w:r>
      <w:r w:rsidRPr="00767FBD">
        <w:rPr>
          <w:rFonts w:asciiTheme="majorHAnsi" w:hAnsiTheme="majorHAnsi"/>
          <w:sz w:val="16"/>
          <w:szCs w:val="16"/>
        </w:rPr>
        <w:t xml:space="preserve"> </w:t>
      </w:r>
      <w:sdt>
        <w:sdtPr>
          <w:rPr>
            <w:rFonts w:asciiTheme="majorHAnsi" w:hAnsiTheme="majorHAnsi"/>
            <w:sz w:val="16"/>
            <w:szCs w:val="16"/>
          </w:rPr>
          <w:tag w:val="goog_rdk_77"/>
          <w:id w:val="1213928122"/>
        </w:sdtPr>
        <w:sdtEndPr/>
        <w:sdtContent>
          <w:r w:rsidRPr="00767FBD">
            <w:rPr>
              <w:rFonts w:asciiTheme="majorHAnsi" w:hAnsiTheme="majorHAnsi"/>
              <w:sz w:val="16"/>
              <w:szCs w:val="16"/>
            </w:rPr>
            <w:t xml:space="preserve">CPUE </w:t>
          </w:r>
        </w:sdtContent>
      </w:sdt>
      <w:sdt>
        <w:sdtPr>
          <w:rPr>
            <w:rFonts w:asciiTheme="majorHAnsi" w:hAnsiTheme="majorHAnsi"/>
            <w:sz w:val="16"/>
            <w:szCs w:val="16"/>
          </w:rPr>
          <w:tag w:val="goog_rdk_78"/>
          <w:id w:val="-1515997419"/>
        </w:sdtPr>
        <w:sdtEndPr/>
        <w:sdtContent>
          <w:r w:rsidRPr="00767FBD">
            <w:rPr>
              <w:rFonts w:asciiTheme="majorHAnsi" w:hAnsiTheme="majorHAnsi"/>
              <w:sz w:val="16"/>
              <w:szCs w:val="16"/>
            </w:rPr>
            <w:t>(</w:t>
          </w:r>
        </w:sdtContent>
      </w:sdt>
      <w:r w:rsidRPr="00767FBD">
        <w:rPr>
          <w:rFonts w:asciiTheme="majorHAnsi" w:hAnsiTheme="majorHAnsi"/>
          <w:sz w:val="16"/>
          <w:szCs w:val="16"/>
        </w:rPr>
        <w:t>solo para el principio de dinámica del stock)</w:t>
      </w:r>
      <w:sdt>
        <w:sdtPr>
          <w:rPr>
            <w:rFonts w:asciiTheme="majorHAnsi" w:hAnsiTheme="majorHAnsi"/>
            <w:sz w:val="16"/>
            <w:szCs w:val="16"/>
          </w:rPr>
          <w:tag w:val="goog_rdk_81"/>
          <w:id w:val="-687371085"/>
        </w:sdtPr>
        <w:sdtEndPr/>
        <w:sdtContent>
          <w:r w:rsidRPr="00767FBD">
            <w:rPr>
              <w:rFonts w:asciiTheme="majorHAnsi" w:hAnsiTheme="majorHAnsi"/>
              <w:sz w:val="16"/>
              <w:szCs w:val="16"/>
            </w:rPr>
            <w:t xml:space="preserve">: </w:t>
          </w:r>
        </w:sdtContent>
      </w:sdt>
      <w:r w:rsidRPr="00767FBD">
        <w:rPr>
          <w:rFonts w:asciiTheme="majorHAnsi" w:hAnsiTheme="majorHAnsi"/>
          <w:sz w:val="16"/>
          <w:szCs w:val="16"/>
        </w:rPr>
        <w:t>cada año el SCRS actualizaría las CPUE estandarizadas y tra</w:t>
      </w:r>
      <w:r w:rsidR="00896F41" w:rsidRPr="00767FBD">
        <w:rPr>
          <w:rFonts w:asciiTheme="majorHAnsi" w:hAnsiTheme="majorHAnsi"/>
          <w:sz w:val="16"/>
          <w:szCs w:val="16"/>
        </w:rPr>
        <w:t>zaría</w:t>
      </w:r>
      <w:r w:rsidRPr="00767FBD">
        <w:rPr>
          <w:rFonts w:asciiTheme="majorHAnsi" w:hAnsiTheme="majorHAnsi"/>
          <w:sz w:val="16"/>
          <w:szCs w:val="16"/>
        </w:rPr>
        <w:t xml:space="preserve"> las nuevas series temporales sobre las utilizadas en la MSE (Figura 23 del documento consolidado sobre la MSE</w:t>
      </w:r>
      <w:r w:rsidR="00625D97" w:rsidRPr="00767FBD">
        <w:rPr>
          <w:rFonts w:asciiTheme="majorHAnsi" w:hAnsiTheme="majorHAnsi"/>
          <w:sz w:val="16"/>
          <w:szCs w:val="16"/>
        </w:rPr>
        <w:t xml:space="preserve"> </w:t>
      </w:r>
      <w:r w:rsidR="00625D97" w:rsidRPr="00767FBD">
        <w:rPr>
          <w:rFonts w:ascii="Cambria" w:hAnsi="Cambria"/>
          <w:sz w:val="16"/>
          <w:szCs w:val="16"/>
        </w:rPr>
        <w:t xml:space="preserve">(Merino </w:t>
      </w:r>
      <w:r w:rsidR="00625D97" w:rsidRPr="00767FBD">
        <w:rPr>
          <w:rFonts w:ascii="Cambria" w:hAnsi="Cambria"/>
          <w:i/>
          <w:iCs/>
          <w:sz w:val="16"/>
          <w:szCs w:val="16"/>
        </w:rPr>
        <w:t>et al</w:t>
      </w:r>
      <w:r w:rsidR="00625D97" w:rsidRPr="00767FBD">
        <w:rPr>
          <w:rFonts w:ascii="Cambria" w:hAnsi="Cambria"/>
          <w:sz w:val="16"/>
          <w:szCs w:val="16"/>
        </w:rPr>
        <w:t>. 2020))</w:t>
      </w:r>
      <w:r w:rsidR="00625D97" w:rsidRPr="00767FBD">
        <w:rPr>
          <w:rFonts w:asciiTheme="majorHAnsi" w:hAnsiTheme="majorHAnsi"/>
          <w:sz w:val="16"/>
          <w:szCs w:val="16"/>
        </w:rPr>
        <w:t xml:space="preserve">. </w:t>
      </w:r>
      <w:r w:rsidRPr="00767FBD">
        <w:rPr>
          <w:rFonts w:asciiTheme="majorHAnsi" w:hAnsiTheme="majorHAnsi"/>
          <w:sz w:val="16"/>
          <w:szCs w:val="16"/>
        </w:rPr>
        <w:t>La tendencia debe</w:t>
      </w:r>
      <w:r w:rsidR="00896F41" w:rsidRPr="00767FBD">
        <w:rPr>
          <w:rFonts w:asciiTheme="majorHAnsi" w:hAnsiTheme="majorHAnsi"/>
          <w:sz w:val="16"/>
          <w:szCs w:val="16"/>
        </w:rPr>
        <w:t>ría</w:t>
      </w:r>
      <w:r w:rsidRPr="00767FBD">
        <w:rPr>
          <w:rFonts w:asciiTheme="majorHAnsi" w:hAnsiTheme="majorHAnsi"/>
          <w:sz w:val="16"/>
          <w:szCs w:val="16"/>
        </w:rPr>
        <w:t xml:space="preserve"> estar dentro de los valores considerados en los OM para cada año. </w:t>
      </w:r>
    </w:p>
    <w:p w14:paraId="1EA602EF" w14:textId="4604B02D" w:rsidR="001223E4" w:rsidRPr="00767FBD" w:rsidRDefault="001223E4" w:rsidP="00D46B4B">
      <w:pPr>
        <w:pStyle w:val="FootnoteText"/>
        <w:jc w:val="both"/>
        <w:rPr>
          <w:rFonts w:asciiTheme="majorHAnsi" w:hAnsiTheme="majorHAnsi"/>
          <w:sz w:val="16"/>
          <w:szCs w:val="16"/>
        </w:rPr>
      </w:pPr>
      <w:r w:rsidRPr="00767FBD">
        <w:rPr>
          <w:rFonts w:asciiTheme="majorHAnsi" w:hAnsiTheme="majorHAnsi"/>
          <w:sz w:val="16"/>
          <w:szCs w:val="16"/>
          <w:vertAlign w:val="superscript"/>
        </w:rPr>
        <w:t>4.</w:t>
      </w:r>
      <w:r w:rsidRPr="00767FBD">
        <w:rPr>
          <w:rFonts w:asciiTheme="majorHAnsi" w:hAnsiTheme="majorHAnsi"/>
          <w:sz w:val="16"/>
          <w:szCs w:val="16"/>
        </w:rPr>
        <w:t xml:space="preserve"> B/B</w:t>
      </w:r>
      <w:r w:rsidRPr="00767FBD">
        <w:rPr>
          <w:rFonts w:asciiTheme="majorHAnsi" w:hAnsiTheme="majorHAnsi"/>
          <w:sz w:val="16"/>
          <w:szCs w:val="16"/>
          <w:vertAlign w:val="subscript"/>
        </w:rPr>
        <w:t>RMS</w:t>
      </w:r>
      <w:r w:rsidRPr="00767FBD">
        <w:rPr>
          <w:rFonts w:asciiTheme="majorHAnsi" w:hAnsiTheme="majorHAnsi"/>
          <w:sz w:val="16"/>
          <w:szCs w:val="16"/>
        </w:rPr>
        <w:t xml:space="preserve"> y F/F</w:t>
      </w:r>
      <w:r w:rsidRPr="00767FBD">
        <w:rPr>
          <w:rFonts w:asciiTheme="majorHAnsi" w:hAnsiTheme="majorHAnsi"/>
          <w:sz w:val="16"/>
          <w:szCs w:val="16"/>
          <w:vertAlign w:val="subscript"/>
        </w:rPr>
        <w:t>RMS</w:t>
      </w:r>
      <w:r w:rsidRPr="00767FBD">
        <w:rPr>
          <w:rFonts w:asciiTheme="majorHAnsi" w:hAnsiTheme="majorHAnsi"/>
          <w:sz w:val="16"/>
          <w:szCs w:val="16"/>
        </w:rPr>
        <w:t>: cada 3 años (iteración del MP), la serie de B y F relativa</w:t>
      </w:r>
      <w:r w:rsidR="00896F41" w:rsidRPr="00767FBD">
        <w:rPr>
          <w:rFonts w:asciiTheme="majorHAnsi" w:hAnsiTheme="majorHAnsi"/>
          <w:sz w:val="16"/>
          <w:szCs w:val="16"/>
        </w:rPr>
        <w:t>s</w:t>
      </w:r>
      <w:r w:rsidRPr="00767FBD">
        <w:rPr>
          <w:rFonts w:asciiTheme="majorHAnsi" w:hAnsiTheme="majorHAnsi"/>
          <w:sz w:val="16"/>
          <w:szCs w:val="16"/>
        </w:rPr>
        <w:t xml:space="preserve"> estimada por el MP se traza (superpuesta), sobre la estimada por el MP en las iteraciones de la MSE (Figuras 21-22 del documento consolidado sobre la MSE </w:t>
      </w:r>
      <w:r w:rsidR="00625D97" w:rsidRPr="00767FBD">
        <w:rPr>
          <w:rFonts w:ascii="Cambria" w:hAnsi="Cambria"/>
          <w:sz w:val="16"/>
          <w:szCs w:val="16"/>
        </w:rPr>
        <w:t xml:space="preserve">(Merino </w:t>
      </w:r>
      <w:r w:rsidR="00625D97" w:rsidRPr="00767FBD">
        <w:rPr>
          <w:rFonts w:ascii="Cambria" w:hAnsi="Cambria"/>
          <w:i/>
          <w:iCs/>
          <w:sz w:val="16"/>
          <w:szCs w:val="16"/>
        </w:rPr>
        <w:t>et al</w:t>
      </w:r>
      <w:r w:rsidR="00625D97" w:rsidRPr="00767FBD">
        <w:rPr>
          <w:rFonts w:ascii="Cambria" w:hAnsi="Cambria"/>
          <w:sz w:val="16"/>
          <w:szCs w:val="16"/>
        </w:rPr>
        <w:t>. 2020))</w:t>
      </w:r>
      <w:r w:rsidR="00625D97" w:rsidRPr="00767FBD">
        <w:rPr>
          <w:rFonts w:asciiTheme="majorHAnsi" w:hAnsiTheme="majorHAnsi"/>
          <w:sz w:val="16"/>
          <w:szCs w:val="16"/>
        </w:rPr>
        <w:t xml:space="preserve">. </w:t>
      </w:r>
      <w:r w:rsidRPr="00767FBD">
        <w:rPr>
          <w:rFonts w:asciiTheme="majorHAnsi" w:hAnsiTheme="majorHAnsi"/>
          <w:sz w:val="16"/>
          <w:szCs w:val="16"/>
        </w:rPr>
        <w:t>Se comparan las "trayectorias estimadas" con las "trayectorias estimadas consideradas en la MSE". La tendencia debe</w:t>
      </w:r>
      <w:r w:rsidR="00896F41" w:rsidRPr="00767FBD">
        <w:rPr>
          <w:rFonts w:asciiTheme="majorHAnsi" w:hAnsiTheme="majorHAnsi"/>
          <w:sz w:val="16"/>
          <w:szCs w:val="16"/>
        </w:rPr>
        <w:t>ría</w:t>
      </w:r>
      <w:r w:rsidRPr="00767FBD">
        <w:rPr>
          <w:rFonts w:asciiTheme="majorHAnsi" w:hAnsiTheme="majorHAnsi"/>
          <w:sz w:val="16"/>
          <w:szCs w:val="16"/>
        </w:rPr>
        <w:t xml:space="preserve"> estar dentro de los valores considerados en los OM para cada año</w:t>
      </w:r>
      <w:sdt>
        <w:sdtPr>
          <w:rPr>
            <w:rFonts w:asciiTheme="majorHAnsi" w:hAnsiTheme="majorHAnsi"/>
            <w:sz w:val="16"/>
            <w:szCs w:val="16"/>
          </w:rPr>
          <w:tag w:val="goog_rdk_91"/>
          <w:id w:val="346454941"/>
        </w:sdtPr>
        <w:sdtEndPr/>
        <w:sdtContent>
          <w:r w:rsidRPr="00767FBD">
            <w:rPr>
              <w:rFonts w:asciiTheme="majorHAnsi" w:hAnsiTheme="majorHAnsi"/>
              <w:sz w:val="16"/>
              <w:szCs w:val="16"/>
            </w:rPr>
            <w:t xml:space="preserve"> y, si no, el SCRS identificaría una circunstancia excepcional.</w:t>
          </w:r>
        </w:sdtContent>
      </w:sdt>
      <w:r w:rsidRPr="00767FBD">
        <w:rPr>
          <w:rFonts w:asciiTheme="majorHAnsi" w:hAnsiTheme="majorHAnsi"/>
          <w:sz w:val="16"/>
          <w:szCs w:val="16"/>
        </w:rPr>
        <w:t xml:space="preserve"> </w:t>
      </w:r>
    </w:p>
    <w:p w14:paraId="1A1862D6" w14:textId="77777777" w:rsidR="00625D97" w:rsidRPr="00767FBD" w:rsidRDefault="00625D97" w:rsidP="00625D97">
      <w:pPr>
        <w:spacing w:after="0" w:line="240" w:lineRule="auto"/>
        <w:rPr>
          <w:rFonts w:ascii="Cambria" w:hAnsi="Cambria"/>
          <w:sz w:val="16"/>
          <w:szCs w:val="16"/>
        </w:rPr>
      </w:pPr>
      <w:r w:rsidRPr="00767FBD">
        <w:rPr>
          <w:rFonts w:ascii="Cambria" w:eastAsia="Calibri" w:hAnsi="Cambria" w:cs="Calibri"/>
          <w:sz w:val="16"/>
          <w:szCs w:val="16"/>
          <w:lang w:val="en-US"/>
        </w:rPr>
        <w:t xml:space="preserve">Merino G., Kell L.T., </w:t>
      </w:r>
      <w:r w:rsidRPr="00767FBD">
        <w:rPr>
          <w:rFonts w:ascii="Cambria" w:eastAsia="Calibri" w:hAnsi="Cambria" w:cs="Calibri"/>
          <w:sz w:val="16"/>
          <w:szCs w:val="16"/>
          <w:lang w:val="en-US"/>
        </w:rPr>
        <w:t>Arrizabalaga H., Santiago J. 2020. Updated consolidated report for North Atlantic albacore management strategy evaluation.</w:t>
      </w:r>
      <w:r w:rsidRPr="00767FBD">
        <w:rPr>
          <w:lang w:val="en-US"/>
        </w:rPr>
        <w:t xml:space="preserve"> </w:t>
      </w:r>
      <w:r w:rsidRPr="00767FBD">
        <w:rPr>
          <w:rFonts w:ascii="Cambria" w:eastAsia="Calibri" w:hAnsi="Cambria" w:cs="Calibri"/>
          <w:sz w:val="16"/>
          <w:szCs w:val="16"/>
        </w:rPr>
        <w:t>Col. Vol. Sci. Pap. ICCAT 77 (7), 428-461.</w:t>
      </w:r>
    </w:p>
    <w:p w14:paraId="3CE78CFC" w14:textId="77777777" w:rsidR="00625D97" w:rsidRPr="00767FBD" w:rsidRDefault="00625D97" w:rsidP="00D46B4B">
      <w:pPr>
        <w:pStyle w:val="FootnoteText"/>
        <w:jc w:val="both"/>
        <w:rPr>
          <w:rFonts w:asciiTheme="majorHAnsi" w:hAnsiTheme="majorHAnsi"/>
          <w:sz w:val="16"/>
          <w:szCs w:val="16"/>
        </w:rPr>
      </w:pPr>
    </w:p>
    <w:p w14:paraId="61CB432B" w14:textId="77777777" w:rsidR="001223E4" w:rsidRPr="00767FBD" w:rsidRDefault="001223E4" w:rsidP="00D46B4B">
      <w:pPr>
        <w:pStyle w:val="FootnoteText"/>
        <w:jc w:val="both"/>
        <w:rPr>
          <w:rFonts w:asciiTheme="majorHAnsi" w:eastAsiaTheme="minorEastAsia" w:hAnsiTheme="majorHAnsi"/>
          <w:color w:val="7030A0"/>
          <w:sz w:val="16"/>
          <w:szCs w:val="16"/>
        </w:rPr>
      </w:pPr>
    </w:p>
  </w:footnote>
  <w:footnote w:id="5">
    <w:p w14:paraId="06D77AEC" w14:textId="77777777" w:rsidR="006B58C5" w:rsidRPr="00767FBD" w:rsidRDefault="006B58C5" w:rsidP="006B58C5">
      <w:pPr>
        <w:pStyle w:val="FootnoteText"/>
        <w:jc w:val="both"/>
        <w:rPr>
          <w:rFonts w:ascii="Cambria" w:eastAsiaTheme="minorHAnsi" w:hAnsi="Cambria" w:cstheme="minorBidi"/>
          <w:sz w:val="16"/>
          <w:szCs w:val="16"/>
          <w:lang w:eastAsia="en-US"/>
        </w:rPr>
      </w:pPr>
      <w:r w:rsidRPr="00767FBD">
        <w:rPr>
          <w:rFonts w:asciiTheme="majorHAnsi" w:eastAsiaTheme="minorHAnsi" w:hAnsiTheme="majorHAnsi" w:cstheme="minorBidi"/>
          <w:sz w:val="16"/>
          <w:szCs w:val="16"/>
          <w:lang w:eastAsia="en-US"/>
        </w:rPr>
        <w:footnoteRef/>
      </w:r>
      <w:r w:rsidRPr="00767FBD">
        <w:rPr>
          <w:rFonts w:ascii="Cambria" w:eastAsiaTheme="minorHAnsi" w:hAnsi="Cambria" w:cstheme="minorBidi"/>
          <w:sz w:val="16"/>
          <w:szCs w:val="16"/>
          <w:lang w:eastAsia="en-US"/>
        </w:rPr>
        <w:t xml:space="preserve">   Este indicador proporciona una indicación de la CPUE prevista de peces adultos porque se asume que la CPUE hace un seguimiento de la biomasa.</w:t>
      </w:r>
    </w:p>
  </w:footnote>
  <w:footnote w:id="6">
    <w:p w14:paraId="139373FF" w14:textId="77777777" w:rsidR="006B58C5" w:rsidRPr="00767FBD" w:rsidRDefault="006B58C5" w:rsidP="006B58C5">
      <w:pPr>
        <w:pStyle w:val="FootnoteText"/>
        <w:jc w:val="both"/>
        <w:rPr>
          <w:rFonts w:ascii="Cambria" w:eastAsiaTheme="minorHAnsi" w:hAnsi="Cambria" w:cstheme="minorBidi"/>
          <w:sz w:val="16"/>
          <w:szCs w:val="16"/>
          <w:lang w:eastAsia="en-US"/>
        </w:rPr>
      </w:pPr>
      <w:r w:rsidRPr="00767FBD">
        <w:rPr>
          <w:rFonts w:asciiTheme="majorHAnsi" w:eastAsiaTheme="minorHAnsi" w:hAnsiTheme="majorHAnsi" w:cstheme="minorBidi"/>
          <w:sz w:val="16"/>
          <w:szCs w:val="16"/>
          <w:lang w:eastAsia="en-US"/>
        </w:rPr>
        <w:footnoteRef/>
      </w:r>
      <w:r w:rsidRPr="00767FBD">
        <w:rPr>
          <w:rFonts w:ascii="Cambria" w:eastAsiaTheme="minorHAnsi" w:hAnsi="Cambria" w:cstheme="minorBidi"/>
          <w:sz w:val="16"/>
          <w:szCs w:val="16"/>
          <w:lang w:eastAsia="en-US"/>
        </w:rPr>
        <w:t xml:space="preserve">   Este indicador sólo es útil para distinguir el buen funcionamiento de las estrategias que cumplen el objetivo representado por el 1.4. </w:t>
      </w:r>
    </w:p>
  </w:footnote>
  <w:footnote w:id="7">
    <w:p w14:paraId="1AD5C353" w14:textId="77777777" w:rsidR="006B58C5" w:rsidRPr="00767FBD" w:rsidRDefault="006B58C5" w:rsidP="006B58C5">
      <w:pPr>
        <w:pStyle w:val="FootnoteText"/>
        <w:ind w:left="142" w:hanging="142"/>
        <w:jc w:val="both"/>
        <w:rPr>
          <w:rFonts w:ascii="Cambria" w:hAnsi="Cambria"/>
          <w:sz w:val="16"/>
          <w:szCs w:val="16"/>
        </w:rPr>
      </w:pPr>
      <w:r w:rsidRPr="00767FBD">
        <w:rPr>
          <w:rFonts w:ascii="Cambria" w:hAnsi="Cambria"/>
          <w:sz w:val="16"/>
          <w:szCs w:val="16"/>
        </w:rPr>
        <w:footnoteRef/>
      </w:r>
      <w:r w:rsidRPr="00767FBD">
        <w:rPr>
          <w:rFonts w:ascii="Cambria" w:hAnsi="Cambria"/>
          <w:sz w:val="16"/>
          <w:szCs w:val="16"/>
        </w:rPr>
        <w:t xml:space="preserve">  Esto difiere ligeramente de ser igual a 1 - Probabilidad de cierre (4.3) por la elección de contar con un ciclo de ordenación de tres años. En el siguiente ciclo de ordenación después de que se determine que B es inferior a B</w:t>
      </w:r>
      <w:r w:rsidRPr="00767FBD">
        <w:rPr>
          <w:rFonts w:ascii="Cambria" w:hAnsi="Cambria"/>
          <w:sz w:val="16"/>
          <w:szCs w:val="16"/>
          <w:vertAlign w:val="subscript"/>
        </w:rPr>
        <w:t>LIM</w:t>
      </w:r>
      <w:r w:rsidRPr="00767FBD">
        <w:rPr>
          <w:rFonts w:ascii="Cambria" w:hAnsi="Cambria"/>
          <w:sz w:val="16"/>
          <w:szCs w:val="16"/>
        </w:rPr>
        <w:t xml:space="preserve"> el TAC se establece para un periodo de tres años en el nivel correspondiente a F</w:t>
      </w:r>
      <w:r w:rsidRPr="00767FBD">
        <w:rPr>
          <w:rFonts w:ascii="Cambria" w:hAnsi="Cambria"/>
          <w:sz w:val="16"/>
          <w:szCs w:val="16"/>
          <w:vertAlign w:val="subscript"/>
        </w:rPr>
        <w:t>LIM</w:t>
      </w:r>
      <w:r w:rsidRPr="00767FBD">
        <w:rPr>
          <w:rFonts w:ascii="Cambria" w:hAnsi="Cambria"/>
          <w:sz w:val="16"/>
          <w:szCs w:val="16"/>
        </w:rPr>
        <w:t>, y la captura se mantendrá en dicho nivel mínimo durante tres años. Sin embargo, la biomasa podría reaccionar rápidamente a un descenso de F e incrementarse rápidamente, de tal modo que en uno o más de los tres años del ciclo B&gt;B</w:t>
      </w:r>
      <w:r w:rsidRPr="00767FBD">
        <w:rPr>
          <w:rFonts w:ascii="Cambria" w:hAnsi="Cambria"/>
          <w:sz w:val="16"/>
          <w:szCs w:val="16"/>
          <w:vertAlign w:val="subscript"/>
        </w:rPr>
        <w:t>LIM</w:t>
      </w:r>
      <w:r w:rsidRPr="00767FBD">
        <w:rPr>
          <w:rFonts w:ascii="Cambria" w:hAnsi="Cambria"/>
          <w:sz w:val="16"/>
          <w:szCs w:val="16"/>
        </w:rPr>
        <w:t xml:space="preserve">. </w:t>
      </w:r>
    </w:p>
  </w:footnote>
  <w:footnote w:id="8">
    <w:p w14:paraId="15B2F7C9" w14:textId="77777777" w:rsidR="006B58C5" w:rsidRPr="00767FBD" w:rsidRDefault="006B58C5" w:rsidP="006B58C5">
      <w:pPr>
        <w:pStyle w:val="FootnoteText"/>
        <w:jc w:val="both"/>
        <w:rPr>
          <w:rFonts w:ascii="Cambria" w:eastAsiaTheme="minorHAnsi" w:hAnsi="Cambria" w:cstheme="minorBidi"/>
          <w:sz w:val="16"/>
          <w:szCs w:val="16"/>
          <w:lang w:eastAsia="en-US"/>
        </w:rPr>
      </w:pPr>
      <w:r w:rsidRPr="00767FBD">
        <w:rPr>
          <w:rFonts w:ascii="Cambria" w:eastAsiaTheme="minorHAnsi" w:hAnsi="Cambria" w:cstheme="minorBidi"/>
          <w:sz w:val="16"/>
          <w:szCs w:val="16"/>
          <w:lang w:eastAsia="en-US"/>
        </w:rPr>
        <w:footnoteRef/>
      </w:r>
      <w:r w:rsidRPr="00767FBD">
        <w:rPr>
          <w:rFonts w:ascii="Cambria" w:eastAsiaTheme="minorHAnsi" w:hAnsi="Cambria" w:cstheme="minorBidi"/>
          <w:sz w:val="16"/>
          <w:szCs w:val="16"/>
          <w:lang w:eastAsia="en-US"/>
        </w:rPr>
        <w:t xml:space="preserve">   Útil en caso de ausencia de limitaciones relacionadas con el TAC en la norma de control de la captura.</w:t>
      </w:r>
    </w:p>
  </w:footnote>
  <w:footnote w:id="9">
    <w:p w14:paraId="0DD88914" w14:textId="77777777" w:rsidR="006B58C5" w:rsidRPr="00767FBD" w:rsidRDefault="006B58C5" w:rsidP="006B58C5">
      <w:pPr>
        <w:pStyle w:val="FootnoteText"/>
        <w:jc w:val="both"/>
        <w:rPr>
          <w:rFonts w:ascii="Cambria" w:eastAsiaTheme="minorHAnsi" w:hAnsi="Cambria" w:cstheme="minorBidi"/>
          <w:sz w:val="16"/>
          <w:szCs w:val="16"/>
          <w:lang w:eastAsia="en-US"/>
        </w:rPr>
      </w:pPr>
      <w:r w:rsidRPr="00767FBD">
        <w:rPr>
          <w:rFonts w:ascii="Cambria" w:eastAsiaTheme="minorHAnsi" w:hAnsi="Cambria" w:cstheme="minorBidi"/>
          <w:sz w:val="16"/>
          <w:szCs w:val="16"/>
          <w:lang w:eastAsia="en-US"/>
        </w:rPr>
        <w:footnoteRef/>
      </w:r>
      <w:r w:rsidRPr="00767FBD">
        <w:rPr>
          <w:rFonts w:ascii="Cambria" w:eastAsiaTheme="minorHAnsi" w:hAnsi="Cambria" w:cstheme="minorBidi"/>
          <w:sz w:val="16"/>
          <w:szCs w:val="16"/>
          <w:lang w:eastAsia="en-US"/>
        </w:rPr>
        <w:t xml:space="preserve">   Los cambios negativos y positivos tienen que comunicarse por separado.</w:t>
      </w:r>
    </w:p>
  </w:footnote>
  <w:footnote w:id="10">
    <w:p w14:paraId="470F7A70" w14:textId="77777777" w:rsidR="006B58C5" w:rsidRPr="00767FBD" w:rsidRDefault="006B58C5" w:rsidP="006B58C5">
      <w:pPr>
        <w:pStyle w:val="FootnoteText"/>
        <w:jc w:val="both"/>
      </w:pPr>
      <w:r w:rsidRPr="00767FBD">
        <w:rPr>
          <w:rFonts w:asciiTheme="majorHAnsi" w:eastAsiaTheme="minorHAnsi" w:hAnsiTheme="majorHAnsi" w:cstheme="minorBidi"/>
          <w:sz w:val="16"/>
          <w:szCs w:val="16"/>
          <w:lang w:eastAsia="en-US"/>
        </w:rPr>
        <w:footnoteRef/>
      </w:r>
      <w:r w:rsidRPr="00767FBD">
        <w:rPr>
          <w:rFonts w:asciiTheme="majorHAnsi" w:eastAsiaTheme="minorHAnsi" w:hAnsiTheme="majorHAnsi" w:cstheme="minorBidi"/>
          <w:sz w:val="16"/>
          <w:szCs w:val="16"/>
          <w:lang w:eastAsia="en-US"/>
        </w:rPr>
        <w:t xml:space="preserve"> </w:t>
      </w:r>
      <w:r w:rsidRPr="00767FBD">
        <w:rPr>
          <w:rFonts w:ascii="Cambria" w:eastAsiaTheme="minorHAnsi" w:hAnsi="Cambria" w:cstheme="minorBidi"/>
          <w:sz w:val="16"/>
          <w:szCs w:val="16"/>
          <w:lang w:eastAsia="en-US"/>
        </w:rPr>
        <w:t xml:space="preserve">  Los cambios negativos y positivos tienen que comunicarse por separado.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63A87" w14:textId="6F00E8AB" w:rsidR="00A23A99" w:rsidRPr="0035444C" w:rsidRDefault="00A23A99" w:rsidP="003544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E5F6B" w14:textId="00E3F0BF" w:rsidR="008D1DA2" w:rsidRPr="001768EB" w:rsidRDefault="008D1DA2" w:rsidP="001768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DBDA8" w14:textId="38C672FF" w:rsidR="008D1DA2" w:rsidRPr="001768EB" w:rsidRDefault="008D1DA2" w:rsidP="00176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663C"/>
    <w:multiLevelType w:val="hybridMultilevel"/>
    <w:tmpl w:val="B4F82A5A"/>
    <w:lvl w:ilvl="0" w:tplc="F13C0D1E">
      <w:start w:val="2"/>
      <w:numFmt w:val="bullet"/>
      <w:lvlText w:val=""/>
      <w:lvlJc w:val="left"/>
      <w:pPr>
        <w:ind w:left="720" w:hanging="360"/>
      </w:pPr>
      <w:rPr>
        <w:rFonts w:ascii="Symbol" w:eastAsia="SimSu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B359F5"/>
    <w:multiLevelType w:val="multilevel"/>
    <w:tmpl w:val="BA18CF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0D63E2"/>
    <w:multiLevelType w:val="hybridMultilevel"/>
    <w:tmpl w:val="4ADAF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B34BB"/>
    <w:multiLevelType w:val="hybridMultilevel"/>
    <w:tmpl w:val="BCB28682"/>
    <w:lvl w:ilvl="0" w:tplc="08E6DF58">
      <w:start w:val="1"/>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3E85523"/>
    <w:multiLevelType w:val="hybridMultilevel"/>
    <w:tmpl w:val="D84C5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D0445"/>
    <w:multiLevelType w:val="hybridMultilevel"/>
    <w:tmpl w:val="DB306F34"/>
    <w:lvl w:ilvl="0" w:tplc="0809000F">
      <w:start w:val="1"/>
      <w:numFmt w:val="decimal"/>
      <w:lvlText w:val="%1."/>
      <w:lvlJc w:val="left"/>
      <w:pPr>
        <w:ind w:left="720" w:hanging="360"/>
      </w:pPr>
    </w:lvl>
    <w:lvl w:ilvl="1" w:tplc="04090017">
      <w:start w:val="1"/>
      <w:numFmt w:val="lowerLetter"/>
      <w:lvlText w:val="%2)"/>
      <w:lvlJc w:val="left"/>
      <w:pPr>
        <w:ind w:left="1440" w:hanging="360"/>
      </w:pPr>
      <w:rPr>
        <w:sz w:val="20"/>
        <w:szCs w:val="2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CA3E57"/>
    <w:multiLevelType w:val="hybridMultilevel"/>
    <w:tmpl w:val="E3CA7FB4"/>
    <w:lvl w:ilvl="0" w:tplc="C98442CE">
      <w:start w:val="1"/>
      <w:numFmt w:val="decimal"/>
      <w:lvlText w:val="%1."/>
      <w:lvlJc w:val="left"/>
      <w:pPr>
        <w:ind w:left="360" w:hanging="360"/>
      </w:pPr>
      <w:rPr>
        <w:rFonts w:ascii="Times New Roman" w:hAnsi="Times New Roman" w:cs="Times New Roman" w:hint="default"/>
        <w:color w:val="auto"/>
      </w:rPr>
    </w:lvl>
    <w:lvl w:ilvl="1" w:tplc="7EB8E754">
      <w:start w:val="1"/>
      <w:numFmt w:val="lowerLetter"/>
      <w:lvlText w:val="%2)"/>
      <w:lvlJc w:val="left"/>
      <w:pPr>
        <w:ind w:left="1080" w:hanging="360"/>
      </w:pPr>
      <w:rPr>
        <w:rFonts w:ascii="Cambria" w:hAnsi="Cambria" w:cs="Times New Roman" w:hint="default"/>
        <w:u w:val="none"/>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C3022B6"/>
    <w:multiLevelType w:val="hybridMultilevel"/>
    <w:tmpl w:val="8DAC8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2449B"/>
    <w:multiLevelType w:val="hybridMultilevel"/>
    <w:tmpl w:val="4C66371E"/>
    <w:lvl w:ilvl="0" w:tplc="08E6DF58">
      <w:start w:val="1"/>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0817C3"/>
    <w:multiLevelType w:val="hybridMultilevel"/>
    <w:tmpl w:val="908A833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BAB0591"/>
    <w:multiLevelType w:val="hybridMultilevel"/>
    <w:tmpl w:val="E61A0930"/>
    <w:lvl w:ilvl="0" w:tplc="0409000F">
      <w:start w:val="1"/>
      <w:numFmt w:val="decimal"/>
      <w:lvlText w:val="%1."/>
      <w:lvlJc w:val="left"/>
      <w:pPr>
        <w:ind w:left="720"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AB314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D827636"/>
    <w:multiLevelType w:val="hybridMultilevel"/>
    <w:tmpl w:val="EDB6F6CA"/>
    <w:lvl w:ilvl="0" w:tplc="2F60D416">
      <w:numFmt w:val="bullet"/>
      <w:lvlText w:val="-"/>
      <w:lvlJc w:val="left"/>
      <w:pPr>
        <w:ind w:left="720" w:hanging="360"/>
      </w:pPr>
      <w:rPr>
        <w:rFonts w:ascii="Cambria" w:eastAsiaTheme="minorHAnsi" w:hAnsi="Cambria"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247647"/>
    <w:multiLevelType w:val="hybridMultilevel"/>
    <w:tmpl w:val="B882E09C"/>
    <w:lvl w:ilvl="0" w:tplc="762872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956690"/>
    <w:multiLevelType w:val="hybridMultilevel"/>
    <w:tmpl w:val="FFD09AD2"/>
    <w:lvl w:ilvl="0" w:tplc="76287224">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15:restartNumberingAfterBreak="0">
    <w:nsid w:val="41FC1914"/>
    <w:multiLevelType w:val="hybridMultilevel"/>
    <w:tmpl w:val="8054A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A4582D"/>
    <w:multiLevelType w:val="hybridMultilevel"/>
    <w:tmpl w:val="F7AC4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651891"/>
    <w:multiLevelType w:val="hybridMultilevel"/>
    <w:tmpl w:val="C4D23878"/>
    <w:lvl w:ilvl="0" w:tplc="0409000F">
      <w:start w:val="1"/>
      <w:numFmt w:val="decimal"/>
      <w:lvlText w:val="%1."/>
      <w:lvlJc w:val="left"/>
      <w:pPr>
        <w:ind w:left="928"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B83E9F88">
      <w:start w:val="1"/>
      <w:numFmt w:val="lowerLetter"/>
      <w:lvlText w:val="%4)"/>
      <w:lvlJc w:val="left"/>
      <w:pPr>
        <w:ind w:left="2880" w:hanging="360"/>
      </w:pPr>
      <w:rPr>
        <w:rFonts w:eastAsiaTheme="minorHAnsi" w:cstheme="minorBidi" w:hint="default"/>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F52A0A"/>
    <w:multiLevelType w:val="hybridMultilevel"/>
    <w:tmpl w:val="2EB66B0C"/>
    <w:lvl w:ilvl="0" w:tplc="0409000F">
      <w:start w:val="1"/>
      <w:numFmt w:val="decimal"/>
      <w:lvlText w:val="%1."/>
      <w:lvlJc w:val="left"/>
      <w:pPr>
        <w:ind w:left="360" w:hanging="360"/>
      </w:pPr>
    </w:lvl>
    <w:lvl w:ilvl="1" w:tplc="76287224">
      <w:start w:val="1"/>
      <w:numFmt w:val="lowerLetter"/>
      <w:lvlText w:val="(%2)"/>
      <w:lvlJc w:val="left"/>
      <w:pPr>
        <w:ind w:left="872" w:hanging="360"/>
      </w:pPr>
      <w:rPr>
        <w:rFonts w:hint="default"/>
      </w:rPr>
    </w:lvl>
    <w:lvl w:ilvl="2" w:tplc="0409000F">
      <w:start w:val="1"/>
      <w:numFmt w:val="decimal"/>
      <w:lvlText w:val="%3."/>
      <w:lvlJc w:val="lef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9" w15:restartNumberingAfterBreak="0">
    <w:nsid w:val="4CFB6EEE"/>
    <w:multiLevelType w:val="hybridMultilevel"/>
    <w:tmpl w:val="D8BE975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E51E1E"/>
    <w:multiLevelType w:val="hybridMultilevel"/>
    <w:tmpl w:val="CFE6520E"/>
    <w:lvl w:ilvl="0" w:tplc="0409000F">
      <w:start w:val="1"/>
      <w:numFmt w:val="decimal"/>
      <w:lvlText w:val="%1."/>
      <w:lvlJc w:val="left"/>
      <w:pPr>
        <w:ind w:left="720"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6C543E"/>
    <w:multiLevelType w:val="hybridMultilevel"/>
    <w:tmpl w:val="3CA2A588"/>
    <w:lvl w:ilvl="0" w:tplc="7628722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665CD8"/>
    <w:multiLevelType w:val="hybridMultilevel"/>
    <w:tmpl w:val="CC626C7E"/>
    <w:lvl w:ilvl="0" w:tplc="0409000F">
      <w:start w:val="1"/>
      <w:numFmt w:val="decimal"/>
      <w:lvlText w:val="%1."/>
      <w:lvlJc w:val="left"/>
      <w:pPr>
        <w:ind w:left="720"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825465"/>
    <w:multiLevelType w:val="hybridMultilevel"/>
    <w:tmpl w:val="718C81A0"/>
    <w:lvl w:ilvl="0" w:tplc="252C5FFA">
      <w:start w:val="1"/>
      <w:numFmt w:val="bullet"/>
      <w:lvlText w:val="-"/>
      <w:lvlJc w:val="left"/>
      <w:pPr>
        <w:ind w:left="720" w:hanging="360"/>
      </w:pPr>
      <w:rPr>
        <w:rFonts w:ascii="MS Reference Sans Serif" w:hAnsi="MS Reference Sans Serif"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7E160D"/>
    <w:multiLevelType w:val="multilevel"/>
    <w:tmpl w:val="6D2CD25C"/>
    <w:lvl w:ilvl="0">
      <w:start w:val="1"/>
      <w:numFmt w:val="decimal"/>
      <w:lvlText w:val="%1."/>
      <w:lvlJc w:val="left"/>
      <w:pPr>
        <w:ind w:left="720" w:hanging="360"/>
      </w:pPr>
      <w:rPr>
        <w:rFonts w:asciiTheme="majorHAnsi" w:hAnsiTheme="majorHAnsi"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3C30EDE"/>
    <w:multiLevelType w:val="hybridMultilevel"/>
    <w:tmpl w:val="21480740"/>
    <w:lvl w:ilvl="0" w:tplc="7628722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F6470E"/>
    <w:multiLevelType w:val="hybridMultilevel"/>
    <w:tmpl w:val="68340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7810CC"/>
    <w:multiLevelType w:val="hybridMultilevel"/>
    <w:tmpl w:val="05B0939C"/>
    <w:lvl w:ilvl="0" w:tplc="76287224">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15:restartNumberingAfterBreak="0">
    <w:nsid w:val="76AF63DF"/>
    <w:multiLevelType w:val="hybridMultilevel"/>
    <w:tmpl w:val="7CCC22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8F4A1CD"/>
    <w:multiLevelType w:val="hybridMultilevel"/>
    <w:tmpl w:val="FE7A4B7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A60167A"/>
    <w:multiLevelType w:val="hybridMultilevel"/>
    <w:tmpl w:val="6EE49A70"/>
    <w:lvl w:ilvl="0" w:tplc="0409000F">
      <w:start w:val="1"/>
      <w:numFmt w:val="decimal"/>
      <w:lvlText w:val="%1."/>
      <w:lvlJc w:val="left"/>
      <w:pPr>
        <w:ind w:left="720"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D61795"/>
    <w:multiLevelType w:val="hybridMultilevel"/>
    <w:tmpl w:val="B7D4C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FB4B37"/>
    <w:multiLevelType w:val="hybridMultilevel"/>
    <w:tmpl w:val="3E84CB28"/>
    <w:lvl w:ilvl="0" w:tplc="762872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FE410F3"/>
    <w:multiLevelType w:val="hybridMultilevel"/>
    <w:tmpl w:val="E9389B2C"/>
    <w:lvl w:ilvl="0" w:tplc="762872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FF534C8"/>
    <w:multiLevelType w:val="hybridMultilevel"/>
    <w:tmpl w:val="39B07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2"/>
  </w:num>
  <w:num w:numId="3">
    <w:abstractNumId w:val="27"/>
  </w:num>
  <w:num w:numId="4">
    <w:abstractNumId w:val="25"/>
  </w:num>
  <w:num w:numId="5">
    <w:abstractNumId w:val="14"/>
  </w:num>
  <w:num w:numId="6">
    <w:abstractNumId w:val="33"/>
  </w:num>
  <w:num w:numId="7">
    <w:abstractNumId w:val="13"/>
  </w:num>
  <w:num w:numId="8">
    <w:abstractNumId w:val="28"/>
  </w:num>
  <w:num w:numId="9">
    <w:abstractNumId w:val="34"/>
  </w:num>
  <w:num w:numId="10">
    <w:abstractNumId w:val="20"/>
  </w:num>
  <w:num w:numId="11">
    <w:abstractNumId w:val="9"/>
  </w:num>
  <w:num w:numId="12">
    <w:abstractNumId w:val="7"/>
  </w:num>
  <w:num w:numId="13">
    <w:abstractNumId w:val="31"/>
  </w:num>
  <w:num w:numId="14">
    <w:abstractNumId w:val="15"/>
  </w:num>
  <w:num w:numId="15">
    <w:abstractNumId w:val="26"/>
  </w:num>
  <w:num w:numId="16">
    <w:abstractNumId w:val="4"/>
  </w:num>
  <w:num w:numId="17">
    <w:abstractNumId w:val="10"/>
  </w:num>
  <w:num w:numId="18">
    <w:abstractNumId w:val="16"/>
  </w:num>
  <w:num w:numId="19">
    <w:abstractNumId w:val="2"/>
  </w:num>
  <w:num w:numId="20">
    <w:abstractNumId w:val="24"/>
  </w:num>
  <w:num w:numId="21">
    <w:abstractNumId w:val="0"/>
  </w:num>
  <w:num w:numId="22">
    <w:abstractNumId w:val="3"/>
  </w:num>
  <w:num w:numId="23">
    <w:abstractNumId w:val="23"/>
  </w:num>
  <w:num w:numId="24">
    <w:abstractNumId w:val="6"/>
  </w:num>
  <w:num w:numId="25">
    <w:abstractNumId w:val="5"/>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21"/>
  </w:num>
  <w:num w:numId="29">
    <w:abstractNumId w:val="29"/>
  </w:num>
  <w:num w:numId="30">
    <w:abstractNumId w:val="18"/>
  </w:num>
  <w:num w:numId="31">
    <w:abstractNumId w:val="19"/>
  </w:num>
  <w:num w:numId="32">
    <w:abstractNumId w:val="22"/>
  </w:num>
  <w:num w:numId="33">
    <w:abstractNumId w:val="11"/>
  </w:num>
  <w:num w:numId="34">
    <w:abstractNumId w:val="1"/>
  </w:num>
  <w:num w:numId="35">
    <w:abstractNumId w:val="17"/>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9EF"/>
    <w:rsid w:val="000057BE"/>
    <w:rsid w:val="00005F4A"/>
    <w:rsid w:val="00014AA4"/>
    <w:rsid w:val="00021885"/>
    <w:rsid w:val="00021A75"/>
    <w:rsid w:val="000231AE"/>
    <w:rsid w:val="0002685D"/>
    <w:rsid w:val="00027391"/>
    <w:rsid w:val="00027BC9"/>
    <w:rsid w:val="00027C7B"/>
    <w:rsid w:val="00032774"/>
    <w:rsid w:val="00045636"/>
    <w:rsid w:val="00051F43"/>
    <w:rsid w:val="00053B8B"/>
    <w:rsid w:val="00070B88"/>
    <w:rsid w:val="0007125D"/>
    <w:rsid w:val="000725A2"/>
    <w:rsid w:val="0007261F"/>
    <w:rsid w:val="0008098C"/>
    <w:rsid w:val="000819C6"/>
    <w:rsid w:val="00082527"/>
    <w:rsid w:val="00084DF3"/>
    <w:rsid w:val="000968AE"/>
    <w:rsid w:val="000B2ECB"/>
    <w:rsid w:val="000B30CD"/>
    <w:rsid w:val="000B5AD6"/>
    <w:rsid w:val="000C3972"/>
    <w:rsid w:val="000C5790"/>
    <w:rsid w:val="000C6975"/>
    <w:rsid w:val="000C7A8A"/>
    <w:rsid w:val="000D058C"/>
    <w:rsid w:val="000D0C14"/>
    <w:rsid w:val="000D511E"/>
    <w:rsid w:val="000E215D"/>
    <w:rsid w:val="000E76DF"/>
    <w:rsid w:val="000F142B"/>
    <w:rsid w:val="000F2C04"/>
    <w:rsid w:val="000F2FA4"/>
    <w:rsid w:val="0010396D"/>
    <w:rsid w:val="001149FE"/>
    <w:rsid w:val="00114FD3"/>
    <w:rsid w:val="0011642B"/>
    <w:rsid w:val="0011718C"/>
    <w:rsid w:val="001209D9"/>
    <w:rsid w:val="00121C8B"/>
    <w:rsid w:val="001223E4"/>
    <w:rsid w:val="00125BDC"/>
    <w:rsid w:val="00127C26"/>
    <w:rsid w:val="0013435A"/>
    <w:rsid w:val="00141744"/>
    <w:rsid w:val="001518DC"/>
    <w:rsid w:val="00152BB2"/>
    <w:rsid w:val="0015457D"/>
    <w:rsid w:val="00154F51"/>
    <w:rsid w:val="001554B9"/>
    <w:rsid w:val="00155648"/>
    <w:rsid w:val="00156F6F"/>
    <w:rsid w:val="001640D5"/>
    <w:rsid w:val="00166563"/>
    <w:rsid w:val="00166669"/>
    <w:rsid w:val="00166C00"/>
    <w:rsid w:val="001731EC"/>
    <w:rsid w:val="001768EB"/>
    <w:rsid w:val="00180691"/>
    <w:rsid w:val="001848E9"/>
    <w:rsid w:val="00186CE8"/>
    <w:rsid w:val="00187268"/>
    <w:rsid w:val="00190ABE"/>
    <w:rsid w:val="001A4215"/>
    <w:rsid w:val="001A493F"/>
    <w:rsid w:val="001A7333"/>
    <w:rsid w:val="001B242C"/>
    <w:rsid w:val="001B30A2"/>
    <w:rsid w:val="001B4D8E"/>
    <w:rsid w:val="001C3936"/>
    <w:rsid w:val="001C5BAA"/>
    <w:rsid w:val="001C6653"/>
    <w:rsid w:val="001D5017"/>
    <w:rsid w:val="001D5660"/>
    <w:rsid w:val="001D6352"/>
    <w:rsid w:val="001D6472"/>
    <w:rsid w:val="001E6314"/>
    <w:rsid w:val="001E6606"/>
    <w:rsid w:val="001F41EA"/>
    <w:rsid w:val="00203477"/>
    <w:rsid w:val="0021193F"/>
    <w:rsid w:val="002205D2"/>
    <w:rsid w:val="00221024"/>
    <w:rsid w:val="002219ED"/>
    <w:rsid w:val="00227B89"/>
    <w:rsid w:val="00230641"/>
    <w:rsid w:val="00240863"/>
    <w:rsid w:val="002459AB"/>
    <w:rsid w:val="002646E7"/>
    <w:rsid w:val="00265A91"/>
    <w:rsid w:val="00267D0F"/>
    <w:rsid w:val="00277CB3"/>
    <w:rsid w:val="0028098A"/>
    <w:rsid w:val="00284821"/>
    <w:rsid w:val="002A1B7B"/>
    <w:rsid w:val="002B5BFA"/>
    <w:rsid w:val="002C2140"/>
    <w:rsid w:val="002D0F4E"/>
    <w:rsid w:val="002D1781"/>
    <w:rsid w:val="002D20A0"/>
    <w:rsid w:val="002D3D55"/>
    <w:rsid w:val="002E2C7F"/>
    <w:rsid w:val="002E5BC3"/>
    <w:rsid w:val="002F1BA2"/>
    <w:rsid w:val="002F62BC"/>
    <w:rsid w:val="0030042E"/>
    <w:rsid w:val="00307F00"/>
    <w:rsid w:val="0031174B"/>
    <w:rsid w:val="0031572D"/>
    <w:rsid w:val="00322B56"/>
    <w:rsid w:val="00323959"/>
    <w:rsid w:val="00327911"/>
    <w:rsid w:val="00327D4C"/>
    <w:rsid w:val="00331235"/>
    <w:rsid w:val="00341F75"/>
    <w:rsid w:val="003433B2"/>
    <w:rsid w:val="00352AD5"/>
    <w:rsid w:val="0035444C"/>
    <w:rsid w:val="00360113"/>
    <w:rsid w:val="003617D2"/>
    <w:rsid w:val="00367F9A"/>
    <w:rsid w:val="0037484F"/>
    <w:rsid w:val="00376922"/>
    <w:rsid w:val="00382C32"/>
    <w:rsid w:val="00386433"/>
    <w:rsid w:val="00393177"/>
    <w:rsid w:val="003958A3"/>
    <w:rsid w:val="003979B2"/>
    <w:rsid w:val="003A0F43"/>
    <w:rsid w:val="003B1C55"/>
    <w:rsid w:val="003B58CF"/>
    <w:rsid w:val="003C7691"/>
    <w:rsid w:val="003D0275"/>
    <w:rsid w:val="003D6E2A"/>
    <w:rsid w:val="003E406B"/>
    <w:rsid w:val="003F10BD"/>
    <w:rsid w:val="003F7AFD"/>
    <w:rsid w:val="00414E46"/>
    <w:rsid w:val="004151B5"/>
    <w:rsid w:val="00417DD4"/>
    <w:rsid w:val="00434388"/>
    <w:rsid w:val="004348CC"/>
    <w:rsid w:val="00443FC4"/>
    <w:rsid w:val="004457F2"/>
    <w:rsid w:val="00454640"/>
    <w:rsid w:val="00465A69"/>
    <w:rsid w:val="00472729"/>
    <w:rsid w:val="00482409"/>
    <w:rsid w:val="004836FE"/>
    <w:rsid w:val="00484981"/>
    <w:rsid w:val="0048629F"/>
    <w:rsid w:val="004869EF"/>
    <w:rsid w:val="00487D86"/>
    <w:rsid w:val="00490D15"/>
    <w:rsid w:val="00493FF6"/>
    <w:rsid w:val="0049529A"/>
    <w:rsid w:val="00497764"/>
    <w:rsid w:val="004B2655"/>
    <w:rsid w:val="004C63F5"/>
    <w:rsid w:val="004D37AE"/>
    <w:rsid w:val="004D777C"/>
    <w:rsid w:val="004E286A"/>
    <w:rsid w:val="004E55E4"/>
    <w:rsid w:val="004F35DC"/>
    <w:rsid w:val="004F4D3C"/>
    <w:rsid w:val="0050065A"/>
    <w:rsid w:val="005220B1"/>
    <w:rsid w:val="00523F86"/>
    <w:rsid w:val="0053167F"/>
    <w:rsid w:val="0053273C"/>
    <w:rsid w:val="0054057C"/>
    <w:rsid w:val="0054311D"/>
    <w:rsid w:val="00547969"/>
    <w:rsid w:val="00552FF2"/>
    <w:rsid w:val="0055362E"/>
    <w:rsid w:val="00554AA0"/>
    <w:rsid w:val="005560C0"/>
    <w:rsid w:val="005573DD"/>
    <w:rsid w:val="00565435"/>
    <w:rsid w:val="00572FD3"/>
    <w:rsid w:val="005764ED"/>
    <w:rsid w:val="00590D97"/>
    <w:rsid w:val="005A3184"/>
    <w:rsid w:val="005A3F95"/>
    <w:rsid w:val="005A4ED1"/>
    <w:rsid w:val="005A571A"/>
    <w:rsid w:val="005A6C8D"/>
    <w:rsid w:val="005B3017"/>
    <w:rsid w:val="005B3924"/>
    <w:rsid w:val="005C4E19"/>
    <w:rsid w:val="005D03A0"/>
    <w:rsid w:val="005D10B2"/>
    <w:rsid w:val="005D151C"/>
    <w:rsid w:val="005E402A"/>
    <w:rsid w:val="005E7C01"/>
    <w:rsid w:val="005F0605"/>
    <w:rsid w:val="005F7F71"/>
    <w:rsid w:val="00602B38"/>
    <w:rsid w:val="00602FF4"/>
    <w:rsid w:val="00603C12"/>
    <w:rsid w:val="00610DF8"/>
    <w:rsid w:val="00614662"/>
    <w:rsid w:val="00620D74"/>
    <w:rsid w:val="00625D97"/>
    <w:rsid w:val="00626BA6"/>
    <w:rsid w:val="00631334"/>
    <w:rsid w:val="006329CE"/>
    <w:rsid w:val="00634C2F"/>
    <w:rsid w:val="006354C6"/>
    <w:rsid w:val="00645B38"/>
    <w:rsid w:val="00647ED6"/>
    <w:rsid w:val="006528D4"/>
    <w:rsid w:val="00653733"/>
    <w:rsid w:val="00656697"/>
    <w:rsid w:val="006627BE"/>
    <w:rsid w:val="0067037C"/>
    <w:rsid w:val="006704E0"/>
    <w:rsid w:val="006714D7"/>
    <w:rsid w:val="00672480"/>
    <w:rsid w:val="0068279B"/>
    <w:rsid w:val="00690513"/>
    <w:rsid w:val="00691C03"/>
    <w:rsid w:val="00693401"/>
    <w:rsid w:val="00693F67"/>
    <w:rsid w:val="006A4A38"/>
    <w:rsid w:val="006A6B93"/>
    <w:rsid w:val="006B22BF"/>
    <w:rsid w:val="006B3C06"/>
    <w:rsid w:val="006B404A"/>
    <w:rsid w:val="006B4BA7"/>
    <w:rsid w:val="006B58C5"/>
    <w:rsid w:val="006C274A"/>
    <w:rsid w:val="006C58DC"/>
    <w:rsid w:val="006C7028"/>
    <w:rsid w:val="006D1DD6"/>
    <w:rsid w:val="006D5300"/>
    <w:rsid w:val="006E2431"/>
    <w:rsid w:val="006E3D43"/>
    <w:rsid w:val="006F2110"/>
    <w:rsid w:val="006F330B"/>
    <w:rsid w:val="007077A0"/>
    <w:rsid w:val="00716C95"/>
    <w:rsid w:val="00721874"/>
    <w:rsid w:val="007245D4"/>
    <w:rsid w:val="00727908"/>
    <w:rsid w:val="00730569"/>
    <w:rsid w:val="007311BD"/>
    <w:rsid w:val="0073728F"/>
    <w:rsid w:val="00740BA4"/>
    <w:rsid w:val="00746660"/>
    <w:rsid w:val="0075044E"/>
    <w:rsid w:val="00751DD1"/>
    <w:rsid w:val="00754547"/>
    <w:rsid w:val="00754BED"/>
    <w:rsid w:val="00764122"/>
    <w:rsid w:val="00767FBD"/>
    <w:rsid w:val="007724D0"/>
    <w:rsid w:val="00780A6D"/>
    <w:rsid w:val="007845D9"/>
    <w:rsid w:val="007A2125"/>
    <w:rsid w:val="007A3CDB"/>
    <w:rsid w:val="007A7556"/>
    <w:rsid w:val="007B070B"/>
    <w:rsid w:val="007B3001"/>
    <w:rsid w:val="007B5F50"/>
    <w:rsid w:val="007C0275"/>
    <w:rsid w:val="007F6BAE"/>
    <w:rsid w:val="007F7273"/>
    <w:rsid w:val="00805BE5"/>
    <w:rsid w:val="00814E7C"/>
    <w:rsid w:val="008238B7"/>
    <w:rsid w:val="00823C0A"/>
    <w:rsid w:val="00824303"/>
    <w:rsid w:val="008259FD"/>
    <w:rsid w:val="0082776C"/>
    <w:rsid w:val="0083183A"/>
    <w:rsid w:val="00835AE3"/>
    <w:rsid w:val="0083605B"/>
    <w:rsid w:val="00836730"/>
    <w:rsid w:val="00842470"/>
    <w:rsid w:val="00844A29"/>
    <w:rsid w:val="00845E5C"/>
    <w:rsid w:val="00851FFD"/>
    <w:rsid w:val="00857FCA"/>
    <w:rsid w:val="008605AB"/>
    <w:rsid w:val="008625CC"/>
    <w:rsid w:val="008708E8"/>
    <w:rsid w:val="00870F3C"/>
    <w:rsid w:val="00880692"/>
    <w:rsid w:val="008835F3"/>
    <w:rsid w:val="008844A8"/>
    <w:rsid w:val="0088641F"/>
    <w:rsid w:val="00891AD7"/>
    <w:rsid w:val="00896F41"/>
    <w:rsid w:val="00897E98"/>
    <w:rsid w:val="008B0E80"/>
    <w:rsid w:val="008D0A00"/>
    <w:rsid w:val="008D1DA2"/>
    <w:rsid w:val="008D21CF"/>
    <w:rsid w:val="008D46C1"/>
    <w:rsid w:val="008F68AA"/>
    <w:rsid w:val="009049FD"/>
    <w:rsid w:val="00910E74"/>
    <w:rsid w:val="009128D6"/>
    <w:rsid w:val="009201A0"/>
    <w:rsid w:val="00925573"/>
    <w:rsid w:val="009270D9"/>
    <w:rsid w:val="009348C9"/>
    <w:rsid w:val="009360B5"/>
    <w:rsid w:val="00940300"/>
    <w:rsid w:val="00946D05"/>
    <w:rsid w:val="00947755"/>
    <w:rsid w:val="00961ABA"/>
    <w:rsid w:val="00963560"/>
    <w:rsid w:val="00966E13"/>
    <w:rsid w:val="009722EE"/>
    <w:rsid w:val="00972C79"/>
    <w:rsid w:val="00980513"/>
    <w:rsid w:val="00980F43"/>
    <w:rsid w:val="0098272E"/>
    <w:rsid w:val="00982C54"/>
    <w:rsid w:val="00996DA5"/>
    <w:rsid w:val="009A52F3"/>
    <w:rsid w:val="009B103D"/>
    <w:rsid w:val="009B1CE5"/>
    <w:rsid w:val="009B40C7"/>
    <w:rsid w:val="009B70E3"/>
    <w:rsid w:val="009B73DF"/>
    <w:rsid w:val="009C36A7"/>
    <w:rsid w:val="009C4F7F"/>
    <w:rsid w:val="009D221B"/>
    <w:rsid w:val="009F235E"/>
    <w:rsid w:val="00A00CB0"/>
    <w:rsid w:val="00A026C1"/>
    <w:rsid w:val="00A02816"/>
    <w:rsid w:val="00A03168"/>
    <w:rsid w:val="00A06D70"/>
    <w:rsid w:val="00A11403"/>
    <w:rsid w:val="00A13E77"/>
    <w:rsid w:val="00A14A04"/>
    <w:rsid w:val="00A23A99"/>
    <w:rsid w:val="00A32F03"/>
    <w:rsid w:val="00A34D58"/>
    <w:rsid w:val="00A35C04"/>
    <w:rsid w:val="00A36E16"/>
    <w:rsid w:val="00A4397F"/>
    <w:rsid w:val="00A442C5"/>
    <w:rsid w:val="00A517FB"/>
    <w:rsid w:val="00A52EDB"/>
    <w:rsid w:val="00A5323E"/>
    <w:rsid w:val="00A54B81"/>
    <w:rsid w:val="00A561B5"/>
    <w:rsid w:val="00A61F38"/>
    <w:rsid w:val="00A64FAC"/>
    <w:rsid w:val="00A656E1"/>
    <w:rsid w:val="00A70B4C"/>
    <w:rsid w:val="00A714F7"/>
    <w:rsid w:val="00A8049C"/>
    <w:rsid w:val="00A85F6E"/>
    <w:rsid w:val="00A860D4"/>
    <w:rsid w:val="00A86C3A"/>
    <w:rsid w:val="00A9644C"/>
    <w:rsid w:val="00A97859"/>
    <w:rsid w:val="00AA3548"/>
    <w:rsid w:val="00AA3AC4"/>
    <w:rsid w:val="00AB687F"/>
    <w:rsid w:val="00AB7E7A"/>
    <w:rsid w:val="00AC5495"/>
    <w:rsid w:val="00AC7E44"/>
    <w:rsid w:val="00AD144B"/>
    <w:rsid w:val="00AD1AA9"/>
    <w:rsid w:val="00AD631C"/>
    <w:rsid w:val="00AE4E16"/>
    <w:rsid w:val="00AE5F6F"/>
    <w:rsid w:val="00AF0B54"/>
    <w:rsid w:val="00AF3D7B"/>
    <w:rsid w:val="00B004B6"/>
    <w:rsid w:val="00B046A3"/>
    <w:rsid w:val="00B1297C"/>
    <w:rsid w:val="00B22CAC"/>
    <w:rsid w:val="00B30816"/>
    <w:rsid w:val="00B414B3"/>
    <w:rsid w:val="00B42769"/>
    <w:rsid w:val="00B43266"/>
    <w:rsid w:val="00B44D55"/>
    <w:rsid w:val="00B57041"/>
    <w:rsid w:val="00B622B8"/>
    <w:rsid w:val="00B62BFA"/>
    <w:rsid w:val="00B62F58"/>
    <w:rsid w:val="00B651A1"/>
    <w:rsid w:val="00B65B45"/>
    <w:rsid w:val="00B70F96"/>
    <w:rsid w:val="00B77A52"/>
    <w:rsid w:val="00B865CA"/>
    <w:rsid w:val="00B9292F"/>
    <w:rsid w:val="00B92C13"/>
    <w:rsid w:val="00B940AA"/>
    <w:rsid w:val="00BA01C9"/>
    <w:rsid w:val="00BA02E2"/>
    <w:rsid w:val="00BA3E58"/>
    <w:rsid w:val="00BA55AA"/>
    <w:rsid w:val="00BA5EB3"/>
    <w:rsid w:val="00BA7CCF"/>
    <w:rsid w:val="00BB129D"/>
    <w:rsid w:val="00BB5EAF"/>
    <w:rsid w:val="00BC0C10"/>
    <w:rsid w:val="00BC1232"/>
    <w:rsid w:val="00BC1EDE"/>
    <w:rsid w:val="00BC3E14"/>
    <w:rsid w:val="00BD04A7"/>
    <w:rsid w:val="00BD1C61"/>
    <w:rsid w:val="00BD4533"/>
    <w:rsid w:val="00BD5668"/>
    <w:rsid w:val="00BE2B46"/>
    <w:rsid w:val="00BE607E"/>
    <w:rsid w:val="00BF0738"/>
    <w:rsid w:val="00BF459A"/>
    <w:rsid w:val="00C11FB1"/>
    <w:rsid w:val="00C27041"/>
    <w:rsid w:val="00C36F01"/>
    <w:rsid w:val="00C427FB"/>
    <w:rsid w:val="00C46BBE"/>
    <w:rsid w:val="00C55587"/>
    <w:rsid w:val="00C573E5"/>
    <w:rsid w:val="00C577E3"/>
    <w:rsid w:val="00C6044C"/>
    <w:rsid w:val="00C645BA"/>
    <w:rsid w:val="00C6729D"/>
    <w:rsid w:val="00C7359D"/>
    <w:rsid w:val="00C91443"/>
    <w:rsid w:val="00C928DB"/>
    <w:rsid w:val="00C972B1"/>
    <w:rsid w:val="00CB18D4"/>
    <w:rsid w:val="00CB2CA2"/>
    <w:rsid w:val="00CC42CE"/>
    <w:rsid w:val="00CD3624"/>
    <w:rsid w:val="00CD3E2D"/>
    <w:rsid w:val="00CD49D1"/>
    <w:rsid w:val="00CD7E50"/>
    <w:rsid w:val="00CE6736"/>
    <w:rsid w:val="00CE75A6"/>
    <w:rsid w:val="00CE7D5C"/>
    <w:rsid w:val="00CF2E40"/>
    <w:rsid w:val="00CF67D7"/>
    <w:rsid w:val="00CF7709"/>
    <w:rsid w:val="00D075A4"/>
    <w:rsid w:val="00D1030D"/>
    <w:rsid w:val="00D17FE1"/>
    <w:rsid w:val="00D211F7"/>
    <w:rsid w:val="00D237CC"/>
    <w:rsid w:val="00D24539"/>
    <w:rsid w:val="00D256D5"/>
    <w:rsid w:val="00D26E3B"/>
    <w:rsid w:val="00D2704B"/>
    <w:rsid w:val="00D278B6"/>
    <w:rsid w:val="00D315C2"/>
    <w:rsid w:val="00D46B4B"/>
    <w:rsid w:val="00D537BB"/>
    <w:rsid w:val="00D551AB"/>
    <w:rsid w:val="00D75E51"/>
    <w:rsid w:val="00D81141"/>
    <w:rsid w:val="00D821EA"/>
    <w:rsid w:val="00D838DA"/>
    <w:rsid w:val="00D839E4"/>
    <w:rsid w:val="00D841F9"/>
    <w:rsid w:val="00D90A7D"/>
    <w:rsid w:val="00D9324B"/>
    <w:rsid w:val="00D97F58"/>
    <w:rsid w:val="00DA2EB6"/>
    <w:rsid w:val="00DB2565"/>
    <w:rsid w:val="00DB3D01"/>
    <w:rsid w:val="00DB3EBE"/>
    <w:rsid w:val="00DB40D2"/>
    <w:rsid w:val="00DB5446"/>
    <w:rsid w:val="00DD0346"/>
    <w:rsid w:val="00DD0652"/>
    <w:rsid w:val="00DE0856"/>
    <w:rsid w:val="00DE6C3E"/>
    <w:rsid w:val="00DF04B6"/>
    <w:rsid w:val="00DF1160"/>
    <w:rsid w:val="00E027CC"/>
    <w:rsid w:val="00E06DA4"/>
    <w:rsid w:val="00E06E1E"/>
    <w:rsid w:val="00E114D4"/>
    <w:rsid w:val="00E11A95"/>
    <w:rsid w:val="00E21C28"/>
    <w:rsid w:val="00E23B66"/>
    <w:rsid w:val="00E247D5"/>
    <w:rsid w:val="00E3169A"/>
    <w:rsid w:val="00E360C4"/>
    <w:rsid w:val="00E36BA6"/>
    <w:rsid w:val="00E41166"/>
    <w:rsid w:val="00E41D39"/>
    <w:rsid w:val="00E42F82"/>
    <w:rsid w:val="00E514EF"/>
    <w:rsid w:val="00E62A97"/>
    <w:rsid w:val="00E62CAF"/>
    <w:rsid w:val="00E6365D"/>
    <w:rsid w:val="00E65D0F"/>
    <w:rsid w:val="00E7775C"/>
    <w:rsid w:val="00E867E9"/>
    <w:rsid w:val="00E90236"/>
    <w:rsid w:val="00E92B2F"/>
    <w:rsid w:val="00E94580"/>
    <w:rsid w:val="00E95328"/>
    <w:rsid w:val="00E96A63"/>
    <w:rsid w:val="00E974CD"/>
    <w:rsid w:val="00EA4138"/>
    <w:rsid w:val="00EA4F2C"/>
    <w:rsid w:val="00EB6CD6"/>
    <w:rsid w:val="00EB79A9"/>
    <w:rsid w:val="00EC5D5D"/>
    <w:rsid w:val="00ED2E59"/>
    <w:rsid w:val="00EE091B"/>
    <w:rsid w:val="00EE0A3C"/>
    <w:rsid w:val="00EF686A"/>
    <w:rsid w:val="00F003EE"/>
    <w:rsid w:val="00F10DA9"/>
    <w:rsid w:val="00F1464F"/>
    <w:rsid w:val="00F15765"/>
    <w:rsid w:val="00F20E63"/>
    <w:rsid w:val="00F3326E"/>
    <w:rsid w:val="00F36323"/>
    <w:rsid w:val="00F459A1"/>
    <w:rsid w:val="00F61935"/>
    <w:rsid w:val="00F63744"/>
    <w:rsid w:val="00F64802"/>
    <w:rsid w:val="00F670D5"/>
    <w:rsid w:val="00F7343E"/>
    <w:rsid w:val="00F7392D"/>
    <w:rsid w:val="00F82571"/>
    <w:rsid w:val="00F8295B"/>
    <w:rsid w:val="00F8441E"/>
    <w:rsid w:val="00F85586"/>
    <w:rsid w:val="00F866B8"/>
    <w:rsid w:val="00F91367"/>
    <w:rsid w:val="00F94058"/>
    <w:rsid w:val="00F956AC"/>
    <w:rsid w:val="00F96D17"/>
    <w:rsid w:val="00F96D57"/>
    <w:rsid w:val="00FA1392"/>
    <w:rsid w:val="00FA5F56"/>
    <w:rsid w:val="00FA6971"/>
    <w:rsid w:val="00FA79C5"/>
    <w:rsid w:val="00FB20C1"/>
    <w:rsid w:val="00FB2DEE"/>
    <w:rsid w:val="00FC5D81"/>
    <w:rsid w:val="00FD1C3B"/>
    <w:rsid w:val="00FD3F5E"/>
    <w:rsid w:val="00FD549F"/>
    <w:rsid w:val="00FE3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A6103"/>
  <w15:chartTrackingRefBased/>
  <w15:docId w15:val="{8E88525F-EED2-4417-8A22-2E8ADE6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5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587"/>
    <w:rPr>
      <w:rFonts w:ascii="Segoe UI" w:hAnsi="Segoe UI" w:cs="Segoe UI"/>
      <w:sz w:val="18"/>
      <w:szCs w:val="18"/>
    </w:rPr>
  </w:style>
  <w:style w:type="paragraph" w:customStyle="1" w:styleId="Default">
    <w:name w:val="Default"/>
    <w:rsid w:val="00C55587"/>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7245D4"/>
    <w:pPr>
      <w:ind w:left="720"/>
      <w:contextualSpacing/>
    </w:pPr>
  </w:style>
  <w:style w:type="character" w:styleId="PlaceholderText">
    <w:name w:val="Placeholder Text"/>
    <w:basedOn w:val="DefaultParagraphFont"/>
    <w:uiPriority w:val="99"/>
    <w:semiHidden/>
    <w:rsid w:val="00386433"/>
    <w:rPr>
      <w:color w:val="808080"/>
    </w:rPr>
  </w:style>
  <w:style w:type="table" w:styleId="TableGrid">
    <w:name w:val="Table Grid"/>
    <w:basedOn w:val="TableNormal"/>
    <w:uiPriority w:val="39"/>
    <w:rsid w:val="00A85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0ABE"/>
    <w:rPr>
      <w:sz w:val="16"/>
      <w:szCs w:val="16"/>
    </w:rPr>
  </w:style>
  <w:style w:type="paragraph" w:styleId="CommentText">
    <w:name w:val="annotation text"/>
    <w:basedOn w:val="Normal"/>
    <w:link w:val="CommentTextChar"/>
    <w:uiPriority w:val="99"/>
    <w:unhideWhenUsed/>
    <w:rsid w:val="00190ABE"/>
    <w:pPr>
      <w:spacing w:line="240" w:lineRule="auto"/>
    </w:pPr>
    <w:rPr>
      <w:sz w:val="20"/>
      <w:szCs w:val="20"/>
    </w:rPr>
  </w:style>
  <w:style w:type="character" w:customStyle="1" w:styleId="CommentTextChar">
    <w:name w:val="Comment Text Char"/>
    <w:basedOn w:val="DefaultParagraphFont"/>
    <w:link w:val="CommentText"/>
    <w:uiPriority w:val="99"/>
    <w:rsid w:val="00190ABE"/>
    <w:rPr>
      <w:sz w:val="20"/>
      <w:szCs w:val="20"/>
    </w:rPr>
  </w:style>
  <w:style w:type="paragraph" w:styleId="CommentSubject">
    <w:name w:val="annotation subject"/>
    <w:basedOn w:val="CommentText"/>
    <w:next w:val="CommentText"/>
    <w:link w:val="CommentSubjectChar"/>
    <w:uiPriority w:val="99"/>
    <w:semiHidden/>
    <w:unhideWhenUsed/>
    <w:rsid w:val="00190ABE"/>
    <w:rPr>
      <w:b/>
      <w:bCs/>
    </w:rPr>
  </w:style>
  <w:style w:type="character" w:customStyle="1" w:styleId="CommentSubjectChar">
    <w:name w:val="Comment Subject Char"/>
    <w:basedOn w:val="CommentTextChar"/>
    <w:link w:val="CommentSubject"/>
    <w:uiPriority w:val="99"/>
    <w:semiHidden/>
    <w:rsid w:val="00190ABE"/>
    <w:rPr>
      <w:b/>
      <w:bCs/>
      <w:sz w:val="20"/>
      <w:szCs w:val="20"/>
    </w:rPr>
  </w:style>
  <w:style w:type="character" w:styleId="Hyperlink">
    <w:name w:val="Hyperlink"/>
    <w:basedOn w:val="DefaultParagraphFont"/>
    <w:uiPriority w:val="99"/>
    <w:unhideWhenUsed/>
    <w:rsid w:val="00A656E1"/>
    <w:rPr>
      <w:color w:val="0000FF" w:themeColor="hyperlink"/>
      <w:u w:val="single"/>
    </w:rPr>
  </w:style>
  <w:style w:type="character" w:customStyle="1" w:styleId="UnresolvedMention1">
    <w:name w:val="Unresolved Mention1"/>
    <w:basedOn w:val="DefaultParagraphFont"/>
    <w:uiPriority w:val="99"/>
    <w:semiHidden/>
    <w:unhideWhenUsed/>
    <w:rsid w:val="00A656E1"/>
    <w:rPr>
      <w:color w:val="605E5C"/>
      <w:shd w:val="clear" w:color="auto" w:fill="E1DFDD"/>
    </w:rPr>
  </w:style>
  <w:style w:type="paragraph" w:styleId="Revision">
    <w:name w:val="Revision"/>
    <w:hidden/>
    <w:uiPriority w:val="99"/>
    <w:semiHidden/>
    <w:rsid w:val="001C6653"/>
    <w:pPr>
      <w:spacing w:after="0" w:line="240" w:lineRule="auto"/>
    </w:pPr>
  </w:style>
  <w:style w:type="paragraph" w:styleId="NormalWeb">
    <w:name w:val="Normal (Web)"/>
    <w:basedOn w:val="Normal"/>
    <w:uiPriority w:val="99"/>
    <w:semiHidden/>
    <w:unhideWhenUsed/>
    <w:rsid w:val="005A318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21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024"/>
  </w:style>
  <w:style w:type="paragraph" w:styleId="Footer">
    <w:name w:val="footer"/>
    <w:basedOn w:val="Normal"/>
    <w:link w:val="FooterChar"/>
    <w:uiPriority w:val="99"/>
    <w:unhideWhenUsed/>
    <w:rsid w:val="00221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024"/>
  </w:style>
  <w:style w:type="paragraph" w:styleId="FootnoteText">
    <w:name w:val="footnote text"/>
    <w:aliases w:val="ft"/>
    <w:basedOn w:val="Normal"/>
    <w:link w:val="FootnoteTextChar"/>
    <w:uiPriority w:val="99"/>
    <w:unhideWhenUsed/>
    <w:rsid w:val="002459AB"/>
    <w:pPr>
      <w:snapToGrid w:val="0"/>
      <w:spacing w:after="0" w:line="240" w:lineRule="auto"/>
    </w:pPr>
    <w:rPr>
      <w:rFonts w:ascii="Calibri" w:eastAsia="SimSun" w:hAnsi="Calibri" w:cs="Calibri"/>
      <w:lang w:eastAsia="zh-CN"/>
    </w:rPr>
  </w:style>
  <w:style w:type="character" w:customStyle="1" w:styleId="FootnoteTextChar">
    <w:name w:val="Footnote Text Char"/>
    <w:aliases w:val="ft Char"/>
    <w:basedOn w:val="DefaultParagraphFont"/>
    <w:link w:val="FootnoteText"/>
    <w:uiPriority w:val="99"/>
    <w:rsid w:val="002459AB"/>
    <w:rPr>
      <w:rFonts w:ascii="Calibri" w:eastAsia="SimSun" w:hAnsi="Calibri" w:cs="Calibri"/>
      <w:lang w:eastAsia="zh-CN"/>
    </w:rPr>
  </w:style>
  <w:style w:type="character" w:styleId="FootnoteReference">
    <w:name w:val="footnote reference"/>
    <w:aliases w:val="fr"/>
    <w:basedOn w:val="DefaultParagraphFont"/>
    <w:uiPriority w:val="99"/>
    <w:unhideWhenUsed/>
    <w:rsid w:val="002459AB"/>
    <w:rPr>
      <w:vertAlign w:val="superscript"/>
    </w:rPr>
  </w:style>
  <w:style w:type="character" w:customStyle="1" w:styleId="fontstyle11">
    <w:name w:val="fontstyle11"/>
    <w:basedOn w:val="DefaultParagraphFont"/>
    <w:rsid w:val="001209D9"/>
    <w:rPr>
      <w:rFonts w:ascii="Cambria" w:hAnsi="Cambria" w:hint="default"/>
      <w:b w:val="0"/>
      <w:bCs w:val="0"/>
      <w:i w:val="0"/>
      <w:iCs w:val="0"/>
      <w:color w:val="000000"/>
      <w:sz w:val="20"/>
      <w:szCs w:val="20"/>
    </w:rPr>
  </w:style>
  <w:style w:type="paragraph" w:styleId="Title">
    <w:name w:val="Title"/>
    <w:basedOn w:val="Normal"/>
    <w:next w:val="Normal"/>
    <w:link w:val="TitleChar"/>
    <w:uiPriority w:val="10"/>
    <w:qFormat/>
    <w:rsid w:val="007B30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3001"/>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7B3001"/>
    <w:rPr>
      <w:b/>
      <w:bCs/>
      <w:smallCaps/>
      <w:spacing w:val="5"/>
    </w:rPr>
  </w:style>
  <w:style w:type="table" w:customStyle="1" w:styleId="TableGrid1">
    <w:name w:val="Table Grid1"/>
    <w:basedOn w:val="TableNormal"/>
    <w:next w:val="TableGrid"/>
    <w:uiPriority w:val="39"/>
    <w:rsid w:val="00814E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82571"/>
    <w:rPr>
      <w:color w:val="800080" w:themeColor="followedHyperlink"/>
      <w:u w:val="single"/>
    </w:rPr>
  </w:style>
  <w:style w:type="table" w:customStyle="1" w:styleId="TableGrid2">
    <w:name w:val="Table Grid2"/>
    <w:basedOn w:val="TableNormal"/>
    <w:next w:val="TableGrid"/>
    <w:uiPriority w:val="39"/>
    <w:rsid w:val="0037484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Norm2">
    <w:name w:val="Tableau Norm2"/>
    <w:uiPriority w:val="99"/>
    <w:semiHidden/>
    <w:rsid w:val="00307F00"/>
    <w:pPr>
      <w:spacing w:after="0" w:line="240" w:lineRule="auto"/>
    </w:pPr>
    <w:rPr>
      <w:rFonts w:ascii="Calibri" w:eastAsia="Calibri" w:hAnsi="Calibri" w:cs="Times New Roman"/>
      <w:sz w:val="20"/>
      <w:szCs w:val="20"/>
      <w:lang w:eastAsia="es-ES" w:bidi="es-ES"/>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359555">
      <w:bodyDiv w:val="1"/>
      <w:marLeft w:val="0"/>
      <w:marRight w:val="0"/>
      <w:marTop w:val="0"/>
      <w:marBottom w:val="0"/>
      <w:divBdr>
        <w:top w:val="none" w:sz="0" w:space="0" w:color="auto"/>
        <w:left w:val="none" w:sz="0" w:space="0" w:color="auto"/>
        <w:bottom w:val="none" w:sz="0" w:space="0" w:color="auto"/>
        <w:right w:val="none" w:sz="0" w:space="0" w:color="auto"/>
      </w:divBdr>
    </w:div>
    <w:div w:id="305398667">
      <w:bodyDiv w:val="1"/>
      <w:marLeft w:val="0"/>
      <w:marRight w:val="0"/>
      <w:marTop w:val="0"/>
      <w:marBottom w:val="0"/>
      <w:divBdr>
        <w:top w:val="none" w:sz="0" w:space="0" w:color="auto"/>
        <w:left w:val="none" w:sz="0" w:space="0" w:color="auto"/>
        <w:bottom w:val="none" w:sz="0" w:space="0" w:color="auto"/>
        <w:right w:val="none" w:sz="0" w:space="0" w:color="auto"/>
      </w:divBdr>
    </w:div>
    <w:div w:id="545988013">
      <w:bodyDiv w:val="1"/>
      <w:marLeft w:val="0"/>
      <w:marRight w:val="0"/>
      <w:marTop w:val="0"/>
      <w:marBottom w:val="0"/>
      <w:divBdr>
        <w:top w:val="none" w:sz="0" w:space="0" w:color="auto"/>
        <w:left w:val="none" w:sz="0" w:space="0" w:color="auto"/>
        <w:bottom w:val="none" w:sz="0" w:space="0" w:color="auto"/>
        <w:right w:val="none" w:sz="0" w:space="0" w:color="auto"/>
      </w:divBdr>
      <w:divsChild>
        <w:div w:id="613482874">
          <w:marLeft w:val="0"/>
          <w:marRight w:val="0"/>
          <w:marTop w:val="0"/>
          <w:marBottom w:val="0"/>
          <w:divBdr>
            <w:top w:val="none" w:sz="0" w:space="0" w:color="auto"/>
            <w:left w:val="none" w:sz="0" w:space="0" w:color="auto"/>
            <w:bottom w:val="none" w:sz="0" w:space="0" w:color="auto"/>
            <w:right w:val="none" w:sz="0" w:space="0" w:color="auto"/>
          </w:divBdr>
          <w:divsChild>
            <w:div w:id="524172186">
              <w:marLeft w:val="0"/>
              <w:marRight w:val="0"/>
              <w:marTop w:val="0"/>
              <w:marBottom w:val="0"/>
              <w:divBdr>
                <w:top w:val="none" w:sz="0" w:space="0" w:color="auto"/>
                <w:left w:val="none" w:sz="0" w:space="0" w:color="auto"/>
                <w:bottom w:val="none" w:sz="0" w:space="0" w:color="auto"/>
                <w:right w:val="none" w:sz="0" w:space="0" w:color="auto"/>
              </w:divBdr>
              <w:divsChild>
                <w:div w:id="169831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810867">
      <w:bodyDiv w:val="1"/>
      <w:marLeft w:val="0"/>
      <w:marRight w:val="0"/>
      <w:marTop w:val="0"/>
      <w:marBottom w:val="0"/>
      <w:divBdr>
        <w:top w:val="none" w:sz="0" w:space="0" w:color="auto"/>
        <w:left w:val="none" w:sz="0" w:space="0" w:color="auto"/>
        <w:bottom w:val="none" w:sz="0" w:space="0" w:color="auto"/>
        <w:right w:val="none" w:sz="0" w:space="0" w:color="auto"/>
      </w:divBdr>
    </w:div>
    <w:div w:id="1612467798">
      <w:bodyDiv w:val="1"/>
      <w:marLeft w:val="0"/>
      <w:marRight w:val="0"/>
      <w:marTop w:val="0"/>
      <w:marBottom w:val="0"/>
      <w:divBdr>
        <w:top w:val="none" w:sz="0" w:space="0" w:color="auto"/>
        <w:left w:val="none" w:sz="0" w:space="0" w:color="auto"/>
        <w:bottom w:val="none" w:sz="0" w:space="0" w:color="auto"/>
        <w:right w:val="none" w:sz="0" w:space="0" w:color="auto"/>
      </w:divBdr>
      <w:divsChild>
        <w:div w:id="1615595589">
          <w:marLeft w:val="0"/>
          <w:marRight w:val="0"/>
          <w:marTop w:val="0"/>
          <w:marBottom w:val="0"/>
          <w:divBdr>
            <w:top w:val="none" w:sz="0" w:space="0" w:color="auto"/>
            <w:left w:val="none" w:sz="0" w:space="0" w:color="auto"/>
            <w:bottom w:val="none" w:sz="0" w:space="0" w:color="auto"/>
            <w:right w:val="none" w:sz="0" w:space="0" w:color="auto"/>
          </w:divBdr>
        </w:div>
        <w:div w:id="1248492797">
          <w:marLeft w:val="0"/>
          <w:marRight w:val="0"/>
          <w:marTop w:val="0"/>
          <w:marBottom w:val="0"/>
          <w:divBdr>
            <w:top w:val="none" w:sz="0" w:space="0" w:color="auto"/>
            <w:left w:val="none" w:sz="0" w:space="0" w:color="auto"/>
            <w:bottom w:val="none" w:sz="0" w:space="0" w:color="auto"/>
            <w:right w:val="none" w:sz="0" w:space="0" w:color="auto"/>
          </w:divBdr>
        </w:div>
        <w:div w:id="390665170">
          <w:marLeft w:val="0"/>
          <w:marRight w:val="0"/>
          <w:marTop w:val="0"/>
          <w:marBottom w:val="0"/>
          <w:divBdr>
            <w:top w:val="none" w:sz="0" w:space="0" w:color="auto"/>
            <w:left w:val="none" w:sz="0" w:space="0" w:color="auto"/>
            <w:bottom w:val="none" w:sz="0" w:space="0" w:color="auto"/>
            <w:right w:val="none" w:sz="0" w:space="0" w:color="auto"/>
          </w:divBdr>
        </w:div>
      </w:divsChild>
    </w:div>
    <w:div w:id="1887598471">
      <w:bodyDiv w:val="1"/>
      <w:marLeft w:val="0"/>
      <w:marRight w:val="0"/>
      <w:marTop w:val="0"/>
      <w:marBottom w:val="0"/>
      <w:divBdr>
        <w:top w:val="none" w:sz="0" w:space="0" w:color="auto"/>
        <w:left w:val="none" w:sz="0" w:space="0" w:color="auto"/>
        <w:bottom w:val="none" w:sz="0" w:space="0" w:color="auto"/>
        <w:right w:val="none" w:sz="0" w:space="0" w:color="auto"/>
      </w:divBdr>
      <w:divsChild>
        <w:div w:id="224729233">
          <w:marLeft w:val="0"/>
          <w:marRight w:val="0"/>
          <w:marTop w:val="0"/>
          <w:marBottom w:val="0"/>
          <w:divBdr>
            <w:top w:val="none" w:sz="0" w:space="0" w:color="auto"/>
            <w:left w:val="none" w:sz="0" w:space="0" w:color="auto"/>
            <w:bottom w:val="none" w:sz="0" w:space="0" w:color="auto"/>
            <w:right w:val="none" w:sz="0" w:space="0" w:color="auto"/>
          </w:divBdr>
          <w:divsChild>
            <w:div w:id="332342418">
              <w:marLeft w:val="0"/>
              <w:marRight w:val="0"/>
              <w:marTop w:val="0"/>
              <w:marBottom w:val="0"/>
              <w:divBdr>
                <w:top w:val="none" w:sz="0" w:space="0" w:color="auto"/>
                <w:left w:val="none" w:sz="0" w:space="0" w:color="auto"/>
                <w:bottom w:val="none" w:sz="0" w:space="0" w:color="auto"/>
                <w:right w:val="none" w:sz="0" w:space="0" w:color="auto"/>
              </w:divBdr>
              <w:divsChild>
                <w:div w:id="1841696573">
                  <w:marLeft w:val="0"/>
                  <w:marRight w:val="0"/>
                  <w:marTop w:val="0"/>
                  <w:marBottom w:val="0"/>
                  <w:divBdr>
                    <w:top w:val="none" w:sz="0" w:space="0" w:color="auto"/>
                    <w:left w:val="none" w:sz="0" w:space="0" w:color="auto"/>
                    <w:bottom w:val="none" w:sz="0" w:space="0" w:color="auto"/>
                    <w:right w:val="none" w:sz="0" w:space="0" w:color="auto"/>
                  </w:divBdr>
                </w:div>
              </w:divsChild>
            </w:div>
            <w:div w:id="738942012">
              <w:marLeft w:val="0"/>
              <w:marRight w:val="0"/>
              <w:marTop w:val="0"/>
              <w:marBottom w:val="0"/>
              <w:divBdr>
                <w:top w:val="none" w:sz="0" w:space="0" w:color="auto"/>
                <w:left w:val="none" w:sz="0" w:space="0" w:color="auto"/>
                <w:bottom w:val="none" w:sz="0" w:space="0" w:color="auto"/>
                <w:right w:val="none" w:sz="0" w:space="0" w:color="auto"/>
              </w:divBdr>
              <w:divsChild>
                <w:div w:id="867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857305">
      <w:bodyDiv w:val="1"/>
      <w:marLeft w:val="0"/>
      <w:marRight w:val="0"/>
      <w:marTop w:val="0"/>
      <w:marBottom w:val="0"/>
      <w:divBdr>
        <w:top w:val="none" w:sz="0" w:space="0" w:color="auto"/>
        <w:left w:val="none" w:sz="0" w:space="0" w:color="auto"/>
        <w:bottom w:val="none" w:sz="0" w:space="0" w:color="auto"/>
        <w:right w:val="none" w:sz="0" w:space="0" w:color="auto"/>
      </w:divBdr>
    </w:div>
    <w:div w:id="2010206281">
      <w:bodyDiv w:val="1"/>
      <w:marLeft w:val="0"/>
      <w:marRight w:val="0"/>
      <w:marTop w:val="0"/>
      <w:marBottom w:val="0"/>
      <w:divBdr>
        <w:top w:val="none" w:sz="0" w:space="0" w:color="auto"/>
        <w:left w:val="none" w:sz="0" w:space="0" w:color="auto"/>
        <w:bottom w:val="none" w:sz="0" w:space="0" w:color="auto"/>
        <w:right w:val="none" w:sz="0" w:space="0" w:color="auto"/>
      </w:divBdr>
    </w:div>
    <w:div w:id="205083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03T13:53:39.451"/>
    </inkml:context>
    <inkml:brush xml:id="br0">
      <inkml:brushProperty name="width" value="0.05" units="cm"/>
      <inkml:brushProperty name="height" value="0.05" units="cm"/>
      <inkml:brushProperty name="ignorePressure" value="1"/>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73719-EDFB-4A1D-BE49-14D781E9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16</Pages>
  <Words>4417</Words>
  <Characters>25183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BIAGI Franco (MARE)</dc:creator>
  <cp:keywords/>
  <dc:description/>
  <cp:lastModifiedBy>autor</cp:lastModifiedBy>
  <cp:revision>30</cp:revision>
  <cp:lastPrinted>2021-11-07T16:06:00Z</cp:lastPrinted>
  <dcterms:created xsi:type="dcterms:W3CDTF">2021-11-30T07:59:00Z</dcterms:created>
  <dcterms:modified xsi:type="dcterms:W3CDTF">2021-12-17T07:23:00Z</dcterms:modified>
</cp:coreProperties>
</file>