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40AF" w14:textId="6682A939" w:rsidR="000A7818" w:rsidRPr="009558E6" w:rsidRDefault="00956F4C" w:rsidP="009558E6">
      <w:pPr>
        <w:pBdr>
          <w:top w:val="double" w:sz="4" w:space="1" w:color="auto"/>
          <w:left w:val="double" w:sz="4" w:space="4" w:color="auto"/>
          <w:bottom w:val="double" w:sz="4" w:space="1" w:color="auto"/>
          <w:right w:val="double" w:sz="4" w:space="4" w:color="auto"/>
        </w:pBdr>
        <w:spacing w:after="0" w:line="240" w:lineRule="auto"/>
        <w:ind w:left="8222" w:hanging="8222"/>
        <w:contextualSpacing/>
        <w:jc w:val="both"/>
        <w:rPr>
          <w:rFonts w:asciiTheme="majorHAnsi" w:hAnsiTheme="majorHAnsi"/>
          <w:b/>
          <w:bCs/>
          <w:sz w:val="20"/>
          <w:szCs w:val="20"/>
        </w:rPr>
      </w:pPr>
      <w:r w:rsidRPr="009558E6">
        <w:rPr>
          <w:rFonts w:asciiTheme="majorHAnsi" w:hAnsiTheme="majorHAnsi"/>
          <w:b/>
          <w:bCs/>
          <w:sz w:val="20"/>
          <w:szCs w:val="20"/>
        </w:rPr>
        <w:t>21-</w:t>
      </w:r>
      <w:r w:rsidR="00CC49E4" w:rsidRPr="009558E6">
        <w:rPr>
          <w:rFonts w:asciiTheme="majorHAnsi" w:hAnsiTheme="majorHAnsi"/>
          <w:b/>
          <w:bCs/>
          <w:sz w:val="20"/>
          <w:szCs w:val="20"/>
        </w:rPr>
        <w:t>04</w:t>
      </w:r>
      <w:r w:rsidRPr="009558E6">
        <w:rPr>
          <w:rFonts w:asciiTheme="majorHAnsi" w:hAnsiTheme="majorHAnsi"/>
          <w:b/>
          <w:bCs/>
          <w:sz w:val="20"/>
          <w:szCs w:val="20"/>
        </w:rPr>
        <w:tab/>
      </w:r>
      <w:r w:rsidR="00CC49E4" w:rsidRPr="009558E6">
        <w:rPr>
          <w:rFonts w:asciiTheme="majorHAnsi" w:hAnsiTheme="majorHAnsi"/>
          <w:b/>
          <w:bCs/>
          <w:sz w:val="20"/>
          <w:szCs w:val="20"/>
        </w:rPr>
        <w:t>ALB</w:t>
      </w:r>
    </w:p>
    <w:p w14:paraId="6F216ECC" w14:textId="77777777" w:rsidR="00956F4C" w:rsidRPr="009558E6" w:rsidRDefault="00956F4C" w:rsidP="00956F4C">
      <w:pPr>
        <w:pBdr>
          <w:top w:val="double" w:sz="4" w:space="1" w:color="auto"/>
          <w:left w:val="double" w:sz="4" w:space="4" w:color="auto"/>
          <w:bottom w:val="double" w:sz="4" w:space="1" w:color="auto"/>
          <w:right w:val="double" w:sz="4" w:space="4" w:color="auto"/>
        </w:pBdr>
        <w:spacing w:after="0" w:line="240" w:lineRule="auto"/>
        <w:contextualSpacing/>
        <w:jc w:val="both"/>
        <w:rPr>
          <w:rFonts w:asciiTheme="majorHAnsi" w:hAnsiTheme="majorHAnsi"/>
          <w:b/>
          <w:bCs/>
          <w:sz w:val="20"/>
          <w:szCs w:val="20"/>
        </w:rPr>
      </w:pPr>
    </w:p>
    <w:p w14:paraId="6EAF5412" w14:textId="3E5F2F9A" w:rsidR="00D466ED" w:rsidRPr="009558E6" w:rsidRDefault="00D466ED" w:rsidP="000A7818">
      <w:pPr>
        <w:pBdr>
          <w:top w:val="double" w:sz="4" w:space="1" w:color="auto"/>
          <w:left w:val="double" w:sz="4" w:space="4" w:color="auto"/>
          <w:bottom w:val="double" w:sz="4" w:space="1" w:color="auto"/>
          <w:right w:val="double" w:sz="4" w:space="4" w:color="auto"/>
        </w:pBdr>
        <w:spacing w:after="0" w:line="240" w:lineRule="auto"/>
        <w:contextualSpacing/>
        <w:jc w:val="center"/>
        <w:rPr>
          <w:rFonts w:asciiTheme="majorHAnsi" w:hAnsiTheme="majorHAnsi"/>
          <w:b/>
          <w:bCs/>
          <w:sz w:val="20"/>
          <w:szCs w:val="20"/>
        </w:rPr>
      </w:pPr>
      <w:bookmarkStart w:id="0" w:name="_Hlk89173888"/>
      <w:r w:rsidRPr="009558E6">
        <w:rPr>
          <w:rFonts w:asciiTheme="majorHAnsi" w:hAnsiTheme="majorHAnsi"/>
          <w:b/>
          <w:bCs/>
          <w:sz w:val="20"/>
          <w:szCs w:val="20"/>
        </w:rPr>
        <w:t>RECOMMANDATION DE L'ICCAT SUR DES MESURES DE CONSERVATION ET DE GESTION, INCLUANT UNE PROCÉDURE DE GESTION ET UN PROTOCOLE DE CIRCONSTANCES EXCEPTIONNELLES, POUR LE GERMON DE L’ATLANTIQUE NORD</w:t>
      </w:r>
    </w:p>
    <w:bookmarkEnd w:id="0"/>
    <w:p w14:paraId="64B1EFFD" w14:textId="77777777" w:rsidR="000A7818" w:rsidRPr="009558E6" w:rsidRDefault="000A7818" w:rsidP="000A7818">
      <w:pPr>
        <w:pBdr>
          <w:top w:val="double" w:sz="4" w:space="1" w:color="auto"/>
          <w:left w:val="double" w:sz="4" w:space="4" w:color="auto"/>
          <w:bottom w:val="double" w:sz="4" w:space="1" w:color="auto"/>
          <w:right w:val="double" w:sz="4" w:space="4" w:color="auto"/>
        </w:pBdr>
        <w:spacing w:after="0" w:line="240" w:lineRule="auto"/>
        <w:contextualSpacing/>
        <w:jc w:val="center"/>
        <w:rPr>
          <w:rFonts w:asciiTheme="majorHAnsi" w:hAnsiTheme="majorHAnsi"/>
          <w:b/>
          <w:bCs/>
          <w:sz w:val="20"/>
          <w:szCs w:val="20"/>
        </w:rPr>
      </w:pPr>
    </w:p>
    <w:p w14:paraId="7B1AC092" w14:textId="667DB6B8" w:rsidR="00C55587" w:rsidRPr="009558E6" w:rsidRDefault="00C55587" w:rsidP="0035431C">
      <w:pPr>
        <w:spacing w:after="0" w:line="240" w:lineRule="auto"/>
        <w:contextualSpacing/>
        <w:jc w:val="center"/>
        <w:rPr>
          <w:rFonts w:asciiTheme="majorHAnsi" w:hAnsiTheme="majorHAnsi"/>
          <w:sz w:val="20"/>
          <w:szCs w:val="20"/>
        </w:rPr>
      </w:pPr>
    </w:p>
    <w:p w14:paraId="4A5D39FA" w14:textId="45B85D06" w:rsidR="003958A3" w:rsidRPr="009558E6" w:rsidRDefault="003958A3" w:rsidP="0035431C">
      <w:pPr>
        <w:pStyle w:val="Default"/>
        <w:ind w:firstLine="720"/>
        <w:contextualSpacing/>
        <w:jc w:val="both"/>
        <w:rPr>
          <w:rFonts w:asciiTheme="majorHAnsi" w:hAnsiTheme="majorHAnsi"/>
          <w:i/>
          <w:color w:val="auto"/>
          <w:sz w:val="20"/>
          <w:szCs w:val="20"/>
        </w:rPr>
      </w:pPr>
    </w:p>
    <w:p w14:paraId="11C3C494" w14:textId="429E003B" w:rsidR="00A70B4C" w:rsidRPr="009558E6" w:rsidRDefault="00A70B4C" w:rsidP="00D466ED">
      <w:pPr>
        <w:pStyle w:val="Default"/>
        <w:ind w:firstLine="426"/>
        <w:contextualSpacing/>
        <w:jc w:val="both"/>
        <w:rPr>
          <w:rFonts w:asciiTheme="majorHAnsi" w:hAnsiTheme="majorHAnsi"/>
          <w:color w:val="auto"/>
          <w:sz w:val="20"/>
          <w:szCs w:val="20"/>
        </w:rPr>
      </w:pPr>
      <w:r w:rsidRPr="009558E6">
        <w:rPr>
          <w:rFonts w:asciiTheme="majorHAnsi" w:hAnsiTheme="majorHAnsi"/>
          <w:i/>
          <w:color w:val="auto"/>
          <w:sz w:val="20"/>
          <w:szCs w:val="20"/>
        </w:rPr>
        <w:t>NOTANT</w:t>
      </w:r>
      <w:r w:rsidRPr="009558E6">
        <w:rPr>
          <w:rFonts w:asciiTheme="majorHAnsi" w:hAnsiTheme="majorHAnsi"/>
          <w:color w:val="auto"/>
          <w:sz w:val="20"/>
          <w:szCs w:val="20"/>
        </w:rPr>
        <w:t xml:space="preserve"> que l’objectif de la Convention est de maintenir les populations </w:t>
      </w:r>
      <w:r w:rsidR="00E555A1" w:rsidRPr="009558E6">
        <w:rPr>
          <w:rFonts w:asciiTheme="majorHAnsi" w:hAnsiTheme="majorHAnsi"/>
          <w:color w:val="auto"/>
          <w:sz w:val="20"/>
          <w:szCs w:val="20"/>
        </w:rPr>
        <w:t xml:space="preserve">de thonidés et d’espèces </w:t>
      </w:r>
      <w:r w:rsidR="00B67F56" w:rsidRPr="009558E6">
        <w:rPr>
          <w:rFonts w:asciiTheme="majorHAnsi" w:hAnsiTheme="majorHAnsi"/>
          <w:color w:val="auto"/>
          <w:sz w:val="20"/>
          <w:szCs w:val="20"/>
        </w:rPr>
        <w:t>apparentées</w:t>
      </w:r>
      <w:r w:rsidR="00E555A1" w:rsidRPr="009558E6">
        <w:rPr>
          <w:rFonts w:asciiTheme="majorHAnsi" w:hAnsiTheme="majorHAnsi"/>
          <w:color w:val="auto"/>
          <w:sz w:val="20"/>
          <w:szCs w:val="20"/>
        </w:rPr>
        <w:t xml:space="preserve"> </w:t>
      </w:r>
      <w:r w:rsidRPr="009558E6">
        <w:rPr>
          <w:rFonts w:asciiTheme="majorHAnsi" w:hAnsiTheme="majorHAnsi"/>
          <w:color w:val="auto"/>
          <w:sz w:val="20"/>
          <w:szCs w:val="20"/>
        </w:rPr>
        <w:t xml:space="preserve">à des niveaux qui permettront la prise maximale équilibrée (dénommée généralement </w:t>
      </w:r>
      <w:r w:rsidR="007F07E0" w:rsidRPr="009558E6">
        <w:rPr>
          <w:rFonts w:asciiTheme="majorHAnsi" w:hAnsiTheme="majorHAnsi"/>
          <w:color w:val="auto"/>
          <w:sz w:val="20"/>
          <w:szCs w:val="20"/>
        </w:rPr>
        <w:t>« </w:t>
      </w:r>
      <w:r w:rsidRPr="009558E6">
        <w:rPr>
          <w:rFonts w:asciiTheme="majorHAnsi" w:hAnsiTheme="majorHAnsi"/>
          <w:color w:val="auto"/>
          <w:sz w:val="20"/>
          <w:szCs w:val="20"/>
        </w:rPr>
        <w:t>production maximale équilibrée »</w:t>
      </w:r>
      <w:r w:rsidR="007F07E0" w:rsidRPr="009558E6">
        <w:rPr>
          <w:rFonts w:asciiTheme="majorHAnsi" w:hAnsiTheme="majorHAnsi"/>
          <w:color w:val="auto"/>
          <w:sz w:val="20"/>
          <w:szCs w:val="20"/>
        </w:rPr>
        <w:t xml:space="preserve"> (PME)</w:t>
      </w:r>
      <w:r w:rsidRPr="009558E6">
        <w:rPr>
          <w:rFonts w:asciiTheme="majorHAnsi" w:hAnsiTheme="majorHAnsi"/>
          <w:color w:val="auto"/>
          <w:sz w:val="20"/>
          <w:szCs w:val="20"/>
        </w:rPr>
        <w:t>) ;</w:t>
      </w:r>
    </w:p>
    <w:p w14:paraId="181285BF" w14:textId="77777777" w:rsidR="0035431C" w:rsidRPr="009558E6" w:rsidRDefault="0035431C" w:rsidP="00D466ED">
      <w:pPr>
        <w:pStyle w:val="Default"/>
        <w:ind w:firstLine="426"/>
        <w:contextualSpacing/>
        <w:jc w:val="both"/>
        <w:rPr>
          <w:rFonts w:asciiTheme="majorHAnsi" w:hAnsiTheme="majorHAnsi"/>
          <w:color w:val="auto"/>
          <w:sz w:val="20"/>
          <w:szCs w:val="20"/>
        </w:rPr>
      </w:pPr>
    </w:p>
    <w:p w14:paraId="776D6C4C" w14:textId="348A9D81" w:rsidR="006B22BF" w:rsidRPr="009558E6" w:rsidRDefault="006B22BF" w:rsidP="00D466ED">
      <w:pPr>
        <w:pStyle w:val="Default"/>
        <w:ind w:firstLine="426"/>
        <w:contextualSpacing/>
        <w:jc w:val="both"/>
        <w:rPr>
          <w:rFonts w:asciiTheme="majorHAnsi" w:hAnsiTheme="majorHAnsi"/>
          <w:color w:val="auto"/>
          <w:sz w:val="20"/>
          <w:szCs w:val="20"/>
        </w:rPr>
      </w:pPr>
      <w:r w:rsidRPr="009558E6">
        <w:rPr>
          <w:rFonts w:asciiTheme="majorHAnsi" w:hAnsiTheme="majorHAnsi"/>
          <w:i/>
          <w:iCs/>
          <w:color w:val="auto"/>
          <w:sz w:val="20"/>
          <w:szCs w:val="20"/>
        </w:rPr>
        <w:t>RECONNAISSANT</w:t>
      </w:r>
      <w:r w:rsidRPr="009558E6">
        <w:rPr>
          <w:rFonts w:asciiTheme="majorHAnsi" w:hAnsiTheme="majorHAnsi"/>
          <w:color w:val="auto"/>
          <w:sz w:val="20"/>
          <w:szCs w:val="20"/>
        </w:rPr>
        <w:t xml:space="preserve"> l'intention de la Commission d'adopter des règles de contrôle de l’exploitation (HCR) et des procédures de gestion </w:t>
      </w:r>
      <w:r w:rsidR="00AD0460" w:rsidRPr="009558E6">
        <w:rPr>
          <w:rFonts w:asciiTheme="majorHAnsi" w:hAnsiTheme="majorHAnsi"/>
          <w:color w:val="auto"/>
          <w:sz w:val="20"/>
          <w:szCs w:val="20"/>
        </w:rPr>
        <w:t xml:space="preserve">(MP) </w:t>
      </w:r>
      <w:r w:rsidRPr="009558E6">
        <w:rPr>
          <w:rFonts w:asciiTheme="majorHAnsi" w:hAnsiTheme="majorHAnsi"/>
          <w:color w:val="auto"/>
          <w:sz w:val="20"/>
          <w:szCs w:val="20"/>
        </w:rPr>
        <w:t xml:space="preserve">développées en utilisant l'évaluation de la stratégie de gestion (MSE), conformément à la </w:t>
      </w:r>
      <w:r w:rsidRPr="009558E6">
        <w:rPr>
          <w:rFonts w:asciiTheme="majorHAnsi" w:hAnsiTheme="majorHAnsi"/>
          <w:i/>
          <w:iCs/>
          <w:color w:val="auto"/>
          <w:sz w:val="20"/>
          <w:szCs w:val="20"/>
        </w:rPr>
        <w:t>Recommandation de l’ICCAT sur le développement de règles de contrôle de l’exploitation et d'une évaluation de la stratégie de gestion</w:t>
      </w:r>
      <w:r w:rsidRPr="009558E6">
        <w:rPr>
          <w:rFonts w:asciiTheme="majorHAnsi" w:hAnsiTheme="majorHAnsi"/>
          <w:color w:val="auto"/>
          <w:sz w:val="20"/>
          <w:szCs w:val="20"/>
        </w:rPr>
        <w:t xml:space="preserve"> (Rec. 15-07) ;</w:t>
      </w:r>
    </w:p>
    <w:p w14:paraId="6D28B823" w14:textId="77777777" w:rsidR="0035431C" w:rsidRPr="009558E6" w:rsidRDefault="0035431C" w:rsidP="00D466ED">
      <w:pPr>
        <w:pStyle w:val="Default"/>
        <w:ind w:firstLine="426"/>
        <w:contextualSpacing/>
        <w:jc w:val="both"/>
        <w:rPr>
          <w:rFonts w:asciiTheme="majorHAnsi" w:hAnsiTheme="majorHAnsi"/>
          <w:color w:val="auto"/>
          <w:sz w:val="20"/>
          <w:szCs w:val="20"/>
        </w:rPr>
      </w:pPr>
    </w:p>
    <w:p w14:paraId="14B2629C" w14:textId="27C7442E" w:rsidR="003433B2" w:rsidRPr="009558E6" w:rsidRDefault="003433B2" w:rsidP="00D466ED">
      <w:pPr>
        <w:autoSpaceDE w:val="0"/>
        <w:autoSpaceDN w:val="0"/>
        <w:adjustRightInd w:val="0"/>
        <w:spacing w:after="0" w:line="240" w:lineRule="auto"/>
        <w:ind w:firstLine="426"/>
        <w:contextualSpacing/>
        <w:jc w:val="both"/>
        <w:rPr>
          <w:rFonts w:asciiTheme="majorHAnsi" w:hAnsiTheme="majorHAnsi"/>
          <w:iCs/>
          <w:sz w:val="20"/>
          <w:szCs w:val="20"/>
        </w:rPr>
      </w:pPr>
      <w:r w:rsidRPr="009558E6">
        <w:rPr>
          <w:rFonts w:asciiTheme="majorHAnsi" w:hAnsiTheme="majorHAnsi"/>
          <w:i/>
          <w:sz w:val="20"/>
          <w:szCs w:val="20"/>
        </w:rPr>
        <w:t>RAPPELANT</w:t>
      </w:r>
      <w:r w:rsidRPr="009558E6">
        <w:rPr>
          <w:rFonts w:asciiTheme="majorHAnsi" w:hAnsiTheme="majorHAnsi"/>
          <w:iCs/>
          <w:sz w:val="20"/>
          <w:szCs w:val="20"/>
        </w:rPr>
        <w:t xml:space="preserve"> que le paragraphe 18 de la </w:t>
      </w:r>
      <w:r w:rsidRPr="009558E6">
        <w:rPr>
          <w:rFonts w:asciiTheme="majorHAnsi" w:hAnsiTheme="majorHAnsi"/>
          <w:i/>
          <w:iCs/>
          <w:sz w:val="20"/>
          <w:szCs w:val="20"/>
        </w:rPr>
        <w:t>Recommandation de l’ICCAT sur une règle de contrôle de l’exploitation pour le germon de l’Atlantique Nord complétant le programme pluriannuel de conservation et de gestion de la Rec. 16-06</w:t>
      </w:r>
      <w:r w:rsidRPr="009558E6">
        <w:rPr>
          <w:rFonts w:asciiTheme="majorHAnsi" w:hAnsiTheme="majorHAnsi"/>
          <w:iCs/>
          <w:sz w:val="20"/>
          <w:szCs w:val="20"/>
        </w:rPr>
        <w:t xml:space="preserve"> (Rec. 17-04) </w:t>
      </w:r>
      <w:r w:rsidR="00E555A1" w:rsidRPr="009558E6">
        <w:rPr>
          <w:rFonts w:asciiTheme="majorHAnsi" w:hAnsiTheme="majorHAnsi"/>
          <w:iCs/>
          <w:sz w:val="20"/>
          <w:szCs w:val="20"/>
        </w:rPr>
        <w:t xml:space="preserve">appelait à la consolidation de ses dispositions pertinentes avec celles de la </w:t>
      </w:r>
      <w:r w:rsidRPr="009558E6">
        <w:rPr>
          <w:rFonts w:asciiTheme="majorHAnsi" w:hAnsiTheme="majorHAnsi"/>
          <w:i/>
          <w:iCs/>
          <w:sz w:val="20"/>
          <w:szCs w:val="20"/>
        </w:rPr>
        <w:t>Recommandation de l’ICCAT sur un programme pluriannuel de conservation et de gestion pour le germon de l'Atlantique Nord</w:t>
      </w:r>
      <w:r w:rsidRPr="009558E6">
        <w:rPr>
          <w:rFonts w:asciiTheme="majorHAnsi" w:hAnsiTheme="majorHAnsi"/>
          <w:iCs/>
          <w:sz w:val="20"/>
          <w:szCs w:val="20"/>
        </w:rPr>
        <w:t xml:space="preserve"> (Rec. 16-06) en une seule Recommandation ;</w:t>
      </w:r>
    </w:p>
    <w:p w14:paraId="336A8065" w14:textId="77777777" w:rsidR="0035431C" w:rsidRPr="009558E6" w:rsidRDefault="0035431C" w:rsidP="00D466ED">
      <w:pPr>
        <w:autoSpaceDE w:val="0"/>
        <w:autoSpaceDN w:val="0"/>
        <w:adjustRightInd w:val="0"/>
        <w:spacing w:after="0" w:line="240" w:lineRule="auto"/>
        <w:ind w:firstLine="426"/>
        <w:contextualSpacing/>
        <w:jc w:val="both"/>
        <w:rPr>
          <w:rFonts w:asciiTheme="majorHAnsi" w:eastAsia="Calibri" w:hAnsiTheme="majorHAnsi" w:cs="Cambria"/>
          <w:i/>
          <w:iCs/>
          <w:sz w:val="20"/>
          <w:szCs w:val="20"/>
        </w:rPr>
      </w:pPr>
    </w:p>
    <w:p w14:paraId="1A7DBC63" w14:textId="6641868A" w:rsidR="003433B2" w:rsidRPr="009558E6" w:rsidRDefault="003433B2" w:rsidP="00D466ED">
      <w:pPr>
        <w:autoSpaceDE w:val="0"/>
        <w:autoSpaceDN w:val="0"/>
        <w:adjustRightInd w:val="0"/>
        <w:spacing w:after="0" w:line="240" w:lineRule="auto"/>
        <w:ind w:firstLine="426"/>
        <w:contextualSpacing/>
        <w:jc w:val="both"/>
        <w:rPr>
          <w:rFonts w:asciiTheme="majorHAnsi" w:hAnsiTheme="majorHAnsi"/>
          <w:sz w:val="20"/>
          <w:szCs w:val="20"/>
        </w:rPr>
      </w:pPr>
      <w:r w:rsidRPr="009558E6">
        <w:rPr>
          <w:rFonts w:asciiTheme="majorHAnsi" w:hAnsiTheme="majorHAnsi"/>
          <w:i/>
          <w:iCs/>
          <w:sz w:val="20"/>
          <w:szCs w:val="20"/>
        </w:rPr>
        <w:t>RAPPELANT EN OUTRE</w:t>
      </w:r>
      <w:r w:rsidRPr="009558E6">
        <w:rPr>
          <w:rFonts w:asciiTheme="majorHAnsi" w:hAnsiTheme="majorHAnsi"/>
          <w:sz w:val="20"/>
          <w:szCs w:val="20"/>
        </w:rPr>
        <w:t xml:space="preserve"> qu</w:t>
      </w:r>
      <w:r w:rsidR="001F4473" w:rsidRPr="009558E6">
        <w:rPr>
          <w:rFonts w:asciiTheme="majorHAnsi" w:hAnsiTheme="majorHAnsi"/>
          <w:sz w:val="20"/>
          <w:szCs w:val="20"/>
        </w:rPr>
        <w:t xml:space="preserve">’en </w:t>
      </w:r>
      <w:r w:rsidRPr="009558E6">
        <w:rPr>
          <w:rFonts w:asciiTheme="majorHAnsi" w:hAnsiTheme="majorHAnsi"/>
          <w:sz w:val="20"/>
          <w:szCs w:val="20"/>
        </w:rPr>
        <w:t xml:space="preserve">2020 la Commission a adopté la </w:t>
      </w:r>
      <w:r w:rsidRPr="009558E6">
        <w:rPr>
          <w:rFonts w:asciiTheme="majorHAnsi" w:hAnsiTheme="majorHAnsi"/>
          <w:i/>
          <w:iCs/>
          <w:sz w:val="20"/>
          <w:szCs w:val="20"/>
        </w:rPr>
        <w:t>Recommandation de l’ICCAT amendant la Recommandation 16-06 sur un programme pluriannuel de conservation et de gestion pour le germon de l'Atlantique Nord</w:t>
      </w:r>
      <w:r w:rsidRPr="009558E6">
        <w:rPr>
          <w:rFonts w:asciiTheme="majorHAnsi" w:hAnsiTheme="majorHAnsi"/>
          <w:sz w:val="20"/>
          <w:szCs w:val="20"/>
        </w:rPr>
        <w:t xml:space="preserve"> (Rec. 20-03)</w:t>
      </w:r>
      <w:r w:rsidR="00DA7810" w:rsidRPr="009558E6">
        <w:rPr>
          <w:rFonts w:asciiTheme="majorHAnsi" w:hAnsiTheme="majorHAnsi"/>
          <w:sz w:val="20"/>
          <w:szCs w:val="20"/>
        </w:rPr>
        <w:t xml:space="preserve"> </w:t>
      </w:r>
      <w:r w:rsidRPr="009558E6">
        <w:rPr>
          <w:rFonts w:asciiTheme="majorHAnsi" w:hAnsiTheme="majorHAnsi"/>
          <w:sz w:val="20"/>
          <w:szCs w:val="20"/>
        </w:rPr>
        <w:t xml:space="preserve">et la </w:t>
      </w:r>
      <w:r w:rsidRPr="009558E6">
        <w:rPr>
          <w:rFonts w:asciiTheme="majorHAnsi" w:hAnsiTheme="majorHAnsi"/>
          <w:i/>
          <w:iCs/>
          <w:sz w:val="20"/>
          <w:szCs w:val="20"/>
        </w:rPr>
        <w:t>Recommandation de l’ICCAT amendant la Recommandation 17-04 sur une règle de contrôle de l’exploitation pour le germon de l’Atlantique Nord complétant le programme pluriannuel de conservation et de gestion de la Rec. 16-06</w:t>
      </w:r>
      <w:r w:rsidRPr="009558E6">
        <w:rPr>
          <w:rFonts w:asciiTheme="majorHAnsi" w:hAnsiTheme="majorHAnsi"/>
          <w:sz w:val="20"/>
          <w:szCs w:val="20"/>
        </w:rPr>
        <w:t xml:space="preserve"> (Rec. 20-04) ;</w:t>
      </w:r>
      <w:r w:rsidR="00DA7810" w:rsidRPr="009558E6">
        <w:rPr>
          <w:rFonts w:asciiTheme="majorHAnsi" w:hAnsiTheme="majorHAnsi"/>
          <w:iCs/>
          <w:sz w:val="20"/>
          <w:szCs w:val="20"/>
        </w:rPr>
        <w:t xml:space="preserve"> </w:t>
      </w:r>
    </w:p>
    <w:p w14:paraId="186DFAA1" w14:textId="77777777" w:rsidR="0035431C" w:rsidRPr="009558E6" w:rsidRDefault="0035431C" w:rsidP="00D466ED">
      <w:pPr>
        <w:autoSpaceDE w:val="0"/>
        <w:autoSpaceDN w:val="0"/>
        <w:adjustRightInd w:val="0"/>
        <w:spacing w:after="0" w:line="240" w:lineRule="auto"/>
        <w:ind w:firstLine="426"/>
        <w:contextualSpacing/>
        <w:jc w:val="both"/>
        <w:rPr>
          <w:rFonts w:asciiTheme="majorHAnsi" w:eastAsia="Calibri" w:hAnsiTheme="majorHAnsi" w:cs="Cambria"/>
          <w:sz w:val="20"/>
          <w:szCs w:val="20"/>
        </w:rPr>
      </w:pPr>
    </w:p>
    <w:p w14:paraId="378CBFCA" w14:textId="11697EBD" w:rsidR="006B22BF" w:rsidRPr="009558E6" w:rsidRDefault="00D466ED" w:rsidP="00D466ED">
      <w:pPr>
        <w:pStyle w:val="Default"/>
        <w:ind w:firstLine="426"/>
        <w:contextualSpacing/>
        <w:jc w:val="both"/>
        <w:rPr>
          <w:rFonts w:asciiTheme="majorHAnsi" w:hAnsiTheme="majorHAnsi"/>
          <w:color w:val="auto"/>
          <w:sz w:val="20"/>
          <w:szCs w:val="20"/>
        </w:rPr>
      </w:pPr>
      <w:r w:rsidRPr="009558E6">
        <w:rPr>
          <w:rFonts w:asciiTheme="majorHAnsi" w:hAnsiTheme="majorHAnsi"/>
          <w:i/>
          <w:iCs/>
          <w:color w:val="auto"/>
          <w:sz w:val="20"/>
          <w:szCs w:val="20"/>
        </w:rPr>
        <w:t>NOTANT</w:t>
      </w:r>
      <w:r w:rsidRPr="009558E6">
        <w:rPr>
          <w:rFonts w:asciiTheme="majorHAnsi" w:hAnsiTheme="majorHAnsi"/>
          <w:color w:val="auto"/>
          <w:sz w:val="20"/>
          <w:szCs w:val="20"/>
        </w:rPr>
        <w:t xml:space="preserve"> </w:t>
      </w:r>
      <w:r w:rsidR="006B22BF" w:rsidRPr="009558E6">
        <w:rPr>
          <w:rFonts w:asciiTheme="majorHAnsi" w:hAnsiTheme="majorHAnsi"/>
          <w:color w:val="auto"/>
          <w:sz w:val="20"/>
          <w:szCs w:val="20"/>
        </w:rPr>
        <w:t xml:space="preserve">que le paragraphe 17 de la Rec. 16-06 a été amendé par le paragraphe 4 de la Rec. 20-03 et a établi l'obligation pour la Commission de revoir la Rec. 16-06, y compris la consolidation des dispositions pertinentes en une seule recommandation en </w:t>
      </w:r>
      <w:r w:rsidR="006033DB" w:rsidRPr="009558E6">
        <w:rPr>
          <w:rFonts w:asciiTheme="majorHAnsi" w:hAnsiTheme="majorHAnsi"/>
          <w:color w:val="auto"/>
          <w:sz w:val="20"/>
          <w:szCs w:val="20"/>
        </w:rPr>
        <w:t>2021 ;</w:t>
      </w:r>
      <w:r w:rsidR="006B22BF" w:rsidRPr="009558E6">
        <w:rPr>
          <w:rFonts w:asciiTheme="majorHAnsi" w:hAnsiTheme="majorHAnsi"/>
          <w:color w:val="auto"/>
          <w:sz w:val="20"/>
          <w:szCs w:val="20"/>
        </w:rPr>
        <w:t xml:space="preserve"> </w:t>
      </w:r>
    </w:p>
    <w:p w14:paraId="007973D8" w14:textId="77777777" w:rsidR="0035431C" w:rsidRPr="009558E6" w:rsidRDefault="0035431C" w:rsidP="00D466ED">
      <w:pPr>
        <w:pStyle w:val="Default"/>
        <w:ind w:firstLine="426"/>
        <w:contextualSpacing/>
        <w:jc w:val="both"/>
        <w:rPr>
          <w:rFonts w:asciiTheme="majorHAnsi" w:eastAsia="Calibri" w:hAnsiTheme="majorHAnsi"/>
          <w:i/>
          <w:color w:val="auto"/>
          <w:sz w:val="20"/>
          <w:szCs w:val="20"/>
        </w:rPr>
      </w:pPr>
    </w:p>
    <w:p w14:paraId="4EA4D8DE" w14:textId="2171FFA6" w:rsidR="003433B2" w:rsidRPr="009558E6" w:rsidRDefault="003433B2" w:rsidP="00D466ED">
      <w:pPr>
        <w:pStyle w:val="Default"/>
        <w:ind w:firstLine="426"/>
        <w:contextualSpacing/>
        <w:jc w:val="both"/>
        <w:rPr>
          <w:rFonts w:asciiTheme="majorHAnsi" w:hAnsiTheme="majorHAnsi"/>
          <w:color w:val="auto"/>
          <w:sz w:val="20"/>
          <w:szCs w:val="20"/>
        </w:rPr>
      </w:pPr>
      <w:r w:rsidRPr="009558E6">
        <w:rPr>
          <w:rFonts w:asciiTheme="majorHAnsi" w:hAnsiTheme="majorHAnsi"/>
          <w:i/>
          <w:iCs/>
          <w:color w:val="auto"/>
          <w:sz w:val="20"/>
          <w:szCs w:val="20"/>
        </w:rPr>
        <w:t>NOTANT</w:t>
      </w:r>
      <w:r w:rsidRPr="009558E6">
        <w:rPr>
          <w:rFonts w:asciiTheme="majorHAnsi" w:hAnsiTheme="majorHAnsi"/>
          <w:color w:val="auto"/>
          <w:sz w:val="20"/>
          <w:szCs w:val="20"/>
        </w:rPr>
        <w:t xml:space="preserve"> que le paragraphe 17 de la Rec. 17-04 a été amendé par le paragraphe 3 de la Rec. 20-04 et a établi l'obligation pour la Commission de revoir les règles </w:t>
      </w:r>
      <w:r w:rsidR="00D604EB" w:rsidRPr="009558E6">
        <w:rPr>
          <w:rFonts w:asciiTheme="majorHAnsi" w:hAnsiTheme="majorHAnsi"/>
          <w:color w:val="auto"/>
          <w:sz w:val="20"/>
          <w:szCs w:val="20"/>
        </w:rPr>
        <w:t xml:space="preserve">contrôle </w:t>
      </w:r>
      <w:r w:rsidRPr="009558E6">
        <w:rPr>
          <w:rFonts w:asciiTheme="majorHAnsi" w:hAnsiTheme="majorHAnsi"/>
          <w:color w:val="auto"/>
          <w:sz w:val="20"/>
          <w:szCs w:val="20"/>
        </w:rPr>
        <w:t xml:space="preserve">de l’exploitation </w:t>
      </w:r>
      <w:r w:rsidR="00D604EB" w:rsidRPr="009558E6">
        <w:rPr>
          <w:rFonts w:asciiTheme="majorHAnsi" w:hAnsiTheme="majorHAnsi"/>
          <w:color w:val="auto"/>
          <w:sz w:val="20"/>
          <w:szCs w:val="20"/>
        </w:rPr>
        <w:t xml:space="preserve">provisoires </w:t>
      </w:r>
      <w:r w:rsidRPr="009558E6">
        <w:rPr>
          <w:rFonts w:asciiTheme="majorHAnsi" w:hAnsiTheme="majorHAnsi"/>
          <w:color w:val="auto"/>
          <w:sz w:val="20"/>
          <w:szCs w:val="20"/>
        </w:rPr>
        <w:t>en 2021 en vue d'adopter une procédure de gestion à long terme ;</w:t>
      </w:r>
    </w:p>
    <w:p w14:paraId="00197BF2" w14:textId="77777777" w:rsidR="0035431C" w:rsidRPr="009558E6" w:rsidRDefault="0035431C" w:rsidP="00D466ED">
      <w:pPr>
        <w:pStyle w:val="Default"/>
        <w:ind w:firstLine="426"/>
        <w:contextualSpacing/>
        <w:jc w:val="both"/>
        <w:rPr>
          <w:rFonts w:asciiTheme="majorHAnsi" w:eastAsia="Calibri" w:hAnsiTheme="majorHAnsi"/>
          <w:color w:val="auto"/>
          <w:sz w:val="20"/>
          <w:szCs w:val="20"/>
        </w:rPr>
      </w:pPr>
    </w:p>
    <w:p w14:paraId="042AFEEC" w14:textId="5931FAE2" w:rsidR="0031174B" w:rsidRPr="009558E6" w:rsidRDefault="009128D6" w:rsidP="00D466ED">
      <w:pPr>
        <w:tabs>
          <w:tab w:val="left" w:pos="426"/>
        </w:tabs>
        <w:autoSpaceDE w:val="0"/>
        <w:autoSpaceDN w:val="0"/>
        <w:adjustRightInd w:val="0"/>
        <w:spacing w:after="0" w:line="240" w:lineRule="auto"/>
        <w:ind w:firstLine="426"/>
        <w:contextualSpacing/>
        <w:jc w:val="both"/>
        <w:rPr>
          <w:rFonts w:asciiTheme="majorHAnsi" w:hAnsiTheme="majorHAnsi"/>
          <w:sz w:val="20"/>
          <w:szCs w:val="20"/>
        </w:rPr>
      </w:pPr>
      <w:r w:rsidRPr="009558E6">
        <w:rPr>
          <w:rFonts w:asciiTheme="majorHAnsi" w:hAnsiTheme="majorHAnsi"/>
          <w:i/>
          <w:iCs/>
          <w:sz w:val="20"/>
          <w:szCs w:val="20"/>
        </w:rPr>
        <w:t>RAPPELANT</w:t>
      </w:r>
      <w:r w:rsidRPr="009558E6">
        <w:rPr>
          <w:rFonts w:asciiTheme="majorHAnsi" w:hAnsiTheme="majorHAnsi"/>
          <w:sz w:val="20"/>
          <w:szCs w:val="20"/>
        </w:rPr>
        <w:t xml:space="preserve"> qu’il est important que toutes les flottilles participant à la pêcherie de germon du Nord soumettent les données requises (prise, effort et prise par taille) sur leurs pêcheries aux fins de leur transmission au </w:t>
      </w:r>
      <w:r w:rsidRPr="009558E6">
        <w:rPr>
          <w:rFonts w:asciiTheme="majorHAnsi" w:hAnsiTheme="majorHAnsi" w:cs="Cambria"/>
          <w:sz w:val="20"/>
          <w:szCs w:val="20"/>
        </w:rPr>
        <w:t>Comité permanent pour la recherche et les statistiques</w:t>
      </w:r>
      <w:r w:rsidRPr="009558E6">
        <w:rPr>
          <w:rFonts w:asciiTheme="majorHAnsi" w:hAnsiTheme="majorHAnsi"/>
          <w:sz w:val="20"/>
          <w:szCs w:val="20"/>
        </w:rPr>
        <w:t xml:space="preserve"> (SCRS)</w:t>
      </w:r>
      <w:r w:rsidR="007F07E0" w:rsidRPr="009558E6">
        <w:rPr>
          <w:rFonts w:asciiTheme="majorHAnsi" w:hAnsiTheme="majorHAnsi"/>
          <w:sz w:val="20"/>
          <w:szCs w:val="20"/>
        </w:rPr>
        <w:t xml:space="preserve"> </w:t>
      </w:r>
      <w:r w:rsidRPr="009558E6">
        <w:rPr>
          <w:rFonts w:asciiTheme="majorHAnsi" w:hAnsiTheme="majorHAnsi"/>
          <w:sz w:val="20"/>
          <w:szCs w:val="20"/>
        </w:rPr>
        <w:t>;</w:t>
      </w:r>
    </w:p>
    <w:p w14:paraId="6A968E08" w14:textId="77777777" w:rsidR="0035431C" w:rsidRPr="009558E6" w:rsidRDefault="0035431C" w:rsidP="00D466ED">
      <w:pPr>
        <w:tabs>
          <w:tab w:val="left" w:pos="426"/>
        </w:tabs>
        <w:autoSpaceDE w:val="0"/>
        <w:autoSpaceDN w:val="0"/>
        <w:adjustRightInd w:val="0"/>
        <w:spacing w:after="0" w:line="240" w:lineRule="auto"/>
        <w:ind w:firstLine="426"/>
        <w:contextualSpacing/>
        <w:jc w:val="both"/>
        <w:rPr>
          <w:rFonts w:asciiTheme="majorHAnsi" w:hAnsiTheme="majorHAnsi"/>
          <w:sz w:val="20"/>
          <w:szCs w:val="20"/>
        </w:rPr>
      </w:pPr>
    </w:p>
    <w:p w14:paraId="218F78DB" w14:textId="5E82E86A" w:rsidR="0031174B" w:rsidRPr="009558E6" w:rsidRDefault="009128D6" w:rsidP="00D466ED">
      <w:pPr>
        <w:tabs>
          <w:tab w:val="left" w:pos="426"/>
        </w:tabs>
        <w:autoSpaceDE w:val="0"/>
        <w:autoSpaceDN w:val="0"/>
        <w:adjustRightInd w:val="0"/>
        <w:spacing w:after="0" w:line="240" w:lineRule="auto"/>
        <w:ind w:firstLine="426"/>
        <w:contextualSpacing/>
        <w:jc w:val="both"/>
        <w:rPr>
          <w:rFonts w:asciiTheme="majorHAnsi" w:hAnsiTheme="majorHAnsi"/>
          <w:sz w:val="20"/>
          <w:szCs w:val="20"/>
        </w:rPr>
      </w:pPr>
      <w:r w:rsidRPr="009558E6">
        <w:rPr>
          <w:rFonts w:asciiTheme="majorHAnsi" w:hAnsiTheme="majorHAnsi"/>
          <w:i/>
          <w:iCs/>
          <w:sz w:val="20"/>
          <w:szCs w:val="20"/>
        </w:rPr>
        <w:t>RECONNAISSANT</w:t>
      </w:r>
      <w:r w:rsidRPr="009558E6">
        <w:rPr>
          <w:rFonts w:asciiTheme="majorHAnsi" w:hAnsiTheme="majorHAnsi"/>
          <w:sz w:val="20"/>
          <w:szCs w:val="20"/>
        </w:rPr>
        <w:t xml:space="preserve"> qu'il est opportun, à l'instar de ce qui s'applique déjà à d'autres stocks relevant du mandat de l’ICCAT, de tenir un registre ICCAT des navires autorisés à pêcher le germon de l’Atlantique Nord</w:t>
      </w:r>
      <w:r w:rsidR="0035431C" w:rsidRPr="009558E6">
        <w:rPr>
          <w:rFonts w:asciiTheme="majorHAnsi" w:hAnsiTheme="majorHAnsi"/>
          <w:sz w:val="20"/>
          <w:szCs w:val="20"/>
        </w:rPr>
        <w:t> ;</w:t>
      </w:r>
    </w:p>
    <w:p w14:paraId="6E3D79D4" w14:textId="77777777" w:rsidR="0035431C" w:rsidRPr="009558E6" w:rsidRDefault="0035431C" w:rsidP="00D466ED">
      <w:pPr>
        <w:tabs>
          <w:tab w:val="left" w:pos="426"/>
        </w:tabs>
        <w:autoSpaceDE w:val="0"/>
        <w:autoSpaceDN w:val="0"/>
        <w:adjustRightInd w:val="0"/>
        <w:spacing w:after="0" w:line="240" w:lineRule="auto"/>
        <w:ind w:firstLine="426"/>
        <w:contextualSpacing/>
        <w:jc w:val="both"/>
        <w:rPr>
          <w:rFonts w:asciiTheme="majorHAnsi" w:hAnsiTheme="majorHAnsi"/>
          <w:i/>
          <w:sz w:val="20"/>
          <w:szCs w:val="20"/>
        </w:rPr>
      </w:pPr>
    </w:p>
    <w:p w14:paraId="7FD7A62E" w14:textId="1DA79FA3" w:rsidR="00C55587" w:rsidRPr="009558E6" w:rsidRDefault="00C55587" w:rsidP="00D466ED">
      <w:pPr>
        <w:spacing w:after="0" w:line="240" w:lineRule="auto"/>
        <w:ind w:firstLine="426"/>
        <w:contextualSpacing/>
        <w:jc w:val="both"/>
        <w:rPr>
          <w:rFonts w:asciiTheme="majorHAnsi" w:hAnsiTheme="majorHAnsi"/>
          <w:sz w:val="20"/>
          <w:szCs w:val="20"/>
        </w:rPr>
      </w:pPr>
      <w:r w:rsidRPr="009558E6">
        <w:rPr>
          <w:rFonts w:asciiTheme="majorHAnsi" w:hAnsiTheme="majorHAnsi"/>
          <w:i/>
          <w:iCs/>
          <w:sz w:val="20"/>
          <w:szCs w:val="20"/>
        </w:rPr>
        <w:t>CONSIDÉRANT</w:t>
      </w:r>
      <w:r w:rsidRPr="009558E6">
        <w:rPr>
          <w:rFonts w:asciiTheme="majorHAnsi" w:hAnsiTheme="majorHAnsi"/>
          <w:sz w:val="20"/>
          <w:szCs w:val="20"/>
        </w:rPr>
        <w:t xml:space="preserve"> que l'évaluation du stock réalisée en 2020 par le SCRS a conclu que l'abondance relative du germon de l'Atlantique Nord a continué à augmenter au cours des dernières années et que la probabilité que le stock se situe dans le quadrant vert du diagramme de Kobe (</w:t>
      </w:r>
      <w:r w:rsidR="00D466ED" w:rsidRPr="009558E6">
        <w:rPr>
          <w:rFonts w:asciiTheme="majorHAnsi" w:hAnsiTheme="majorHAnsi"/>
          <w:sz w:val="20"/>
          <w:szCs w:val="20"/>
        </w:rPr>
        <w:t>non</w:t>
      </w:r>
      <w:r w:rsidRPr="009558E6">
        <w:rPr>
          <w:rFonts w:asciiTheme="majorHAnsi" w:hAnsiTheme="majorHAnsi"/>
          <w:sz w:val="20"/>
          <w:szCs w:val="20"/>
        </w:rPr>
        <w:t xml:space="preserve"> surexploité et n</w:t>
      </w:r>
      <w:r w:rsidR="00D466ED" w:rsidRPr="009558E6">
        <w:rPr>
          <w:rFonts w:asciiTheme="majorHAnsi" w:hAnsiTheme="majorHAnsi"/>
          <w:sz w:val="20"/>
          <w:szCs w:val="20"/>
        </w:rPr>
        <w:t xml:space="preserve">on victime </w:t>
      </w:r>
      <w:r w:rsidRPr="009558E6">
        <w:rPr>
          <w:rFonts w:asciiTheme="majorHAnsi" w:hAnsiTheme="majorHAnsi"/>
          <w:sz w:val="20"/>
          <w:szCs w:val="20"/>
        </w:rPr>
        <w:t>de surpêche, F&lt;F</w:t>
      </w:r>
      <w:r w:rsidRPr="009558E6">
        <w:rPr>
          <w:rFonts w:asciiTheme="majorHAnsi" w:hAnsiTheme="majorHAnsi"/>
          <w:smallCaps/>
          <w:sz w:val="20"/>
          <w:szCs w:val="20"/>
          <w:vertAlign w:val="subscript"/>
        </w:rPr>
        <w:t>PME</w:t>
      </w:r>
      <w:r w:rsidRPr="009558E6">
        <w:rPr>
          <w:rFonts w:asciiTheme="majorHAnsi" w:hAnsiTheme="majorHAnsi"/>
          <w:smallCaps/>
          <w:sz w:val="20"/>
          <w:szCs w:val="20"/>
        </w:rPr>
        <w:t xml:space="preserve"> </w:t>
      </w:r>
      <w:r w:rsidRPr="009558E6">
        <w:rPr>
          <w:rFonts w:asciiTheme="majorHAnsi" w:hAnsiTheme="majorHAnsi"/>
          <w:sz w:val="20"/>
          <w:szCs w:val="20"/>
        </w:rPr>
        <w:t>et B&gt;B</w:t>
      </w:r>
      <w:r w:rsidRPr="009558E6">
        <w:rPr>
          <w:rFonts w:asciiTheme="majorHAnsi" w:hAnsiTheme="majorHAnsi"/>
          <w:sz w:val="20"/>
          <w:szCs w:val="20"/>
          <w:vertAlign w:val="subscript"/>
        </w:rPr>
        <w:t>PME</w:t>
      </w:r>
      <w:r w:rsidRPr="009558E6">
        <w:rPr>
          <w:rFonts w:asciiTheme="majorHAnsi" w:hAnsiTheme="majorHAnsi"/>
          <w:sz w:val="20"/>
          <w:szCs w:val="20"/>
        </w:rPr>
        <w:t>) s’élève à 98,4%</w:t>
      </w:r>
      <w:r w:rsidR="0035431C" w:rsidRPr="009558E6">
        <w:rPr>
          <w:rFonts w:asciiTheme="majorHAnsi" w:hAnsiTheme="majorHAnsi"/>
          <w:sz w:val="20"/>
          <w:szCs w:val="20"/>
        </w:rPr>
        <w:t> ;</w:t>
      </w:r>
    </w:p>
    <w:p w14:paraId="5502212E" w14:textId="77777777" w:rsidR="0035431C" w:rsidRPr="009558E6" w:rsidRDefault="0035431C" w:rsidP="00D466ED">
      <w:pPr>
        <w:spacing w:after="0" w:line="240" w:lineRule="auto"/>
        <w:ind w:firstLine="426"/>
        <w:contextualSpacing/>
        <w:jc w:val="both"/>
        <w:rPr>
          <w:rFonts w:asciiTheme="majorHAnsi" w:hAnsiTheme="majorHAnsi"/>
          <w:sz w:val="20"/>
          <w:szCs w:val="20"/>
        </w:rPr>
      </w:pPr>
    </w:p>
    <w:p w14:paraId="4C4533AF" w14:textId="53618CFE" w:rsidR="009128D6" w:rsidRPr="009558E6" w:rsidRDefault="00BF459A" w:rsidP="00D466ED">
      <w:pPr>
        <w:tabs>
          <w:tab w:val="left" w:pos="426"/>
        </w:tabs>
        <w:spacing w:after="0" w:line="240" w:lineRule="auto"/>
        <w:ind w:firstLine="426"/>
        <w:contextualSpacing/>
        <w:jc w:val="both"/>
        <w:rPr>
          <w:rFonts w:asciiTheme="majorHAnsi" w:hAnsiTheme="majorHAnsi"/>
          <w:sz w:val="20"/>
          <w:szCs w:val="20"/>
        </w:rPr>
      </w:pPr>
      <w:r w:rsidRPr="009558E6">
        <w:rPr>
          <w:rFonts w:asciiTheme="majorHAnsi" w:hAnsiTheme="majorHAnsi"/>
          <w:i/>
          <w:iCs/>
          <w:sz w:val="20"/>
          <w:szCs w:val="20"/>
        </w:rPr>
        <w:t>RECONNAISSANT</w:t>
      </w:r>
      <w:r w:rsidRPr="009558E6">
        <w:rPr>
          <w:rFonts w:asciiTheme="majorHAnsi" w:hAnsiTheme="majorHAnsi"/>
          <w:sz w:val="20"/>
          <w:szCs w:val="20"/>
        </w:rPr>
        <w:t xml:space="preserve"> l'examen externe positif de la MSE et le fait que les simulations réalisées en 2017 et les années suivantes permettent au SCRS de fournir un avis robuste pour une large gamme d'incertitudes et de respecter les objectifs visant à ce que le stock de germon de l'Atlantique Nord se situe dans le quadrant vert du diagramme de Kobe avec une probabilité supérieure à 60% ;</w:t>
      </w:r>
    </w:p>
    <w:p w14:paraId="4F965CA8" w14:textId="77777777" w:rsidR="0035431C" w:rsidRPr="009558E6" w:rsidRDefault="0035431C" w:rsidP="00D466ED">
      <w:pPr>
        <w:tabs>
          <w:tab w:val="left" w:pos="426"/>
        </w:tabs>
        <w:spacing w:after="0" w:line="240" w:lineRule="auto"/>
        <w:ind w:firstLine="426"/>
        <w:contextualSpacing/>
        <w:jc w:val="both"/>
        <w:rPr>
          <w:rFonts w:asciiTheme="majorHAnsi" w:eastAsia="Times New Roman" w:hAnsiTheme="majorHAnsi" w:cs="Times New Roman"/>
          <w:sz w:val="20"/>
          <w:szCs w:val="20"/>
        </w:rPr>
      </w:pPr>
    </w:p>
    <w:p w14:paraId="56765BA7" w14:textId="77777777" w:rsidR="00256E6A" w:rsidRPr="009558E6" w:rsidRDefault="00256E6A">
      <w:pPr>
        <w:rPr>
          <w:rFonts w:asciiTheme="majorHAnsi" w:hAnsiTheme="majorHAnsi"/>
          <w:i/>
          <w:iCs/>
          <w:sz w:val="20"/>
          <w:szCs w:val="20"/>
        </w:rPr>
      </w:pPr>
      <w:r w:rsidRPr="009558E6">
        <w:rPr>
          <w:rFonts w:asciiTheme="majorHAnsi" w:hAnsiTheme="majorHAnsi"/>
          <w:i/>
          <w:iCs/>
          <w:sz w:val="20"/>
          <w:szCs w:val="20"/>
        </w:rPr>
        <w:br w:type="page"/>
      </w:r>
    </w:p>
    <w:p w14:paraId="79F23284" w14:textId="162B7C0C" w:rsidR="009128D6" w:rsidRPr="009558E6" w:rsidRDefault="00B70F96" w:rsidP="00D466ED">
      <w:pPr>
        <w:tabs>
          <w:tab w:val="left" w:pos="567"/>
        </w:tabs>
        <w:autoSpaceDE w:val="0"/>
        <w:autoSpaceDN w:val="0"/>
        <w:adjustRightInd w:val="0"/>
        <w:spacing w:after="0" w:line="240" w:lineRule="auto"/>
        <w:ind w:firstLine="426"/>
        <w:contextualSpacing/>
        <w:jc w:val="both"/>
        <w:rPr>
          <w:rFonts w:asciiTheme="majorHAnsi" w:hAnsiTheme="majorHAnsi"/>
          <w:sz w:val="20"/>
          <w:szCs w:val="20"/>
        </w:rPr>
      </w:pPr>
      <w:r w:rsidRPr="009558E6">
        <w:rPr>
          <w:rFonts w:asciiTheme="majorHAnsi" w:hAnsiTheme="majorHAnsi"/>
          <w:i/>
          <w:iCs/>
          <w:sz w:val="20"/>
          <w:szCs w:val="20"/>
        </w:rPr>
        <w:lastRenderedPageBreak/>
        <w:t>NOTANT</w:t>
      </w:r>
      <w:r w:rsidRPr="009558E6">
        <w:rPr>
          <w:rFonts w:asciiTheme="majorHAnsi" w:hAnsiTheme="majorHAnsi"/>
          <w:sz w:val="20"/>
          <w:szCs w:val="20"/>
        </w:rPr>
        <w:t xml:space="preserve"> que la règle de contrôle de l'exploitation avec les mortalités par pêche cible les plus élevées (F</w:t>
      </w:r>
      <w:r w:rsidRPr="009558E6">
        <w:rPr>
          <w:rFonts w:asciiTheme="majorHAnsi" w:hAnsiTheme="majorHAnsi"/>
          <w:sz w:val="20"/>
          <w:szCs w:val="20"/>
          <w:vertAlign w:val="subscript"/>
        </w:rPr>
        <w:t>CIBLE</w:t>
      </w:r>
      <w:r w:rsidRPr="009558E6">
        <w:rPr>
          <w:rFonts w:asciiTheme="majorHAnsi" w:hAnsiTheme="majorHAnsi"/>
          <w:sz w:val="20"/>
          <w:szCs w:val="20"/>
        </w:rPr>
        <w:t>=F</w:t>
      </w:r>
      <w:r w:rsidRPr="009558E6">
        <w:rPr>
          <w:rFonts w:asciiTheme="majorHAnsi" w:hAnsiTheme="majorHAnsi"/>
          <w:sz w:val="20"/>
          <w:szCs w:val="20"/>
          <w:vertAlign w:val="subscript"/>
        </w:rPr>
        <w:t>PME</w:t>
      </w:r>
      <w:r w:rsidRPr="009558E6">
        <w:rPr>
          <w:rFonts w:asciiTheme="majorHAnsi" w:hAnsiTheme="majorHAnsi"/>
          <w:sz w:val="20"/>
          <w:szCs w:val="20"/>
        </w:rPr>
        <w:t>) a été associée à des probabilités plus faibles, bien que de plus de 60%, de se situer dans le quadrant vert de Kobe, des probabilités plus élevées que le stock se situe entre B</w:t>
      </w:r>
      <w:r w:rsidRPr="009558E6">
        <w:rPr>
          <w:rFonts w:asciiTheme="majorHAnsi" w:hAnsiTheme="majorHAnsi"/>
          <w:sz w:val="20"/>
          <w:szCs w:val="20"/>
          <w:vertAlign w:val="subscript"/>
        </w:rPr>
        <w:t>LIM</w:t>
      </w:r>
      <w:r w:rsidRPr="009558E6">
        <w:rPr>
          <w:rFonts w:asciiTheme="majorHAnsi" w:hAnsiTheme="majorHAnsi"/>
          <w:sz w:val="20"/>
          <w:szCs w:val="20"/>
        </w:rPr>
        <w:t xml:space="preserve"> et B</w:t>
      </w:r>
      <w:r w:rsidRPr="009558E6">
        <w:rPr>
          <w:rFonts w:asciiTheme="majorHAnsi" w:hAnsiTheme="majorHAnsi"/>
          <w:sz w:val="20"/>
          <w:szCs w:val="20"/>
          <w:vertAlign w:val="subscript"/>
        </w:rPr>
        <w:t>SEUIL</w:t>
      </w:r>
      <w:r w:rsidRPr="009558E6">
        <w:rPr>
          <w:rFonts w:asciiTheme="majorHAnsi" w:hAnsiTheme="majorHAnsi"/>
          <w:sz w:val="20"/>
          <w:szCs w:val="20"/>
        </w:rPr>
        <w:t xml:space="preserve"> ont été uniquement associées à des productions à long terme légèrement plus élevées ;</w:t>
      </w:r>
    </w:p>
    <w:p w14:paraId="3F97A9CA" w14:textId="77777777" w:rsidR="0035431C" w:rsidRPr="009558E6" w:rsidRDefault="0035431C" w:rsidP="00D466ED">
      <w:pPr>
        <w:tabs>
          <w:tab w:val="left" w:pos="567"/>
        </w:tabs>
        <w:autoSpaceDE w:val="0"/>
        <w:autoSpaceDN w:val="0"/>
        <w:adjustRightInd w:val="0"/>
        <w:spacing w:after="0" w:line="240" w:lineRule="auto"/>
        <w:ind w:firstLine="426"/>
        <w:contextualSpacing/>
        <w:jc w:val="both"/>
        <w:rPr>
          <w:rFonts w:asciiTheme="majorHAnsi" w:eastAsia="Times New Roman" w:hAnsiTheme="majorHAnsi" w:cs="Times New Roman"/>
          <w:sz w:val="20"/>
          <w:szCs w:val="20"/>
        </w:rPr>
      </w:pPr>
    </w:p>
    <w:p w14:paraId="2F6E3DE7" w14:textId="6DF02CC3" w:rsidR="009128D6" w:rsidRPr="009558E6" w:rsidRDefault="00BF459A" w:rsidP="00D466ED">
      <w:pPr>
        <w:tabs>
          <w:tab w:val="left" w:pos="567"/>
        </w:tabs>
        <w:autoSpaceDE w:val="0"/>
        <w:autoSpaceDN w:val="0"/>
        <w:adjustRightInd w:val="0"/>
        <w:spacing w:after="0" w:line="240" w:lineRule="auto"/>
        <w:ind w:firstLine="426"/>
        <w:contextualSpacing/>
        <w:jc w:val="both"/>
        <w:rPr>
          <w:rFonts w:asciiTheme="majorHAnsi" w:hAnsiTheme="majorHAnsi"/>
          <w:sz w:val="20"/>
          <w:szCs w:val="20"/>
        </w:rPr>
      </w:pPr>
      <w:r w:rsidRPr="009558E6">
        <w:rPr>
          <w:rFonts w:asciiTheme="majorHAnsi" w:hAnsiTheme="majorHAnsi"/>
          <w:i/>
          <w:sz w:val="20"/>
          <w:szCs w:val="20"/>
        </w:rPr>
        <w:t>NOTANT ÉGALEMENT</w:t>
      </w:r>
      <w:r w:rsidRPr="009558E6">
        <w:rPr>
          <w:rFonts w:asciiTheme="majorHAnsi" w:hAnsiTheme="majorHAnsi"/>
          <w:sz w:val="20"/>
          <w:szCs w:val="20"/>
        </w:rPr>
        <w:t xml:space="preserve"> le souhait de stabilité </w:t>
      </w:r>
      <w:r w:rsidR="006B0443" w:rsidRPr="009558E6">
        <w:rPr>
          <w:rFonts w:asciiTheme="majorHAnsi" w:hAnsiTheme="majorHAnsi"/>
          <w:sz w:val="20"/>
          <w:szCs w:val="20"/>
        </w:rPr>
        <w:t>dans</w:t>
      </w:r>
      <w:r w:rsidRPr="009558E6">
        <w:rPr>
          <w:rFonts w:asciiTheme="majorHAnsi" w:hAnsiTheme="majorHAnsi"/>
          <w:sz w:val="20"/>
          <w:szCs w:val="20"/>
        </w:rPr>
        <w:t xml:space="preserve"> la pêcherie ;</w:t>
      </w:r>
    </w:p>
    <w:p w14:paraId="5AB42D17" w14:textId="77777777" w:rsidR="0035431C" w:rsidRPr="009558E6" w:rsidRDefault="0035431C" w:rsidP="00D466ED">
      <w:pPr>
        <w:tabs>
          <w:tab w:val="left" w:pos="567"/>
        </w:tabs>
        <w:autoSpaceDE w:val="0"/>
        <w:autoSpaceDN w:val="0"/>
        <w:adjustRightInd w:val="0"/>
        <w:spacing w:after="0" w:line="240" w:lineRule="auto"/>
        <w:ind w:firstLine="426"/>
        <w:contextualSpacing/>
        <w:jc w:val="both"/>
        <w:rPr>
          <w:rFonts w:asciiTheme="majorHAnsi" w:eastAsia="Times New Roman" w:hAnsiTheme="majorHAnsi" w:cs="Times New Roman"/>
          <w:sz w:val="20"/>
          <w:szCs w:val="20"/>
        </w:rPr>
      </w:pPr>
    </w:p>
    <w:p w14:paraId="25EEDA99" w14:textId="684401F9" w:rsidR="009128D6" w:rsidRPr="009558E6" w:rsidRDefault="00BF459A" w:rsidP="00D466ED">
      <w:pPr>
        <w:tabs>
          <w:tab w:val="left" w:pos="567"/>
        </w:tabs>
        <w:autoSpaceDE w:val="0"/>
        <w:autoSpaceDN w:val="0"/>
        <w:adjustRightInd w:val="0"/>
        <w:spacing w:after="0" w:line="240" w:lineRule="auto"/>
        <w:ind w:firstLine="426"/>
        <w:contextualSpacing/>
        <w:jc w:val="both"/>
        <w:rPr>
          <w:rFonts w:asciiTheme="majorHAnsi" w:hAnsiTheme="majorHAnsi"/>
          <w:sz w:val="20"/>
          <w:szCs w:val="20"/>
        </w:rPr>
      </w:pPr>
      <w:r w:rsidRPr="009558E6">
        <w:rPr>
          <w:rFonts w:asciiTheme="majorHAnsi" w:hAnsiTheme="majorHAnsi"/>
          <w:i/>
          <w:iCs/>
          <w:sz w:val="20"/>
          <w:szCs w:val="20"/>
        </w:rPr>
        <w:t>CONSIDÉRANT</w:t>
      </w:r>
      <w:r w:rsidRPr="009558E6">
        <w:rPr>
          <w:rFonts w:asciiTheme="majorHAnsi" w:hAnsiTheme="majorHAnsi"/>
          <w:sz w:val="20"/>
          <w:szCs w:val="20"/>
        </w:rPr>
        <w:t xml:space="preserve"> que le SCRS a testé une mortalité par pêche minimale (F</w:t>
      </w:r>
      <w:r w:rsidRPr="009558E6">
        <w:rPr>
          <w:rFonts w:asciiTheme="majorHAnsi" w:hAnsiTheme="majorHAnsi"/>
          <w:sz w:val="20"/>
          <w:szCs w:val="20"/>
          <w:vertAlign w:val="subscript"/>
        </w:rPr>
        <w:t>MIN</w:t>
      </w:r>
      <w:r w:rsidRPr="009558E6">
        <w:rPr>
          <w:rFonts w:asciiTheme="majorHAnsi" w:hAnsiTheme="majorHAnsi"/>
          <w:sz w:val="20"/>
          <w:szCs w:val="20"/>
        </w:rPr>
        <w:t xml:space="preserve">) si l’état du stock chute en-deçà des limites biologiquement sûres ; </w:t>
      </w:r>
    </w:p>
    <w:p w14:paraId="2A06CBB3" w14:textId="77777777" w:rsidR="0035431C" w:rsidRPr="009558E6" w:rsidRDefault="0035431C" w:rsidP="00D466ED">
      <w:pPr>
        <w:tabs>
          <w:tab w:val="left" w:pos="567"/>
        </w:tabs>
        <w:autoSpaceDE w:val="0"/>
        <w:autoSpaceDN w:val="0"/>
        <w:adjustRightInd w:val="0"/>
        <w:spacing w:after="0" w:line="240" w:lineRule="auto"/>
        <w:ind w:firstLine="426"/>
        <w:contextualSpacing/>
        <w:jc w:val="both"/>
        <w:rPr>
          <w:rFonts w:asciiTheme="majorHAnsi" w:eastAsia="Times New Roman" w:hAnsiTheme="majorHAnsi" w:cs="Times New Roman"/>
          <w:sz w:val="20"/>
          <w:szCs w:val="20"/>
        </w:rPr>
      </w:pPr>
    </w:p>
    <w:p w14:paraId="4449CB42" w14:textId="08AE852E" w:rsidR="00CE6E66" w:rsidRPr="009558E6" w:rsidRDefault="00CF7709" w:rsidP="00D466ED">
      <w:pPr>
        <w:spacing w:after="0" w:line="240" w:lineRule="auto"/>
        <w:ind w:firstLine="426"/>
        <w:contextualSpacing/>
        <w:jc w:val="both"/>
        <w:rPr>
          <w:rFonts w:asciiTheme="majorHAnsi" w:hAnsiTheme="majorHAnsi"/>
          <w:sz w:val="20"/>
          <w:szCs w:val="20"/>
        </w:rPr>
      </w:pPr>
      <w:r w:rsidRPr="009558E6">
        <w:rPr>
          <w:rFonts w:asciiTheme="majorHAnsi" w:hAnsiTheme="majorHAnsi"/>
          <w:i/>
          <w:iCs/>
          <w:sz w:val="20"/>
          <w:szCs w:val="20"/>
        </w:rPr>
        <w:t>CONSIDÉRANT EN OUTRE</w:t>
      </w:r>
      <w:r w:rsidR="001E686E" w:rsidRPr="009558E6">
        <w:rPr>
          <w:rFonts w:asciiTheme="majorHAnsi" w:hAnsiTheme="majorHAnsi"/>
          <w:i/>
          <w:iCs/>
          <w:sz w:val="20"/>
          <w:szCs w:val="20"/>
        </w:rPr>
        <w:t xml:space="preserve"> </w:t>
      </w:r>
      <w:r w:rsidR="001E686E" w:rsidRPr="009558E6">
        <w:rPr>
          <w:rFonts w:asciiTheme="majorHAnsi" w:hAnsiTheme="majorHAnsi"/>
          <w:sz w:val="20"/>
          <w:szCs w:val="20"/>
        </w:rPr>
        <w:t xml:space="preserve">le travail du SCRS en 2018 et 2019 visant à tester par le biais de la MSE plusieurs variantes de HCR et l'avis du SCRS en 2019 selon lequel la Commission pourrait adopter des règles de contrôle de l’exploitation </w:t>
      </w:r>
      <w:r w:rsidR="00142BF7" w:rsidRPr="009558E6">
        <w:rPr>
          <w:rFonts w:asciiTheme="majorHAnsi" w:hAnsiTheme="majorHAnsi"/>
          <w:sz w:val="20"/>
          <w:szCs w:val="20"/>
        </w:rPr>
        <w:t xml:space="preserve">alternatives </w:t>
      </w:r>
      <w:r w:rsidR="001E686E" w:rsidRPr="009558E6">
        <w:rPr>
          <w:rFonts w:asciiTheme="majorHAnsi" w:hAnsiTheme="majorHAnsi"/>
          <w:sz w:val="20"/>
          <w:szCs w:val="20"/>
        </w:rPr>
        <w:t xml:space="preserve">afin de fournir une stabilité supplémentaire aux pêcheries tout en respectant les objectifs de gestion. Ces alternatives comprennent, entre autres, l'application de la restriction de la réduction maximale de 20% du </w:t>
      </w:r>
      <w:r w:rsidR="00B926EF" w:rsidRPr="009558E6">
        <w:rPr>
          <w:rFonts w:asciiTheme="majorHAnsi" w:hAnsiTheme="majorHAnsi"/>
          <w:sz w:val="20"/>
          <w:szCs w:val="20"/>
        </w:rPr>
        <w:t>total des prises admissibles (</w:t>
      </w:r>
      <w:r w:rsidR="001E686E" w:rsidRPr="009558E6">
        <w:rPr>
          <w:rFonts w:asciiTheme="majorHAnsi" w:hAnsiTheme="majorHAnsi"/>
          <w:sz w:val="20"/>
          <w:szCs w:val="20"/>
        </w:rPr>
        <w:t>TAC</w:t>
      </w:r>
      <w:r w:rsidR="00B926EF" w:rsidRPr="009558E6">
        <w:rPr>
          <w:rFonts w:asciiTheme="majorHAnsi" w:hAnsiTheme="majorHAnsi"/>
          <w:sz w:val="20"/>
          <w:szCs w:val="20"/>
        </w:rPr>
        <w:t>)</w:t>
      </w:r>
      <w:r w:rsidR="001E686E" w:rsidRPr="009558E6">
        <w:rPr>
          <w:rFonts w:asciiTheme="majorHAnsi" w:hAnsiTheme="majorHAnsi"/>
          <w:sz w:val="20"/>
          <w:szCs w:val="20"/>
        </w:rPr>
        <w:t xml:space="preserve"> et de l'augmentation maximale de 25% du TAC lorsque B est estimé supérieur à B</w:t>
      </w:r>
      <w:r w:rsidR="001E686E" w:rsidRPr="009558E6">
        <w:rPr>
          <w:rFonts w:asciiTheme="majorHAnsi" w:hAnsiTheme="majorHAnsi"/>
          <w:sz w:val="20"/>
          <w:szCs w:val="20"/>
          <w:vertAlign w:val="subscript"/>
        </w:rPr>
        <w:t>lim</w:t>
      </w:r>
      <w:r w:rsidR="006B38B8" w:rsidRPr="009558E6">
        <w:rPr>
          <w:rFonts w:asciiTheme="majorHAnsi" w:hAnsiTheme="majorHAnsi"/>
          <w:sz w:val="20"/>
          <w:szCs w:val="20"/>
          <w:vertAlign w:val="subscript"/>
        </w:rPr>
        <w:t> ;</w:t>
      </w:r>
    </w:p>
    <w:p w14:paraId="46F0703C" w14:textId="77777777" w:rsidR="001E686E" w:rsidRPr="009558E6" w:rsidRDefault="001E686E" w:rsidP="00D466ED">
      <w:pPr>
        <w:spacing w:after="0" w:line="240" w:lineRule="auto"/>
        <w:ind w:firstLine="426"/>
        <w:contextualSpacing/>
        <w:jc w:val="both"/>
        <w:rPr>
          <w:rFonts w:asciiTheme="majorHAnsi" w:hAnsiTheme="majorHAnsi"/>
          <w:sz w:val="20"/>
          <w:szCs w:val="20"/>
        </w:rPr>
      </w:pPr>
    </w:p>
    <w:p w14:paraId="131DA23E" w14:textId="664B9F7C" w:rsidR="00CF7709" w:rsidRPr="009558E6" w:rsidRDefault="001E686E" w:rsidP="001E686E">
      <w:pPr>
        <w:spacing w:after="0" w:line="240" w:lineRule="auto"/>
        <w:ind w:firstLine="426"/>
        <w:contextualSpacing/>
        <w:jc w:val="both"/>
        <w:rPr>
          <w:rFonts w:asciiTheme="majorHAnsi" w:hAnsiTheme="majorHAnsi"/>
          <w:sz w:val="20"/>
          <w:szCs w:val="20"/>
        </w:rPr>
      </w:pPr>
      <w:r w:rsidRPr="009558E6">
        <w:rPr>
          <w:rFonts w:asciiTheme="majorHAnsi" w:hAnsiTheme="majorHAnsi"/>
          <w:i/>
          <w:iCs/>
          <w:sz w:val="20"/>
          <w:szCs w:val="20"/>
        </w:rPr>
        <w:t>RECONNAISSANT</w:t>
      </w:r>
      <w:r w:rsidRPr="009558E6">
        <w:rPr>
          <w:rFonts w:asciiTheme="majorHAnsi" w:hAnsiTheme="majorHAnsi"/>
          <w:sz w:val="20"/>
          <w:szCs w:val="20"/>
        </w:rPr>
        <w:t xml:space="preserve"> qu’après cinq années de mise en œuvre de la règle de contrôle de l’exploitation</w:t>
      </w:r>
      <w:r w:rsidR="00142BF7" w:rsidRPr="009558E6">
        <w:rPr>
          <w:rFonts w:asciiTheme="majorHAnsi" w:hAnsiTheme="majorHAnsi"/>
          <w:sz w:val="20"/>
          <w:szCs w:val="20"/>
        </w:rPr>
        <w:t xml:space="preserve"> provisoire</w:t>
      </w:r>
      <w:r w:rsidR="0099697B" w:rsidRPr="009558E6">
        <w:rPr>
          <w:rFonts w:asciiTheme="majorHAnsi" w:hAnsiTheme="majorHAnsi"/>
          <w:sz w:val="20"/>
          <w:szCs w:val="20"/>
        </w:rPr>
        <w:t>,</w:t>
      </w:r>
      <w:r w:rsidR="00CF7709" w:rsidRPr="009558E6">
        <w:rPr>
          <w:rFonts w:asciiTheme="majorHAnsi" w:hAnsiTheme="majorHAnsi"/>
          <w:sz w:val="20"/>
          <w:szCs w:val="20"/>
        </w:rPr>
        <w:t xml:space="preserve"> il est </w:t>
      </w:r>
      <w:r w:rsidR="0099697B" w:rsidRPr="009558E6">
        <w:rPr>
          <w:rFonts w:asciiTheme="majorHAnsi" w:hAnsiTheme="majorHAnsi"/>
          <w:sz w:val="20"/>
          <w:szCs w:val="20"/>
        </w:rPr>
        <w:t>conseillé</w:t>
      </w:r>
      <w:r w:rsidR="00CF7709" w:rsidRPr="009558E6">
        <w:rPr>
          <w:rFonts w:asciiTheme="majorHAnsi" w:hAnsiTheme="majorHAnsi"/>
          <w:sz w:val="20"/>
          <w:szCs w:val="20"/>
        </w:rPr>
        <w:t xml:space="preserve"> de promouvoir l'essai d'autres améliorations qui permettront de tester le</w:t>
      </w:r>
      <w:r w:rsidR="00142BF7" w:rsidRPr="009558E6">
        <w:rPr>
          <w:rFonts w:asciiTheme="majorHAnsi" w:hAnsiTheme="majorHAnsi"/>
          <w:sz w:val="20"/>
          <w:szCs w:val="20"/>
        </w:rPr>
        <w:t>s</w:t>
      </w:r>
      <w:r w:rsidR="00CF7709" w:rsidRPr="009558E6">
        <w:rPr>
          <w:rFonts w:asciiTheme="majorHAnsi" w:hAnsiTheme="majorHAnsi"/>
          <w:sz w:val="20"/>
          <w:szCs w:val="20"/>
        </w:rPr>
        <w:t xml:space="preserve"> </w:t>
      </w:r>
      <w:r w:rsidR="00142BF7" w:rsidRPr="009558E6">
        <w:rPr>
          <w:rFonts w:asciiTheme="majorHAnsi" w:hAnsiTheme="majorHAnsi"/>
          <w:sz w:val="20"/>
          <w:szCs w:val="20"/>
        </w:rPr>
        <w:t>compensations</w:t>
      </w:r>
      <w:r w:rsidR="00CF7709" w:rsidRPr="009558E6">
        <w:rPr>
          <w:rFonts w:asciiTheme="majorHAnsi" w:hAnsiTheme="majorHAnsi"/>
          <w:sz w:val="20"/>
          <w:szCs w:val="20"/>
        </w:rPr>
        <w:t xml:space="preserve"> de procédures de gestion alternatives avec des étapes plus fines à la fois pour la mortalité par pêche et la biomasse, y compris des niveaux supérieurs à ceux qui assurent la PME</w:t>
      </w:r>
      <w:r w:rsidR="00D466ED" w:rsidRPr="009558E6">
        <w:rPr>
          <w:rFonts w:asciiTheme="majorHAnsi" w:hAnsiTheme="majorHAnsi"/>
          <w:sz w:val="20"/>
          <w:szCs w:val="20"/>
        </w:rPr>
        <w:t> ;</w:t>
      </w:r>
    </w:p>
    <w:p w14:paraId="58A04A0E" w14:textId="77777777" w:rsidR="00D466ED" w:rsidRPr="009558E6" w:rsidRDefault="00D466ED" w:rsidP="00D466ED">
      <w:pPr>
        <w:spacing w:after="0" w:line="240" w:lineRule="auto"/>
        <w:ind w:firstLine="426"/>
        <w:contextualSpacing/>
        <w:jc w:val="both"/>
        <w:rPr>
          <w:rFonts w:asciiTheme="majorHAnsi" w:hAnsiTheme="majorHAnsi"/>
          <w:bCs/>
          <w:sz w:val="20"/>
          <w:szCs w:val="20"/>
        </w:rPr>
      </w:pPr>
    </w:p>
    <w:p w14:paraId="6338BEE2" w14:textId="61C16C50" w:rsidR="007245D4" w:rsidRPr="009558E6" w:rsidRDefault="007245D4" w:rsidP="00D466ED">
      <w:pPr>
        <w:spacing w:after="0" w:line="240" w:lineRule="auto"/>
        <w:ind w:firstLine="426"/>
        <w:contextualSpacing/>
        <w:jc w:val="both"/>
        <w:rPr>
          <w:rFonts w:asciiTheme="majorHAnsi" w:hAnsiTheme="majorHAnsi"/>
          <w:sz w:val="20"/>
          <w:szCs w:val="20"/>
        </w:rPr>
      </w:pPr>
      <w:r w:rsidRPr="009558E6">
        <w:rPr>
          <w:rFonts w:asciiTheme="majorHAnsi" w:hAnsiTheme="majorHAnsi"/>
          <w:i/>
          <w:iCs/>
          <w:sz w:val="20"/>
          <w:szCs w:val="20"/>
        </w:rPr>
        <w:t>NOTANT</w:t>
      </w:r>
      <w:r w:rsidRPr="009558E6">
        <w:rPr>
          <w:rFonts w:asciiTheme="majorHAnsi" w:hAnsiTheme="majorHAnsi"/>
          <w:sz w:val="20"/>
          <w:szCs w:val="20"/>
        </w:rPr>
        <w:t xml:space="preserve"> l'importance d'identifier les circonstances exceptionnelles qui entraîneraient la suspension ou la modification de l'application de la HCR ;</w:t>
      </w:r>
    </w:p>
    <w:p w14:paraId="5465348B" w14:textId="77777777" w:rsidR="0035431C" w:rsidRPr="009558E6" w:rsidRDefault="0035431C" w:rsidP="00D466ED">
      <w:pPr>
        <w:spacing w:after="0" w:line="240" w:lineRule="auto"/>
        <w:ind w:firstLine="426"/>
        <w:contextualSpacing/>
        <w:jc w:val="both"/>
        <w:rPr>
          <w:rFonts w:asciiTheme="majorHAnsi" w:hAnsiTheme="majorHAnsi" w:cs="Cambria"/>
          <w:sz w:val="20"/>
          <w:szCs w:val="20"/>
        </w:rPr>
      </w:pPr>
    </w:p>
    <w:p w14:paraId="63C18D1E" w14:textId="6EEC7B14" w:rsidR="0031174B" w:rsidRPr="009558E6" w:rsidRDefault="0031174B" w:rsidP="00D466ED">
      <w:pPr>
        <w:spacing w:after="0" w:line="240" w:lineRule="auto"/>
        <w:ind w:firstLine="426"/>
        <w:contextualSpacing/>
        <w:jc w:val="both"/>
        <w:rPr>
          <w:rFonts w:asciiTheme="majorHAnsi" w:hAnsiTheme="majorHAnsi"/>
          <w:sz w:val="20"/>
          <w:szCs w:val="20"/>
        </w:rPr>
      </w:pPr>
      <w:r w:rsidRPr="009558E6">
        <w:rPr>
          <w:rFonts w:asciiTheme="majorHAnsi" w:hAnsiTheme="majorHAnsi"/>
          <w:i/>
          <w:iCs/>
          <w:sz w:val="20"/>
          <w:szCs w:val="20"/>
        </w:rPr>
        <w:t>NOTANT EN OUTRE</w:t>
      </w:r>
      <w:r w:rsidRPr="009558E6">
        <w:rPr>
          <w:rFonts w:asciiTheme="majorHAnsi" w:hAnsiTheme="majorHAnsi"/>
          <w:sz w:val="20"/>
          <w:szCs w:val="20"/>
        </w:rPr>
        <w:t xml:space="preserve"> que le SCRS est en train d'élaborer un autre cadre pour la MSE</w:t>
      </w:r>
      <w:r w:rsidR="00261F1B" w:rsidRPr="009558E6">
        <w:rPr>
          <w:rFonts w:asciiTheme="majorHAnsi" w:hAnsiTheme="majorHAnsi"/>
          <w:sz w:val="20"/>
          <w:szCs w:val="20"/>
        </w:rPr>
        <w:t xml:space="preserve"> qui pourrait ne pas être disponible avant 2026</w:t>
      </w:r>
      <w:r w:rsidR="00B575DD" w:rsidRPr="009558E6">
        <w:rPr>
          <w:rFonts w:asciiTheme="majorHAnsi" w:hAnsiTheme="majorHAnsi"/>
          <w:sz w:val="20"/>
          <w:szCs w:val="20"/>
        </w:rPr>
        <w:t xml:space="preserve"> </w:t>
      </w:r>
      <w:r w:rsidRPr="009558E6">
        <w:rPr>
          <w:rFonts w:asciiTheme="majorHAnsi" w:hAnsiTheme="majorHAnsi"/>
          <w:sz w:val="20"/>
          <w:szCs w:val="20"/>
        </w:rPr>
        <w:t>;</w:t>
      </w:r>
      <w:r w:rsidR="00DA7810" w:rsidRPr="009558E6">
        <w:rPr>
          <w:rFonts w:asciiTheme="majorHAnsi" w:hAnsiTheme="majorHAnsi"/>
          <w:sz w:val="20"/>
          <w:szCs w:val="20"/>
        </w:rPr>
        <w:t xml:space="preserve"> </w:t>
      </w:r>
      <w:r w:rsidRPr="009558E6">
        <w:rPr>
          <w:rFonts w:asciiTheme="majorHAnsi" w:hAnsiTheme="majorHAnsi"/>
          <w:sz w:val="20"/>
          <w:szCs w:val="20"/>
        </w:rPr>
        <w:t xml:space="preserve"> </w:t>
      </w:r>
    </w:p>
    <w:p w14:paraId="3EFDA827" w14:textId="77777777" w:rsidR="0035431C" w:rsidRPr="009558E6" w:rsidRDefault="0035431C" w:rsidP="00D466ED">
      <w:pPr>
        <w:spacing w:after="0" w:line="240" w:lineRule="auto"/>
        <w:ind w:firstLine="426"/>
        <w:contextualSpacing/>
        <w:jc w:val="both"/>
        <w:rPr>
          <w:rFonts w:asciiTheme="majorHAnsi" w:hAnsiTheme="majorHAnsi"/>
          <w:sz w:val="20"/>
          <w:szCs w:val="20"/>
        </w:rPr>
      </w:pPr>
    </w:p>
    <w:p w14:paraId="6E6044C8" w14:textId="484961F4" w:rsidR="001E6606" w:rsidRPr="009558E6" w:rsidRDefault="001E6606" w:rsidP="00D466ED">
      <w:pPr>
        <w:spacing w:after="0" w:line="240" w:lineRule="auto"/>
        <w:ind w:firstLine="426"/>
        <w:contextualSpacing/>
        <w:jc w:val="both"/>
        <w:rPr>
          <w:rFonts w:asciiTheme="majorHAnsi" w:hAnsiTheme="majorHAnsi" w:cs="Cambria"/>
          <w:sz w:val="20"/>
          <w:szCs w:val="20"/>
        </w:rPr>
      </w:pPr>
      <w:r w:rsidRPr="009558E6">
        <w:rPr>
          <w:rFonts w:asciiTheme="majorHAnsi" w:hAnsiTheme="majorHAnsi"/>
          <w:i/>
          <w:iCs/>
          <w:sz w:val="20"/>
          <w:szCs w:val="20"/>
        </w:rPr>
        <w:t>CONSCIENTE</w:t>
      </w:r>
      <w:r w:rsidRPr="009558E6">
        <w:rPr>
          <w:rFonts w:asciiTheme="majorHAnsi" w:hAnsiTheme="majorHAnsi"/>
          <w:sz w:val="20"/>
          <w:szCs w:val="20"/>
        </w:rPr>
        <w:t xml:space="preserve"> que l'application de la HCR en 2020 a entraîné une augmentation du TAC et que, dans les circonstances difficiles auxquelles l'organisation a été confrontée l'année dernière, il a été convenu d'appliquer l'augmentation au prorata des limites de capture et autres limites, mais que cette approche n'a pas créé de précédent ;</w:t>
      </w:r>
    </w:p>
    <w:p w14:paraId="0474B610" w14:textId="71FC051C" w:rsidR="00D02869" w:rsidRPr="009558E6" w:rsidRDefault="00D02869" w:rsidP="0035431C">
      <w:pPr>
        <w:autoSpaceDE w:val="0"/>
        <w:autoSpaceDN w:val="0"/>
        <w:adjustRightInd w:val="0"/>
        <w:spacing w:after="0" w:line="240" w:lineRule="auto"/>
        <w:contextualSpacing/>
        <w:jc w:val="center"/>
        <w:rPr>
          <w:rFonts w:asciiTheme="majorHAnsi" w:hAnsiTheme="majorHAnsi"/>
          <w:sz w:val="20"/>
          <w:szCs w:val="20"/>
        </w:rPr>
      </w:pPr>
    </w:p>
    <w:p w14:paraId="6C5CEEC4" w14:textId="77777777" w:rsidR="00061893" w:rsidRPr="009558E6" w:rsidRDefault="00061893" w:rsidP="0035431C">
      <w:pPr>
        <w:autoSpaceDE w:val="0"/>
        <w:autoSpaceDN w:val="0"/>
        <w:adjustRightInd w:val="0"/>
        <w:spacing w:after="0" w:line="240" w:lineRule="auto"/>
        <w:contextualSpacing/>
        <w:jc w:val="center"/>
        <w:rPr>
          <w:rFonts w:asciiTheme="majorHAnsi" w:hAnsiTheme="majorHAnsi"/>
          <w:sz w:val="20"/>
          <w:szCs w:val="20"/>
        </w:rPr>
      </w:pPr>
    </w:p>
    <w:p w14:paraId="2F5A8381" w14:textId="3ED174A5" w:rsidR="007245D4" w:rsidRPr="009558E6" w:rsidRDefault="007245D4" w:rsidP="0035431C">
      <w:pPr>
        <w:autoSpaceDE w:val="0"/>
        <w:autoSpaceDN w:val="0"/>
        <w:adjustRightInd w:val="0"/>
        <w:spacing w:after="0" w:line="240" w:lineRule="auto"/>
        <w:contextualSpacing/>
        <w:jc w:val="center"/>
        <w:rPr>
          <w:rFonts w:asciiTheme="majorHAnsi" w:hAnsiTheme="majorHAnsi" w:cs="Cambria"/>
          <w:sz w:val="20"/>
          <w:szCs w:val="20"/>
        </w:rPr>
      </w:pPr>
      <w:r w:rsidRPr="009558E6">
        <w:rPr>
          <w:rFonts w:asciiTheme="majorHAnsi" w:hAnsiTheme="majorHAnsi"/>
          <w:sz w:val="20"/>
          <w:szCs w:val="20"/>
        </w:rPr>
        <w:t>LA COMMISSION INTERNATIONALE POUR LA CONSERVATION</w:t>
      </w:r>
    </w:p>
    <w:p w14:paraId="3E73B931" w14:textId="21778D53" w:rsidR="007245D4" w:rsidRPr="009558E6" w:rsidRDefault="007245D4" w:rsidP="0035431C">
      <w:pPr>
        <w:autoSpaceDE w:val="0"/>
        <w:autoSpaceDN w:val="0"/>
        <w:adjustRightInd w:val="0"/>
        <w:spacing w:after="0" w:line="240" w:lineRule="auto"/>
        <w:contextualSpacing/>
        <w:jc w:val="center"/>
        <w:rPr>
          <w:rFonts w:asciiTheme="majorHAnsi" w:hAnsiTheme="majorHAnsi" w:cs="Cambria"/>
          <w:sz w:val="20"/>
          <w:szCs w:val="20"/>
        </w:rPr>
      </w:pPr>
      <w:r w:rsidRPr="009558E6">
        <w:rPr>
          <w:rFonts w:asciiTheme="majorHAnsi" w:hAnsiTheme="majorHAnsi"/>
          <w:sz w:val="20"/>
          <w:szCs w:val="20"/>
        </w:rPr>
        <w:t>DES THONIDÉS DE L’ATLANTIQUE (ICCAT) RECOMMANDE CE QUI SUIT :</w:t>
      </w:r>
    </w:p>
    <w:p w14:paraId="21744BBB" w14:textId="4440CF1D" w:rsidR="00D02869" w:rsidRPr="009558E6" w:rsidRDefault="00D02869" w:rsidP="0035431C">
      <w:pPr>
        <w:autoSpaceDE w:val="0"/>
        <w:autoSpaceDN w:val="0"/>
        <w:adjustRightInd w:val="0"/>
        <w:spacing w:after="0" w:line="240" w:lineRule="auto"/>
        <w:contextualSpacing/>
        <w:jc w:val="center"/>
        <w:rPr>
          <w:rFonts w:asciiTheme="majorHAnsi" w:hAnsiTheme="majorHAnsi" w:cs="Cambria"/>
          <w:sz w:val="20"/>
          <w:szCs w:val="20"/>
        </w:rPr>
      </w:pPr>
    </w:p>
    <w:p w14:paraId="05565365" w14:textId="77777777" w:rsidR="00061893" w:rsidRPr="009558E6" w:rsidRDefault="00061893" w:rsidP="0035431C">
      <w:pPr>
        <w:autoSpaceDE w:val="0"/>
        <w:autoSpaceDN w:val="0"/>
        <w:adjustRightInd w:val="0"/>
        <w:spacing w:after="0" w:line="240" w:lineRule="auto"/>
        <w:contextualSpacing/>
        <w:jc w:val="center"/>
        <w:rPr>
          <w:rFonts w:asciiTheme="majorHAnsi" w:hAnsiTheme="majorHAnsi" w:cs="Cambria"/>
          <w:sz w:val="20"/>
          <w:szCs w:val="20"/>
        </w:rPr>
      </w:pPr>
    </w:p>
    <w:p w14:paraId="3DA29694" w14:textId="77777777" w:rsidR="007245D4" w:rsidRPr="009558E6" w:rsidRDefault="007245D4" w:rsidP="0035431C">
      <w:pPr>
        <w:autoSpaceDE w:val="0"/>
        <w:autoSpaceDN w:val="0"/>
        <w:adjustRightInd w:val="0"/>
        <w:spacing w:after="0" w:line="240" w:lineRule="auto"/>
        <w:contextualSpacing/>
        <w:jc w:val="center"/>
        <w:rPr>
          <w:rFonts w:asciiTheme="majorHAnsi" w:hAnsiTheme="majorHAnsi" w:cs="Cambria"/>
          <w:sz w:val="20"/>
          <w:szCs w:val="20"/>
        </w:rPr>
      </w:pPr>
      <w:r w:rsidRPr="009558E6">
        <w:rPr>
          <w:rFonts w:asciiTheme="majorHAnsi" w:hAnsiTheme="majorHAnsi"/>
          <w:b/>
          <w:bCs/>
          <w:sz w:val="20"/>
          <w:szCs w:val="20"/>
        </w:rPr>
        <w:t>Ie PARTIE</w:t>
      </w:r>
    </w:p>
    <w:p w14:paraId="2458238C" w14:textId="31F22EC0" w:rsidR="007245D4" w:rsidRPr="009558E6" w:rsidRDefault="007245D4" w:rsidP="0035431C">
      <w:pPr>
        <w:autoSpaceDE w:val="0"/>
        <w:autoSpaceDN w:val="0"/>
        <w:adjustRightInd w:val="0"/>
        <w:spacing w:after="0" w:line="240" w:lineRule="auto"/>
        <w:contextualSpacing/>
        <w:jc w:val="center"/>
        <w:rPr>
          <w:rFonts w:asciiTheme="majorHAnsi" w:hAnsiTheme="majorHAnsi"/>
          <w:b/>
          <w:bCs/>
          <w:sz w:val="20"/>
          <w:szCs w:val="20"/>
        </w:rPr>
      </w:pPr>
      <w:r w:rsidRPr="009558E6">
        <w:rPr>
          <w:rFonts w:asciiTheme="majorHAnsi" w:hAnsiTheme="majorHAnsi"/>
          <w:b/>
          <w:bCs/>
          <w:sz w:val="20"/>
          <w:szCs w:val="20"/>
        </w:rPr>
        <w:t>DISPOSITIONS GÉNÉRALES</w:t>
      </w:r>
    </w:p>
    <w:p w14:paraId="14593485" w14:textId="3D407D40" w:rsidR="007245D4" w:rsidRPr="009558E6" w:rsidRDefault="007245D4" w:rsidP="0035431C">
      <w:pPr>
        <w:autoSpaceDE w:val="0"/>
        <w:autoSpaceDN w:val="0"/>
        <w:adjustRightInd w:val="0"/>
        <w:spacing w:after="0" w:line="240" w:lineRule="auto"/>
        <w:contextualSpacing/>
        <w:jc w:val="center"/>
        <w:rPr>
          <w:rFonts w:asciiTheme="majorHAnsi" w:hAnsiTheme="majorHAnsi" w:cs="Cambria"/>
          <w:b/>
          <w:bCs/>
          <w:sz w:val="20"/>
          <w:szCs w:val="20"/>
        </w:rPr>
      </w:pPr>
    </w:p>
    <w:p w14:paraId="0827A299" w14:textId="2DCC9C7A" w:rsidR="004E55E4" w:rsidRPr="009558E6" w:rsidRDefault="0035431C" w:rsidP="0035431C">
      <w:pPr>
        <w:autoSpaceDE w:val="0"/>
        <w:autoSpaceDN w:val="0"/>
        <w:adjustRightInd w:val="0"/>
        <w:spacing w:after="0" w:line="240" w:lineRule="auto"/>
        <w:ind w:left="426" w:hanging="426"/>
        <w:jc w:val="both"/>
        <w:rPr>
          <w:rFonts w:asciiTheme="majorHAnsi" w:hAnsiTheme="majorHAnsi"/>
          <w:sz w:val="20"/>
          <w:szCs w:val="20"/>
        </w:rPr>
      </w:pPr>
      <w:r w:rsidRPr="009558E6">
        <w:rPr>
          <w:rFonts w:asciiTheme="majorHAnsi" w:hAnsiTheme="majorHAnsi"/>
          <w:sz w:val="20"/>
          <w:szCs w:val="20"/>
        </w:rPr>
        <w:t>1.</w:t>
      </w:r>
      <w:r w:rsidRPr="009558E6">
        <w:rPr>
          <w:rFonts w:asciiTheme="majorHAnsi" w:hAnsiTheme="majorHAnsi"/>
          <w:sz w:val="20"/>
          <w:szCs w:val="20"/>
        </w:rPr>
        <w:tab/>
      </w:r>
      <w:r w:rsidR="004E55E4" w:rsidRPr="009558E6">
        <w:rPr>
          <w:rFonts w:asciiTheme="majorHAnsi" w:hAnsiTheme="majorHAnsi"/>
          <w:sz w:val="20"/>
          <w:szCs w:val="20"/>
        </w:rPr>
        <w:t>Les Parties contractantes et Parties, Entités ou Entités de pêche non contractantes coopérantes (</w:t>
      </w:r>
      <w:r w:rsidR="00D02869" w:rsidRPr="009558E6">
        <w:rPr>
          <w:rFonts w:asciiTheme="majorHAnsi" w:hAnsiTheme="majorHAnsi"/>
          <w:sz w:val="20"/>
          <w:szCs w:val="20"/>
        </w:rPr>
        <w:t>« </w:t>
      </w:r>
      <w:r w:rsidR="004E55E4" w:rsidRPr="009558E6">
        <w:rPr>
          <w:rFonts w:asciiTheme="majorHAnsi" w:hAnsiTheme="majorHAnsi"/>
          <w:sz w:val="20"/>
          <w:szCs w:val="20"/>
        </w:rPr>
        <w:t>CPC</w:t>
      </w:r>
      <w:r w:rsidR="00D02869" w:rsidRPr="009558E6">
        <w:rPr>
          <w:rFonts w:asciiTheme="majorHAnsi" w:hAnsiTheme="majorHAnsi"/>
          <w:sz w:val="20"/>
          <w:szCs w:val="20"/>
        </w:rPr>
        <w:t> »</w:t>
      </w:r>
      <w:r w:rsidR="004E55E4" w:rsidRPr="009558E6">
        <w:rPr>
          <w:rFonts w:asciiTheme="majorHAnsi" w:hAnsiTheme="majorHAnsi"/>
          <w:sz w:val="20"/>
          <w:szCs w:val="20"/>
        </w:rPr>
        <w:t xml:space="preserve">) dont les navires se livrent à la pêche de germon de l'Atlantique Nord dans la zone de la Convention devront mettre en œuvre les mesures </w:t>
      </w:r>
      <w:r w:rsidR="00B926EF" w:rsidRPr="009558E6">
        <w:rPr>
          <w:rFonts w:asciiTheme="majorHAnsi" w:hAnsiTheme="majorHAnsi"/>
          <w:sz w:val="20"/>
          <w:szCs w:val="20"/>
        </w:rPr>
        <w:t xml:space="preserve">suivantes </w:t>
      </w:r>
      <w:r w:rsidR="004E55E4" w:rsidRPr="009558E6">
        <w:rPr>
          <w:rFonts w:asciiTheme="majorHAnsi" w:hAnsiTheme="majorHAnsi"/>
          <w:sz w:val="20"/>
          <w:szCs w:val="20"/>
        </w:rPr>
        <w:t xml:space="preserve">de conservation et de gestion </w:t>
      </w:r>
      <w:r w:rsidR="00B926EF" w:rsidRPr="009558E6">
        <w:rPr>
          <w:rFonts w:asciiTheme="majorHAnsi" w:hAnsiTheme="majorHAnsi"/>
          <w:sz w:val="20"/>
          <w:szCs w:val="20"/>
        </w:rPr>
        <w:t xml:space="preserve">pour la </w:t>
      </w:r>
      <w:r w:rsidR="004E55E4" w:rsidRPr="009558E6">
        <w:rPr>
          <w:rFonts w:asciiTheme="majorHAnsi" w:hAnsiTheme="majorHAnsi"/>
          <w:sz w:val="20"/>
          <w:szCs w:val="20"/>
        </w:rPr>
        <w:t>pêche</w:t>
      </w:r>
      <w:r w:rsidR="00B926EF" w:rsidRPr="009558E6">
        <w:rPr>
          <w:rFonts w:asciiTheme="majorHAnsi" w:hAnsiTheme="majorHAnsi"/>
          <w:sz w:val="20"/>
          <w:szCs w:val="20"/>
        </w:rPr>
        <w:t>rie</w:t>
      </w:r>
      <w:r w:rsidR="004E55E4" w:rsidRPr="009558E6">
        <w:rPr>
          <w:rFonts w:asciiTheme="majorHAnsi" w:hAnsiTheme="majorHAnsi"/>
          <w:sz w:val="20"/>
          <w:szCs w:val="20"/>
        </w:rPr>
        <w:t xml:space="preserve"> </w:t>
      </w:r>
      <w:r w:rsidR="00B926EF" w:rsidRPr="009558E6">
        <w:rPr>
          <w:rFonts w:asciiTheme="majorHAnsi" w:hAnsiTheme="majorHAnsi"/>
          <w:sz w:val="20"/>
          <w:szCs w:val="20"/>
        </w:rPr>
        <w:t>d</w:t>
      </w:r>
      <w:r w:rsidR="004E55E4" w:rsidRPr="009558E6">
        <w:rPr>
          <w:rFonts w:asciiTheme="majorHAnsi" w:hAnsiTheme="majorHAnsi"/>
          <w:sz w:val="20"/>
          <w:szCs w:val="20"/>
        </w:rPr>
        <w:t xml:space="preserve">e germon de l'Atlantique Nord, qui comprennent la </w:t>
      </w:r>
      <w:r w:rsidR="00E638EE">
        <w:rPr>
          <w:rFonts w:asciiTheme="majorHAnsi" w:hAnsiTheme="majorHAnsi"/>
          <w:sz w:val="20"/>
          <w:szCs w:val="20"/>
        </w:rPr>
        <w:t>MP</w:t>
      </w:r>
      <w:r w:rsidR="004E55E4" w:rsidRPr="009558E6">
        <w:rPr>
          <w:rFonts w:asciiTheme="majorHAnsi" w:hAnsiTheme="majorHAnsi"/>
          <w:sz w:val="20"/>
          <w:szCs w:val="20"/>
        </w:rPr>
        <w:t xml:space="preserve"> présentée à l'</w:t>
      </w:r>
      <w:r w:rsidR="004E55E4" w:rsidRPr="009558E6">
        <w:rPr>
          <w:rFonts w:asciiTheme="majorHAnsi" w:hAnsiTheme="majorHAnsi"/>
          <w:b/>
          <w:bCs/>
          <w:sz w:val="20"/>
          <w:szCs w:val="20"/>
        </w:rPr>
        <w:t xml:space="preserve">Annexe </w:t>
      </w:r>
      <w:r w:rsidR="00B926EF" w:rsidRPr="009558E6">
        <w:rPr>
          <w:rFonts w:asciiTheme="majorHAnsi" w:hAnsiTheme="majorHAnsi"/>
          <w:b/>
          <w:bCs/>
          <w:sz w:val="20"/>
          <w:szCs w:val="20"/>
        </w:rPr>
        <w:t>1</w:t>
      </w:r>
      <w:r w:rsidR="004E55E4" w:rsidRPr="009558E6">
        <w:rPr>
          <w:rFonts w:asciiTheme="majorHAnsi" w:hAnsiTheme="majorHAnsi"/>
          <w:sz w:val="20"/>
          <w:szCs w:val="20"/>
        </w:rPr>
        <w:t xml:space="preserve"> pour l'établissement du total de prises admissibles annuel.</w:t>
      </w:r>
    </w:p>
    <w:p w14:paraId="50CB9C3C" w14:textId="73332F85" w:rsidR="00A561B5" w:rsidRPr="009558E6" w:rsidRDefault="00A561B5" w:rsidP="0035431C">
      <w:pPr>
        <w:autoSpaceDE w:val="0"/>
        <w:autoSpaceDN w:val="0"/>
        <w:adjustRightInd w:val="0"/>
        <w:spacing w:after="0" w:line="240" w:lineRule="auto"/>
        <w:contextualSpacing/>
        <w:jc w:val="both"/>
        <w:rPr>
          <w:rFonts w:asciiTheme="majorHAnsi" w:hAnsiTheme="majorHAnsi" w:cs="Cambria"/>
          <w:sz w:val="20"/>
          <w:szCs w:val="20"/>
        </w:rPr>
      </w:pPr>
    </w:p>
    <w:p w14:paraId="10223962" w14:textId="6AC2DE00" w:rsidR="00F7392D" w:rsidRPr="009558E6" w:rsidRDefault="00A561B5" w:rsidP="0035431C">
      <w:pPr>
        <w:autoSpaceDE w:val="0"/>
        <w:autoSpaceDN w:val="0"/>
        <w:adjustRightInd w:val="0"/>
        <w:spacing w:after="0" w:line="240" w:lineRule="auto"/>
        <w:contextualSpacing/>
        <w:jc w:val="both"/>
        <w:rPr>
          <w:rFonts w:asciiTheme="majorHAnsi" w:hAnsiTheme="majorHAnsi" w:cs="Cambria"/>
          <w:b/>
          <w:i/>
          <w:iCs/>
          <w:sz w:val="20"/>
          <w:szCs w:val="20"/>
        </w:rPr>
      </w:pPr>
      <w:r w:rsidRPr="009558E6">
        <w:rPr>
          <w:rFonts w:asciiTheme="majorHAnsi" w:hAnsiTheme="majorHAnsi"/>
          <w:b/>
          <w:i/>
          <w:iCs/>
          <w:sz w:val="20"/>
          <w:szCs w:val="20"/>
        </w:rPr>
        <w:t>Objectifs de gestion</w:t>
      </w:r>
    </w:p>
    <w:p w14:paraId="65C5A7CA" w14:textId="77777777" w:rsidR="00A561B5" w:rsidRPr="009558E6" w:rsidRDefault="00A561B5" w:rsidP="0035431C">
      <w:pPr>
        <w:autoSpaceDE w:val="0"/>
        <w:autoSpaceDN w:val="0"/>
        <w:adjustRightInd w:val="0"/>
        <w:spacing w:after="0" w:line="240" w:lineRule="auto"/>
        <w:contextualSpacing/>
        <w:jc w:val="both"/>
        <w:rPr>
          <w:rFonts w:asciiTheme="majorHAnsi" w:hAnsiTheme="majorHAnsi" w:cs="Cambria"/>
          <w:sz w:val="20"/>
          <w:szCs w:val="20"/>
        </w:rPr>
      </w:pPr>
    </w:p>
    <w:p w14:paraId="1BBE068D" w14:textId="61DB7CD1" w:rsidR="007245D4" w:rsidRPr="009558E6" w:rsidRDefault="0035431C" w:rsidP="0035431C">
      <w:pPr>
        <w:autoSpaceDE w:val="0"/>
        <w:autoSpaceDN w:val="0"/>
        <w:adjustRightInd w:val="0"/>
        <w:spacing w:after="0" w:line="240" w:lineRule="auto"/>
        <w:ind w:left="426" w:hanging="426"/>
        <w:jc w:val="both"/>
        <w:rPr>
          <w:rFonts w:asciiTheme="majorHAnsi" w:hAnsiTheme="majorHAnsi" w:cs="Cambria"/>
          <w:sz w:val="20"/>
          <w:szCs w:val="20"/>
        </w:rPr>
      </w:pPr>
      <w:r w:rsidRPr="009558E6">
        <w:rPr>
          <w:rFonts w:asciiTheme="majorHAnsi" w:hAnsiTheme="majorHAnsi"/>
          <w:sz w:val="20"/>
          <w:szCs w:val="20"/>
        </w:rPr>
        <w:t>2.</w:t>
      </w:r>
      <w:r w:rsidRPr="009558E6">
        <w:rPr>
          <w:rFonts w:asciiTheme="majorHAnsi" w:hAnsiTheme="majorHAnsi"/>
          <w:sz w:val="20"/>
          <w:szCs w:val="20"/>
        </w:rPr>
        <w:tab/>
      </w:r>
      <w:r w:rsidR="007245D4" w:rsidRPr="009558E6">
        <w:rPr>
          <w:rFonts w:asciiTheme="majorHAnsi" w:hAnsiTheme="majorHAnsi"/>
          <w:sz w:val="20"/>
          <w:szCs w:val="20"/>
        </w:rPr>
        <w:t>L</w:t>
      </w:r>
      <w:r w:rsidR="00956062" w:rsidRPr="009558E6">
        <w:rPr>
          <w:rFonts w:asciiTheme="majorHAnsi" w:hAnsiTheme="majorHAnsi"/>
          <w:sz w:val="20"/>
          <w:szCs w:val="20"/>
        </w:rPr>
        <w:t xml:space="preserve">es </w:t>
      </w:r>
      <w:r w:rsidR="007245D4" w:rsidRPr="009558E6">
        <w:rPr>
          <w:rFonts w:asciiTheme="majorHAnsi" w:hAnsiTheme="majorHAnsi"/>
          <w:sz w:val="20"/>
          <w:szCs w:val="20"/>
        </w:rPr>
        <w:t>objectif</w:t>
      </w:r>
      <w:r w:rsidR="00956062" w:rsidRPr="009558E6">
        <w:rPr>
          <w:rFonts w:asciiTheme="majorHAnsi" w:hAnsiTheme="majorHAnsi"/>
          <w:sz w:val="20"/>
          <w:szCs w:val="20"/>
        </w:rPr>
        <w:t>s</w:t>
      </w:r>
      <w:r w:rsidR="007245D4" w:rsidRPr="009558E6">
        <w:rPr>
          <w:rFonts w:asciiTheme="majorHAnsi" w:hAnsiTheme="majorHAnsi"/>
          <w:sz w:val="20"/>
          <w:szCs w:val="20"/>
        </w:rPr>
        <w:t xml:space="preserve"> de gestion pour le stock de germon de l'Atlantique Nord </w:t>
      </w:r>
      <w:r w:rsidR="00956062" w:rsidRPr="009558E6">
        <w:rPr>
          <w:rFonts w:asciiTheme="majorHAnsi" w:hAnsiTheme="majorHAnsi"/>
          <w:sz w:val="20"/>
          <w:szCs w:val="20"/>
        </w:rPr>
        <w:t>sont</w:t>
      </w:r>
      <w:r w:rsidR="007245D4" w:rsidRPr="009558E6">
        <w:rPr>
          <w:rFonts w:asciiTheme="majorHAnsi" w:hAnsiTheme="majorHAnsi"/>
          <w:sz w:val="20"/>
          <w:szCs w:val="20"/>
        </w:rPr>
        <w:t xml:space="preserve"> :</w:t>
      </w:r>
    </w:p>
    <w:p w14:paraId="147D37C1" w14:textId="77777777" w:rsidR="007245D4" w:rsidRPr="009558E6" w:rsidRDefault="007245D4" w:rsidP="0035431C">
      <w:pPr>
        <w:pStyle w:val="ListParagraph"/>
        <w:autoSpaceDE w:val="0"/>
        <w:autoSpaceDN w:val="0"/>
        <w:adjustRightInd w:val="0"/>
        <w:spacing w:after="0" w:line="240" w:lineRule="auto"/>
        <w:jc w:val="both"/>
        <w:rPr>
          <w:rFonts w:asciiTheme="majorHAnsi" w:hAnsiTheme="majorHAnsi" w:cs="Cambria"/>
          <w:sz w:val="20"/>
          <w:szCs w:val="20"/>
        </w:rPr>
      </w:pPr>
    </w:p>
    <w:p w14:paraId="3859D163" w14:textId="0EA8524C" w:rsidR="007245D4" w:rsidRPr="009558E6" w:rsidRDefault="007245D4" w:rsidP="00D02869">
      <w:pPr>
        <w:autoSpaceDE w:val="0"/>
        <w:autoSpaceDN w:val="0"/>
        <w:adjustRightInd w:val="0"/>
        <w:spacing w:after="0" w:line="240" w:lineRule="auto"/>
        <w:ind w:left="851" w:hanging="425"/>
        <w:jc w:val="both"/>
        <w:rPr>
          <w:rFonts w:asciiTheme="majorHAnsi" w:hAnsiTheme="majorHAnsi"/>
          <w:sz w:val="20"/>
          <w:szCs w:val="20"/>
        </w:rPr>
      </w:pPr>
      <w:r w:rsidRPr="009558E6">
        <w:rPr>
          <w:rFonts w:asciiTheme="majorHAnsi" w:hAnsiTheme="majorHAnsi"/>
          <w:sz w:val="20"/>
          <w:szCs w:val="20"/>
        </w:rPr>
        <w:t>a)</w:t>
      </w:r>
      <w:r w:rsidRPr="009558E6">
        <w:rPr>
          <w:rFonts w:asciiTheme="majorHAnsi" w:hAnsiTheme="majorHAnsi"/>
          <w:sz w:val="20"/>
          <w:szCs w:val="20"/>
        </w:rPr>
        <w:tab/>
        <w:t xml:space="preserve">de maintenir le stock dans le quadrant vert du diagramme de Kobe, avec au moins 60% de probabilités, tout en maximisant la production à long terme de la pêcherie ; et </w:t>
      </w:r>
    </w:p>
    <w:p w14:paraId="0BCFEA7A" w14:textId="77777777" w:rsidR="007245D4" w:rsidRPr="009558E6" w:rsidRDefault="007245D4" w:rsidP="00D02869">
      <w:pPr>
        <w:autoSpaceDE w:val="0"/>
        <w:autoSpaceDN w:val="0"/>
        <w:adjustRightInd w:val="0"/>
        <w:spacing w:after="0" w:line="240" w:lineRule="auto"/>
        <w:ind w:left="851" w:hanging="425"/>
        <w:jc w:val="both"/>
        <w:rPr>
          <w:rFonts w:asciiTheme="majorHAnsi" w:hAnsiTheme="majorHAnsi"/>
          <w:sz w:val="20"/>
          <w:szCs w:val="20"/>
        </w:rPr>
      </w:pPr>
    </w:p>
    <w:p w14:paraId="42D72206" w14:textId="524120B0" w:rsidR="00256E6A" w:rsidRPr="009558E6" w:rsidRDefault="007245D4" w:rsidP="00256E6A">
      <w:pPr>
        <w:autoSpaceDE w:val="0"/>
        <w:autoSpaceDN w:val="0"/>
        <w:adjustRightInd w:val="0"/>
        <w:spacing w:after="0" w:line="240" w:lineRule="auto"/>
        <w:ind w:left="851" w:hanging="425"/>
        <w:jc w:val="both"/>
        <w:rPr>
          <w:rFonts w:asciiTheme="majorHAnsi" w:hAnsiTheme="majorHAnsi"/>
          <w:b/>
          <w:bCs/>
          <w:sz w:val="20"/>
          <w:szCs w:val="20"/>
        </w:rPr>
      </w:pPr>
      <w:r w:rsidRPr="009558E6">
        <w:rPr>
          <w:rFonts w:asciiTheme="majorHAnsi" w:hAnsiTheme="majorHAnsi"/>
          <w:sz w:val="20"/>
          <w:szCs w:val="20"/>
        </w:rPr>
        <w:t>b)</w:t>
      </w:r>
      <w:r w:rsidRPr="009558E6">
        <w:rPr>
          <w:rFonts w:asciiTheme="majorHAnsi" w:hAnsiTheme="majorHAnsi"/>
          <w:sz w:val="20"/>
          <w:szCs w:val="20"/>
        </w:rPr>
        <w:tab/>
        <w:t>lorsque le SCRS aura évalué que la biomasse du stock reproducteur (SSB) est en-dessous du niveau capable de permettre la PME (SS</w:t>
      </w:r>
      <w:r w:rsidRPr="009558E6">
        <w:rPr>
          <w:rFonts w:asciiTheme="majorHAnsi" w:hAnsiTheme="majorHAnsi"/>
          <w:sz w:val="20"/>
          <w:szCs w:val="20"/>
          <w:vertAlign w:val="subscript"/>
        </w:rPr>
        <w:t>BPME</w:t>
      </w:r>
      <w:r w:rsidRPr="009558E6">
        <w:rPr>
          <w:rFonts w:asciiTheme="majorHAnsi" w:hAnsiTheme="majorHAnsi"/>
          <w:sz w:val="20"/>
          <w:szCs w:val="20"/>
        </w:rPr>
        <w:t>), de rétablir la SSB au niveau de SSB</w:t>
      </w:r>
      <w:r w:rsidRPr="009558E6">
        <w:rPr>
          <w:rFonts w:asciiTheme="majorHAnsi" w:hAnsiTheme="majorHAnsi"/>
          <w:sz w:val="20"/>
          <w:szCs w:val="20"/>
          <w:vertAlign w:val="subscript"/>
        </w:rPr>
        <w:t>PME</w:t>
      </w:r>
      <w:r w:rsidRPr="009558E6">
        <w:rPr>
          <w:rFonts w:asciiTheme="majorHAnsi" w:hAnsiTheme="majorHAnsi"/>
          <w:sz w:val="20"/>
          <w:szCs w:val="20"/>
        </w:rPr>
        <w:t xml:space="preserve"> ou au-dessus, avec au moins 60% de probabilités, dans une période aussi courte que possible, </w:t>
      </w:r>
      <w:r w:rsidR="00DC2A8D" w:rsidRPr="009558E6">
        <w:rPr>
          <w:rFonts w:asciiTheme="majorHAnsi" w:hAnsiTheme="majorHAnsi"/>
          <w:sz w:val="20"/>
          <w:szCs w:val="20"/>
        </w:rPr>
        <w:t>tout</w:t>
      </w:r>
      <w:r w:rsidRPr="009558E6">
        <w:rPr>
          <w:rFonts w:asciiTheme="majorHAnsi" w:hAnsiTheme="majorHAnsi"/>
          <w:sz w:val="20"/>
          <w:szCs w:val="20"/>
        </w:rPr>
        <w:t xml:space="preserve"> en maximisant la prise moyenne et en minimisant les fluctuations interannuelles dans les niveaux du TAC.</w:t>
      </w:r>
      <w:r w:rsidR="00256E6A" w:rsidRPr="009558E6">
        <w:rPr>
          <w:rFonts w:asciiTheme="majorHAnsi" w:hAnsiTheme="majorHAnsi"/>
          <w:b/>
          <w:bCs/>
          <w:sz w:val="20"/>
          <w:szCs w:val="20"/>
        </w:rPr>
        <w:br w:type="page"/>
      </w:r>
    </w:p>
    <w:p w14:paraId="5D43C5A6" w14:textId="15A700D1" w:rsidR="00DB3EBE" w:rsidRPr="009558E6" w:rsidRDefault="00DB3EBE" w:rsidP="0035431C">
      <w:pPr>
        <w:autoSpaceDE w:val="0"/>
        <w:autoSpaceDN w:val="0"/>
        <w:adjustRightInd w:val="0"/>
        <w:spacing w:after="0" w:line="240" w:lineRule="auto"/>
        <w:contextualSpacing/>
        <w:jc w:val="center"/>
        <w:rPr>
          <w:rFonts w:asciiTheme="majorHAnsi" w:hAnsiTheme="majorHAnsi" w:cs="Cambria"/>
          <w:sz w:val="20"/>
          <w:szCs w:val="20"/>
        </w:rPr>
      </w:pPr>
      <w:r w:rsidRPr="009558E6">
        <w:rPr>
          <w:rFonts w:asciiTheme="majorHAnsi" w:hAnsiTheme="majorHAnsi"/>
          <w:b/>
          <w:bCs/>
          <w:sz w:val="20"/>
          <w:szCs w:val="20"/>
        </w:rPr>
        <w:lastRenderedPageBreak/>
        <w:t>IIÈME PARTIE</w:t>
      </w:r>
    </w:p>
    <w:p w14:paraId="0C024A79" w14:textId="283A522C" w:rsidR="00DB3EBE" w:rsidRPr="009558E6" w:rsidRDefault="00027C7B" w:rsidP="0035431C">
      <w:pPr>
        <w:autoSpaceDE w:val="0"/>
        <w:autoSpaceDN w:val="0"/>
        <w:adjustRightInd w:val="0"/>
        <w:spacing w:after="0" w:line="240" w:lineRule="auto"/>
        <w:contextualSpacing/>
        <w:jc w:val="center"/>
        <w:rPr>
          <w:rFonts w:asciiTheme="majorHAnsi" w:hAnsiTheme="majorHAnsi" w:cs="Cambria"/>
          <w:b/>
          <w:bCs/>
          <w:sz w:val="20"/>
          <w:szCs w:val="20"/>
        </w:rPr>
      </w:pPr>
      <w:r w:rsidRPr="009558E6">
        <w:rPr>
          <w:rFonts w:asciiTheme="majorHAnsi" w:hAnsiTheme="majorHAnsi"/>
          <w:b/>
          <w:bCs/>
          <w:sz w:val="20"/>
          <w:szCs w:val="20"/>
        </w:rPr>
        <w:t xml:space="preserve">PROCÉDURE DE GESTION ET CIRCONSTANCES EXCEPTIONNELLES </w:t>
      </w:r>
    </w:p>
    <w:p w14:paraId="33919B0F" w14:textId="77777777" w:rsidR="00DB3EBE" w:rsidRPr="009558E6" w:rsidRDefault="00DB3EBE" w:rsidP="0035431C">
      <w:pPr>
        <w:autoSpaceDE w:val="0"/>
        <w:autoSpaceDN w:val="0"/>
        <w:adjustRightInd w:val="0"/>
        <w:spacing w:after="0" w:line="240" w:lineRule="auto"/>
        <w:contextualSpacing/>
        <w:jc w:val="center"/>
        <w:rPr>
          <w:rFonts w:asciiTheme="majorHAnsi" w:hAnsiTheme="majorHAnsi" w:cs="Cambria"/>
          <w:sz w:val="20"/>
          <w:szCs w:val="20"/>
        </w:rPr>
      </w:pPr>
    </w:p>
    <w:p w14:paraId="4A7E0180" w14:textId="0FF7A5A0" w:rsidR="008835F3" w:rsidRPr="009558E6" w:rsidRDefault="00D02869" w:rsidP="00D02869">
      <w:pPr>
        <w:autoSpaceDE w:val="0"/>
        <w:autoSpaceDN w:val="0"/>
        <w:adjustRightInd w:val="0"/>
        <w:spacing w:after="0" w:line="240" w:lineRule="auto"/>
        <w:ind w:left="426" w:hanging="426"/>
        <w:jc w:val="both"/>
        <w:rPr>
          <w:rFonts w:asciiTheme="majorHAnsi" w:hAnsiTheme="majorHAnsi" w:cs="Cambria"/>
          <w:sz w:val="20"/>
          <w:szCs w:val="20"/>
        </w:rPr>
      </w:pPr>
      <w:r w:rsidRPr="009558E6">
        <w:rPr>
          <w:rFonts w:asciiTheme="majorHAnsi" w:hAnsiTheme="majorHAnsi"/>
          <w:sz w:val="20"/>
          <w:szCs w:val="20"/>
        </w:rPr>
        <w:t>3.</w:t>
      </w:r>
      <w:r w:rsidRPr="009558E6">
        <w:rPr>
          <w:rFonts w:asciiTheme="majorHAnsi" w:hAnsiTheme="majorHAnsi"/>
          <w:sz w:val="20"/>
          <w:szCs w:val="20"/>
        </w:rPr>
        <w:tab/>
      </w:r>
      <w:r w:rsidR="00AF3D7B" w:rsidRPr="009558E6">
        <w:rPr>
          <w:rFonts w:asciiTheme="majorHAnsi" w:hAnsiTheme="majorHAnsi"/>
          <w:sz w:val="20"/>
          <w:szCs w:val="20"/>
        </w:rPr>
        <w:t>Les composantes de la M</w:t>
      </w:r>
      <w:r w:rsidR="0008645A" w:rsidRPr="009558E6">
        <w:rPr>
          <w:rFonts w:asciiTheme="majorHAnsi" w:hAnsiTheme="majorHAnsi"/>
          <w:sz w:val="20"/>
          <w:szCs w:val="20"/>
        </w:rPr>
        <w:t>P</w:t>
      </w:r>
      <w:r w:rsidR="00AF3D7B" w:rsidRPr="009558E6">
        <w:rPr>
          <w:rFonts w:asciiTheme="majorHAnsi" w:hAnsiTheme="majorHAnsi"/>
          <w:sz w:val="20"/>
          <w:szCs w:val="20"/>
        </w:rPr>
        <w:t xml:space="preserve"> sont présentées à l'</w:t>
      </w:r>
      <w:r w:rsidR="00AF3D7B" w:rsidRPr="009558E6">
        <w:rPr>
          <w:rFonts w:asciiTheme="majorHAnsi" w:hAnsiTheme="majorHAnsi"/>
          <w:b/>
          <w:bCs/>
          <w:sz w:val="20"/>
          <w:szCs w:val="20"/>
        </w:rPr>
        <w:t>A</w:t>
      </w:r>
      <w:r w:rsidR="0080138D" w:rsidRPr="009558E6">
        <w:rPr>
          <w:rFonts w:asciiTheme="majorHAnsi" w:hAnsiTheme="majorHAnsi"/>
          <w:b/>
          <w:bCs/>
          <w:sz w:val="20"/>
          <w:szCs w:val="20"/>
        </w:rPr>
        <w:t>nnexe</w:t>
      </w:r>
      <w:r w:rsidR="00AF3D7B" w:rsidRPr="009558E6">
        <w:rPr>
          <w:rFonts w:asciiTheme="majorHAnsi" w:hAnsiTheme="majorHAnsi"/>
          <w:b/>
          <w:bCs/>
          <w:sz w:val="20"/>
          <w:szCs w:val="20"/>
        </w:rPr>
        <w:t xml:space="preserve"> </w:t>
      </w:r>
      <w:r w:rsidR="00B15147" w:rsidRPr="009558E6">
        <w:rPr>
          <w:rFonts w:asciiTheme="majorHAnsi" w:hAnsiTheme="majorHAnsi"/>
          <w:b/>
          <w:bCs/>
          <w:sz w:val="20"/>
          <w:szCs w:val="20"/>
        </w:rPr>
        <w:t>1</w:t>
      </w:r>
      <w:r w:rsidR="00AF3D7B" w:rsidRPr="009558E6">
        <w:rPr>
          <w:rFonts w:asciiTheme="majorHAnsi" w:hAnsiTheme="majorHAnsi"/>
          <w:sz w:val="20"/>
          <w:szCs w:val="20"/>
        </w:rPr>
        <w:t xml:space="preserve"> et aux </w:t>
      </w:r>
      <w:r w:rsidR="00B15147" w:rsidRPr="009558E6">
        <w:rPr>
          <w:rFonts w:asciiTheme="majorHAnsi" w:hAnsiTheme="majorHAnsi"/>
          <w:b/>
          <w:bCs/>
          <w:sz w:val="20"/>
          <w:szCs w:val="20"/>
        </w:rPr>
        <w:t>a</w:t>
      </w:r>
      <w:r w:rsidR="00AF3D7B" w:rsidRPr="009558E6">
        <w:rPr>
          <w:rFonts w:asciiTheme="majorHAnsi" w:hAnsiTheme="majorHAnsi"/>
          <w:b/>
          <w:bCs/>
          <w:sz w:val="20"/>
          <w:szCs w:val="20"/>
        </w:rPr>
        <w:t>ppendices</w:t>
      </w:r>
      <w:r w:rsidR="00AF3D7B" w:rsidRPr="009558E6">
        <w:rPr>
          <w:rFonts w:asciiTheme="majorHAnsi" w:hAnsiTheme="majorHAnsi"/>
          <w:sz w:val="20"/>
          <w:szCs w:val="20"/>
        </w:rPr>
        <w:t xml:space="preserve"> y afférents. </w:t>
      </w:r>
    </w:p>
    <w:p w14:paraId="7E961601" w14:textId="77777777" w:rsidR="00A5323E" w:rsidRPr="009558E6" w:rsidRDefault="00A5323E" w:rsidP="00D02869">
      <w:pPr>
        <w:pStyle w:val="ListParagraph"/>
        <w:autoSpaceDE w:val="0"/>
        <w:autoSpaceDN w:val="0"/>
        <w:adjustRightInd w:val="0"/>
        <w:spacing w:after="0" w:line="240" w:lineRule="auto"/>
        <w:ind w:left="426" w:hanging="426"/>
        <w:rPr>
          <w:rFonts w:asciiTheme="majorHAnsi" w:hAnsiTheme="majorHAnsi" w:cs="Cambria"/>
          <w:sz w:val="20"/>
          <w:szCs w:val="20"/>
        </w:rPr>
      </w:pPr>
    </w:p>
    <w:p w14:paraId="03160A3A" w14:textId="256931A0" w:rsidR="00A5323E" w:rsidRPr="009558E6" w:rsidRDefault="00A5323E" w:rsidP="00D02869">
      <w:pPr>
        <w:pStyle w:val="ListParagraph"/>
        <w:numPr>
          <w:ilvl w:val="0"/>
          <w:numId w:val="36"/>
        </w:numPr>
        <w:autoSpaceDE w:val="0"/>
        <w:autoSpaceDN w:val="0"/>
        <w:adjustRightInd w:val="0"/>
        <w:spacing w:after="0" w:line="240" w:lineRule="auto"/>
        <w:ind w:left="426" w:hanging="426"/>
        <w:jc w:val="both"/>
        <w:rPr>
          <w:rFonts w:asciiTheme="majorHAnsi" w:hAnsiTheme="majorHAnsi" w:cs="Cambria"/>
          <w:sz w:val="20"/>
          <w:szCs w:val="20"/>
        </w:rPr>
      </w:pPr>
      <w:r w:rsidRPr="009558E6">
        <w:rPr>
          <w:rFonts w:asciiTheme="majorHAnsi" w:hAnsiTheme="majorHAnsi"/>
          <w:sz w:val="20"/>
          <w:szCs w:val="20"/>
        </w:rPr>
        <w:t>Le SCRS devra évaluer la survenance de circonstances exceptionnelles (E</w:t>
      </w:r>
      <w:r w:rsidR="00486391" w:rsidRPr="009558E6">
        <w:rPr>
          <w:rFonts w:asciiTheme="majorHAnsi" w:hAnsiTheme="majorHAnsi"/>
          <w:sz w:val="20"/>
          <w:szCs w:val="20"/>
        </w:rPr>
        <w:t>C</w:t>
      </w:r>
      <w:r w:rsidRPr="009558E6">
        <w:rPr>
          <w:rFonts w:asciiTheme="majorHAnsi" w:hAnsiTheme="majorHAnsi"/>
          <w:sz w:val="20"/>
          <w:szCs w:val="20"/>
        </w:rPr>
        <w:t>) et la Commission devra agir conformément au Protocole relatif aux circonstances exceptionnelles figurant à l'</w:t>
      </w:r>
      <w:r w:rsidRPr="009558E6">
        <w:rPr>
          <w:rFonts w:asciiTheme="majorHAnsi" w:hAnsiTheme="majorHAnsi"/>
          <w:b/>
          <w:bCs/>
          <w:sz w:val="20"/>
          <w:szCs w:val="20"/>
        </w:rPr>
        <w:t>A</w:t>
      </w:r>
      <w:r w:rsidR="0080138D" w:rsidRPr="009558E6">
        <w:rPr>
          <w:rFonts w:asciiTheme="majorHAnsi" w:hAnsiTheme="majorHAnsi"/>
          <w:b/>
          <w:bCs/>
          <w:sz w:val="20"/>
          <w:szCs w:val="20"/>
        </w:rPr>
        <w:t>nnexe</w:t>
      </w:r>
      <w:r w:rsidRPr="009558E6">
        <w:rPr>
          <w:rFonts w:asciiTheme="majorHAnsi" w:hAnsiTheme="majorHAnsi"/>
          <w:b/>
          <w:bCs/>
          <w:sz w:val="20"/>
          <w:szCs w:val="20"/>
        </w:rPr>
        <w:t xml:space="preserve"> </w:t>
      </w:r>
      <w:r w:rsidR="00805118" w:rsidRPr="009558E6">
        <w:rPr>
          <w:rFonts w:asciiTheme="majorHAnsi" w:hAnsiTheme="majorHAnsi"/>
          <w:b/>
          <w:bCs/>
          <w:sz w:val="20"/>
          <w:szCs w:val="20"/>
        </w:rPr>
        <w:t>2</w:t>
      </w:r>
      <w:r w:rsidRPr="009558E6">
        <w:rPr>
          <w:rFonts w:asciiTheme="majorHAnsi" w:hAnsiTheme="majorHAnsi"/>
          <w:sz w:val="20"/>
          <w:szCs w:val="20"/>
        </w:rPr>
        <w:t xml:space="preserve">. </w:t>
      </w:r>
    </w:p>
    <w:p w14:paraId="14ABF00C" w14:textId="3A8C572E" w:rsidR="00F10DA9" w:rsidRPr="009558E6" w:rsidRDefault="00F10DA9" w:rsidP="0035431C">
      <w:pPr>
        <w:pStyle w:val="ListParagraph"/>
        <w:autoSpaceDE w:val="0"/>
        <w:autoSpaceDN w:val="0"/>
        <w:adjustRightInd w:val="0"/>
        <w:spacing w:after="0" w:line="240" w:lineRule="auto"/>
        <w:rPr>
          <w:rFonts w:asciiTheme="majorHAnsi" w:hAnsiTheme="majorHAnsi" w:cs="Cambria"/>
          <w:sz w:val="20"/>
          <w:szCs w:val="20"/>
        </w:rPr>
      </w:pPr>
    </w:p>
    <w:p w14:paraId="34F94DDD" w14:textId="77777777" w:rsidR="00D02869" w:rsidRPr="009558E6" w:rsidRDefault="00D02869" w:rsidP="0035431C">
      <w:pPr>
        <w:pStyle w:val="ListParagraph"/>
        <w:autoSpaceDE w:val="0"/>
        <w:autoSpaceDN w:val="0"/>
        <w:adjustRightInd w:val="0"/>
        <w:spacing w:after="0" w:line="240" w:lineRule="auto"/>
        <w:rPr>
          <w:rFonts w:asciiTheme="majorHAnsi" w:hAnsiTheme="majorHAnsi" w:cs="Cambria"/>
          <w:sz w:val="20"/>
          <w:szCs w:val="20"/>
        </w:rPr>
      </w:pPr>
    </w:p>
    <w:p w14:paraId="5546B882" w14:textId="2324AE57" w:rsidR="00F10DA9" w:rsidRPr="009558E6" w:rsidRDefault="00F10DA9" w:rsidP="0035431C">
      <w:pPr>
        <w:autoSpaceDE w:val="0"/>
        <w:autoSpaceDN w:val="0"/>
        <w:adjustRightInd w:val="0"/>
        <w:spacing w:after="0" w:line="240" w:lineRule="auto"/>
        <w:contextualSpacing/>
        <w:jc w:val="center"/>
        <w:rPr>
          <w:rFonts w:asciiTheme="majorHAnsi" w:hAnsiTheme="majorHAnsi" w:cs="Cambria"/>
          <w:sz w:val="20"/>
          <w:szCs w:val="20"/>
        </w:rPr>
      </w:pPr>
      <w:r w:rsidRPr="009558E6">
        <w:rPr>
          <w:rFonts w:asciiTheme="majorHAnsi" w:hAnsiTheme="majorHAnsi"/>
          <w:b/>
          <w:bCs/>
          <w:sz w:val="20"/>
          <w:szCs w:val="20"/>
        </w:rPr>
        <w:t>IIIÈME PARTIE</w:t>
      </w:r>
    </w:p>
    <w:p w14:paraId="15212979" w14:textId="2DD5110E" w:rsidR="00F10DA9" w:rsidRPr="009558E6" w:rsidRDefault="00F10DA9" w:rsidP="0035431C">
      <w:pPr>
        <w:autoSpaceDE w:val="0"/>
        <w:autoSpaceDN w:val="0"/>
        <w:adjustRightInd w:val="0"/>
        <w:spacing w:after="0" w:line="240" w:lineRule="auto"/>
        <w:contextualSpacing/>
        <w:jc w:val="center"/>
        <w:rPr>
          <w:rFonts w:asciiTheme="majorHAnsi" w:hAnsiTheme="majorHAnsi" w:cs="Cambria"/>
          <w:b/>
          <w:bCs/>
          <w:sz w:val="20"/>
          <w:szCs w:val="20"/>
        </w:rPr>
      </w:pPr>
      <w:r w:rsidRPr="009558E6">
        <w:rPr>
          <w:rFonts w:asciiTheme="majorHAnsi" w:hAnsiTheme="majorHAnsi"/>
          <w:b/>
          <w:bCs/>
          <w:sz w:val="20"/>
          <w:szCs w:val="20"/>
        </w:rPr>
        <w:t>LIMITES DE CAPTURE</w:t>
      </w:r>
    </w:p>
    <w:p w14:paraId="61FC217F" w14:textId="77777777" w:rsidR="00F10DA9" w:rsidRPr="009558E6" w:rsidRDefault="00F10DA9" w:rsidP="0035431C">
      <w:pPr>
        <w:autoSpaceDE w:val="0"/>
        <w:autoSpaceDN w:val="0"/>
        <w:adjustRightInd w:val="0"/>
        <w:spacing w:after="0" w:line="240" w:lineRule="auto"/>
        <w:contextualSpacing/>
        <w:jc w:val="center"/>
        <w:rPr>
          <w:rFonts w:asciiTheme="majorHAnsi" w:hAnsiTheme="majorHAnsi" w:cs="Cambria"/>
          <w:sz w:val="20"/>
          <w:szCs w:val="20"/>
        </w:rPr>
      </w:pPr>
    </w:p>
    <w:p w14:paraId="3440BD0E" w14:textId="01A31F8E" w:rsidR="00F10DA9" w:rsidRPr="009558E6" w:rsidRDefault="00F10DA9" w:rsidP="0035431C">
      <w:pPr>
        <w:autoSpaceDE w:val="0"/>
        <w:autoSpaceDN w:val="0"/>
        <w:adjustRightInd w:val="0"/>
        <w:spacing w:after="0" w:line="240" w:lineRule="auto"/>
        <w:contextualSpacing/>
        <w:rPr>
          <w:rFonts w:asciiTheme="majorHAnsi" w:hAnsiTheme="majorHAnsi" w:cs="Cambria"/>
          <w:b/>
          <w:bCs/>
          <w:i/>
          <w:iCs/>
          <w:sz w:val="20"/>
          <w:szCs w:val="20"/>
        </w:rPr>
      </w:pPr>
      <w:r w:rsidRPr="009558E6">
        <w:rPr>
          <w:rFonts w:asciiTheme="majorHAnsi" w:hAnsiTheme="majorHAnsi"/>
          <w:b/>
          <w:bCs/>
          <w:i/>
          <w:iCs/>
          <w:sz w:val="20"/>
          <w:szCs w:val="20"/>
        </w:rPr>
        <w:t xml:space="preserve">Total de prises admissibles et limites de capture </w:t>
      </w:r>
    </w:p>
    <w:p w14:paraId="148EAA3C" w14:textId="77777777" w:rsidR="00F10DA9" w:rsidRPr="009558E6" w:rsidRDefault="00F10DA9" w:rsidP="0035431C">
      <w:pPr>
        <w:autoSpaceDE w:val="0"/>
        <w:autoSpaceDN w:val="0"/>
        <w:adjustRightInd w:val="0"/>
        <w:spacing w:after="0" w:line="240" w:lineRule="auto"/>
        <w:contextualSpacing/>
        <w:rPr>
          <w:rFonts w:asciiTheme="majorHAnsi" w:hAnsiTheme="majorHAnsi" w:cs="Cambria"/>
          <w:sz w:val="20"/>
          <w:szCs w:val="20"/>
        </w:rPr>
      </w:pPr>
    </w:p>
    <w:p w14:paraId="56FD244C" w14:textId="49EDEFF3" w:rsidR="00780A6D" w:rsidRPr="009558E6" w:rsidRDefault="00D02869" w:rsidP="00D02869">
      <w:pPr>
        <w:autoSpaceDE w:val="0"/>
        <w:autoSpaceDN w:val="0"/>
        <w:adjustRightInd w:val="0"/>
        <w:spacing w:after="0" w:line="240" w:lineRule="auto"/>
        <w:ind w:left="426" w:hanging="426"/>
        <w:jc w:val="both"/>
        <w:rPr>
          <w:rFonts w:asciiTheme="majorHAnsi" w:hAnsiTheme="majorHAnsi" w:cs="Cambria"/>
          <w:sz w:val="20"/>
          <w:szCs w:val="20"/>
        </w:rPr>
      </w:pPr>
      <w:r w:rsidRPr="009558E6">
        <w:rPr>
          <w:rFonts w:asciiTheme="majorHAnsi" w:hAnsiTheme="majorHAnsi"/>
          <w:sz w:val="20"/>
          <w:szCs w:val="20"/>
        </w:rPr>
        <w:t>5.</w:t>
      </w:r>
      <w:r w:rsidRPr="009558E6">
        <w:rPr>
          <w:rFonts w:asciiTheme="majorHAnsi" w:hAnsiTheme="majorHAnsi"/>
          <w:sz w:val="20"/>
          <w:szCs w:val="20"/>
        </w:rPr>
        <w:tab/>
      </w:r>
      <w:r w:rsidR="00780A6D" w:rsidRPr="009558E6">
        <w:rPr>
          <w:rFonts w:asciiTheme="majorHAnsi" w:hAnsiTheme="majorHAnsi"/>
          <w:sz w:val="20"/>
          <w:szCs w:val="20"/>
        </w:rPr>
        <w:t>La procédure d'établissement du TAC annuel constant sur trois ans est exposée à l'</w:t>
      </w:r>
      <w:r w:rsidR="00805118" w:rsidRPr="009558E6">
        <w:rPr>
          <w:rFonts w:asciiTheme="majorHAnsi" w:hAnsiTheme="majorHAnsi"/>
          <w:b/>
          <w:bCs/>
          <w:sz w:val="20"/>
          <w:szCs w:val="20"/>
        </w:rPr>
        <w:t>a</w:t>
      </w:r>
      <w:r w:rsidR="0080138D" w:rsidRPr="009558E6">
        <w:rPr>
          <w:rFonts w:asciiTheme="majorHAnsi" w:hAnsiTheme="majorHAnsi"/>
          <w:b/>
          <w:bCs/>
          <w:sz w:val="20"/>
          <w:szCs w:val="20"/>
        </w:rPr>
        <w:t>nnexe</w:t>
      </w:r>
      <w:r w:rsidR="00780A6D" w:rsidRPr="009558E6">
        <w:rPr>
          <w:rFonts w:asciiTheme="majorHAnsi" w:hAnsiTheme="majorHAnsi"/>
          <w:b/>
          <w:bCs/>
          <w:sz w:val="20"/>
          <w:szCs w:val="20"/>
        </w:rPr>
        <w:t xml:space="preserve"> </w:t>
      </w:r>
      <w:r w:rsidR="00805118" w:rsidRPr="009558E6">
        <w:rPr>
          <w:rFonts w:asciiTheme="majorHAnsi" w:hAnsiTheme="majorHAnsi"/>
          <w:b/>
          <w:bCs/>
          <w:sz w:val="20"/>
          <w:szCs w:val="20"/>
        </w:rPr>
        <w:t>3</w:t>
      </w:r>
      <w:r w:rsidR="00780A6D" w:rsidRPr="009558E6">
        <w:rPr>
          <w:rFonts w:asciiTheme="majorHAnsi" w:hAnsiTheme="majorHAnsi"/>
          <w:sz w:val="20"/>
          <w:szCs w:val="20"/>
        </w:rPr>
        <w:t>.</w:t>
      </w:r>
    </w:p>
    <w:p w14:paraId="3B1E7AC4" w14:textId="77777777" w:rsidR="00A85F6E" w:rsidRPr="009558E6" w:rsidRDefault="00A85F6E" w:rsidP="0035431C">
      <w:pPr>
        <w:pStyle w:val="ListParagraph"/>
        <w:spacing w:after="0" w:line="240" w:lineRule="auto"/>
        <w:jc w:val="both"/>
        <w:rPr>
          <w:rFonts w:asciiTheme="majorHAnsi" w:hAnsiTheme="majorHAnsi" w:cs="Cambria"/>
          <w:sz w:val="20"/>
          <w:szCs w:val="20"/>
        </w:rPr>
      </w:pPr>
    </w:p>
    <w:p w14:paraId="434168B1" w14:textId="2D2B856A" w:rsidR="00A85F6E" w:rsidRPr="009558E6" w:rsidRDefault="00D02869" w:rsidP="00D02869">
      <w:pPr>
        <w:autoSpaceDE w:val="0"/>
        <w:autoSpaceDN w:val="0"/>
        <w:adjustRightInd w:val="0"/>
        <w:spacing w:after="0" w:line="240" w:lineRule="auto"/>
        <w:ind w:left="426" w:hanging="426"/>
        <w:jc w:val="both"/>
        <w:rPr>
          <w:rFonts w:asciiTheme="majorHAnsi" w:hAnsiTheme="majorHAnsi" w:cs="Cambria"/>
          <w:sz w:val="20"/>
          <w:szCs w:val="20"/>
        </w:rPr>
      </w:pPr>
      <w:r w:rsidRPr="009558E6">
        <w:rPr>
          <w:rFonts w:asciiTheme="majorHAnsi" w:hAnsiTheme="majorHAnsi"/>
          <w:sz w:val="20"/>
          <w:szCs w:val="20"/>
        </w:rPr>
        <w:t>6.</w:t>
      </w:r>
      <w:r w:rsidRPr="009558E6">
        <w:rPr>
          <w:rFonts w:asciiTheme="majorHAnsi" w:hAnsiTheme="majorHAnsi"/>
          <w:sz w:val="20"/>
          <w:szCs w:val="20"/>
        </w:rPr>
        <w:tab/>
      </w:r>
      <w:r w:rsidR="00F10DA9" w:rsidRPr="009558E6">
        <w:rPr>
          <w:rFonts w:asciiTheme="majorHAnsi" w:hAnsiTheme="majorHAnsi"/>
          <w:sz w:val="20"/>
          <w:szCs w:val="20"/>
        </w:rPr>
        <w:t>Conformément à l'application des procédures établies à l'</w:t>
      </w:r>
      <w:r w:rsidR="00805118" w:rsidRPr="009558E6">
        <w:rPr>
          <w:rFonts w:asciiTheme="majorHAnsi" w:hAnsiTheme="majorHAnsi"/>
          <w:b/>
          <w:bCs/>
          <w:sz w:val="20"/>
          <w:szCs w:val="20"/>
        </w:rPr>
        <w:t>a</w:t>
      </w:r>
      <w:r w:rsidR="0080138D" w:rsidRPr="009558E6">
        <w:rPr>
          <w:rFonts w:asciiTheme="majorHAnsi" w:hAnsiTheme="majorHAnsi"/>
          <w:b/>
          <w:bCs/>
          <w:sz w:val="20"/>
          <w:szCs w:val="20"/>
        </w:rPr>
        <w:t>nnexe</w:t>
      </w:r>
      <w:r w:rsidR="00F10DA9" w:rsidRPr="009558E6">
        <w:rPr>
          <w:rFonts w:asciiTheme="majorHAnsi" w:hAnsiTheme="majorHAnsi"/>
          <w:b/>
          <w:bCs/>
          <w:sz w:val="20"/>
          <w:szCs w:val="20"/>
        </w:rPr>
        <w:t xml:space="preserve"> </w:t>
      </w:r>
      <w:r w:rsidR="00805118" w:rsidRPr="009558E6">
        <w:rPr>
          <w:rFonts w:asciiTheme="majorHAnsi" w:hAnsiTheme="majorHAnsi"/>
          <w:b/>
          <w:bCs/>
          <w:sz w:val="20"/>
          <w:szCs w:val="20"/>
        </w:rPr>
        <w:t>1</w:t>
      </w:r>
      <w:r w:rsidR="00F10DA9" w:rsidRPr="009558E6">
        <w:rPr>
          <w:rFonts w:asciiTheme="majorHAnsi" w:hAnsiTheme="majorHAnsi"/>
          <w:sz w:val="20"/>
          <w:szCs w:val="20"/>
        </w:rPr>
        <w:t xml:space="preserve"> et à l'</w:t>
      </w:r>
      <w:r w:rsidR="00805118" w:rsidRPr="009558E6">
        <w:rPr>
          <w:rFonts w:asciiTheme="majorHAnsi" w:hAnsiTheme="majorHAnsi"/>
          <w:b/>
          <w:bCs/>
          <w:sz w:val="20"/>
          <w:szCs w:val="20"/>
        </w:rPr>
        <w:t>a</w:t>
      </w:r>
      <w:r w:rsidR="0080138D" w:rsidRPr="009558E6">
        <w:rPr>
          <w:rFonts w:asciiTheme="majorHAnsi" w:hAnsiTheme="majorHAnsi"/>
          <w:b/>
          <w:bCs/>
          <w:sz w:val="20"/>
          <w:szCs w:val="20"/>
        </w:rPr>
        <w:t xml:space="preserve">nnexe </w:t>
      </w:r>
      <w:r w:rsidR="00805118" w:rsidRPr="009558E6">
        <w:rPr>
          <w:rFonts w:asciiTheme="majorHAnsi" w:hAnsiTheme="majorHAnsi"/>
          <w:b/>
          <w:bCs/>
          <w:sz w:val="20"/>
          <w:szCs w:val="20"/>
        </w:rPr>
        <w:t>3</w:t>
      </w:r>
      <w:r w:rsidR="00F10DA9" w:rsidRPr="009558E6">
        <w:rPr>
          <w:rFonts w:asciiTheme="majorHAnsi" w:hAnsiTheme="majorHAnsi"/>
          <w:sz w:val="20"/>
          <w:szCs w:val="20"/>
        </w:rPr>
        <w:t xml:space="preserve">, un TAC annuel constant de 37.801 t est établi pour la période de gestion 2022-2023. Ce TAC annuel devra être alloué </w:t>
      </w:r>
      <w:r w:rsidR="0080138D" w:rsidRPr="009558E6">
        <w:rPr>
          <w:rFonts w:asciiTheme="majorHAnsi" w:hAnsiTheme="majorHAnsi"/>
          <w:sz w:val="20"/>
          <w:szCs w:val="20"/>
        </w:rPr>
        <w:t>comme suit</w:t>
      </w:r>
      <w:r w:rsidR="00F10DA9" w:rsidRPr="009558E6">
        <w:rPr>
          <w:rFonts w:asciiTheme="majorHAnsi" w:hAnsiTheme="majorHAnsi"/>
          <w:sz w:val="20"/>
          <w:szCs w:val="20"/>
        </w:rPr>
        <w:t> :</w:t>
      </w:r>
    </w:p>
    <w:p w14:paraId="6ECAFA73" w14:textId="77777777" w:rsidR="00A85F6E" w:rsidRPr="009558E6" w:rsidRDefault="00A85F6E" w:rsidP="0035431C">
      <w:pPr>
        <w:autoSpaceDE w:val="0"/>
        <w:autoSpaceDN w:val="0"/>
        <w:adjustRightInd w:val="0"/>
        <w:spacing w:after="0" w:line="240" w:lineRule="auto"/>
        <w:contextualSpacing/>
        <w:rPr>
          <w:rFonts w:asciiTheme="majorHAnsi" w:hAnsiTheme="majorHAnsi" w:cs="Cambria"/>
          <w:sz w:val="20"/>
          <w:szCs w:val="20"/>
        </w:rPr>
      </w:pPr>
    </w:p>
    <w:tbl>
      <w:tblPr>
        <w:tblStyle w:val="TableGrid"/>
        <w:tblW w:w="0" w:type="auto"/>
        <w:tblInd w:w="846" w:type="dxa"/>
        <w:tblLook w:val="04A0" w:firstRow="1" w:lastRow="0" w:firstColumn="1" w:lastColumn="0" w:noHBand="0" w:noVBand="1"/>
      </w:tblPr>
      <w:tblGrid>
        <w:gridCol w:w="2268"/>
        <w:gridCol w:w="2468"/>
      </w:tblGrid>
      <w:tr w:rsidR="000A7818" w:rsidRPr="009558E6" w14:paraId="73AB04B5" w14:textId="0D7352FC" w:rsidTr="00A548BE">
        <w:tc>
          <w:tcPr>
            <w:tcW w:w="2268" w:type="dxa"/>
          </w:tcPr>
          <w:p w14:paraId="26F70C1F" w14:textId="3EC786C6" w:rsidR="0008645A" w:rsidRPr="009558E6" w:rsidRDefault="0008645A" w:rsidP="0035431C">
            <w:pPr>
              <w:autoSpaceDE w:val="0"/>
              <w:autoSpaceDN w:val="0"/>
              <w:adjustRightInd w:val="0"/>
              <w:contextualSpacing/>
              <w:rPr>
                <w:rFonts w:asciiTheme="majorHAnsi" w:hAnsiTheme="majorHAnsi" w:cs="Cambria"/>
                <w:i/>
                <w:iCs/>
                <w:sz w:val="20"/>
                <w:szCs w:val="20"/>
              </w:rPr>
            </w:pPr>
            <w:r w:rsidRPr="009558E6">
              <w:rPr>
                <w:rFonts w:asciiTheme="majorHAnsi" w:hAnsiTheme="majorHAnsi"/>
                <w:i/>
                <w:iCs/>
                <w:sz w:val="20"/>
                <w:szCs w:val="20"/>
              </w:rPr>
              <w:t>CPC</w:t>
            </w:r>
          </w:p>
        </w:tc>
        <w:tc>
          <w:tcPr>
            <w:tcW w:w="2468" w:type="dxa"/>
          </w:tcPr>
          <w:p w14:paraId="6E98B6D5" w14:textId="268F400B" w:rsidR="0008645A" w:rsidRPr="009558E6" w:rsidRDefault="0008645A" w:rsidP="0035431C">
            <w:pPr>
              <w:autoSpaceDE w:val="0"/>
              <w:autoSpaceDN w:val="0"/>
              <w:adjustRightInd w:val="0"/>
              <w:contextualSpacing/>
              <w:jc w:val="center"/>
              <w:rPr>
                <w:rFonts w:asciiTheme="majorHAnsi" w:hAnsiTheme="majorHAnsi" w:cs="Cambria"/>
                <w:i/>
                <w:iCs/>
                <w:sz w:val="20"/>
                <w:szCs w:val="20"/>
              </w:rPr>
            </w:pPr>
            <w:r w:rsidRPr="009558E6">
              <w:rPr>
                <w:rFonts w:asciiTheme="majorHAnsi" w:hAnsiTheme="majorHAnsi"/>
                <w:i/>
                <w:iCs/>
                <w:sz w:val="20"/>
                <w:szCs w:val="20"/>
              </w:rPr>
              <w:t>Quota (t) pour la période 2022-2023</w:t>
            </w:r>
          </w:p>
        </w:tc>
      </w:tr>
      <w:tr w:rsidR="000A7818" w:rsidRPr="009558E6" w14:paraId="1FFF29FD" w14:textId="5B4D72E9" w:rsidTr="00A548BE">
        <w:tc>
          <w:tcPr>
            <w:tcW w:w="2268" w:type="dxa"/>
          </w:tcPr>
          <w:p w14:paraId="02E0935C" w14:textId="4CBEFDFC" w:rsidR="0008645A" w:rsidRPr="009558E6" w:rsidRDefault="0008645A" w:rsidP="0035431C">
            <w:pPr>
              <w:autoSpaceDE w:val="0"/>
              <w:autoSpaceDN w:val="0"/>
              <w:adjustRightInd w:val="0"/>
              <w:contextualSpacing/>
              <w:rPr>
                <w:rFonts w:asciiTheme="majorHAnsi" w:hAnsiTheme="majorHAnsi" w:cs="Cambria"/>
                <w:sz w:val="20"/>
                <w:szCs w:val="20"/>
              </w:rPr>
            </w:pPr>
            <w:r w:rsidRPr="009558E6">
              <w:rPr>
                <w:rFonts w:asciiTheme="majorHAnsi" w:hAnsiTheme="majorHAnsi"/>
                <w:sz w:val="20"/>
                <w:szCs w:val="20"/>
              </w:rPr>
              <w:t>Union européenne</w:t>
            </w:r>
          </w:p>
        </w:tc>
        <w:tc>
          <w:tcPr>
            <w:tcW w:w="2468" w:type="dxa"/>
          </w:tcPr>
          <w:p w14:paraId="7C81F0C8" w14:textId="5EBE6CA9" w:rsidR="0008645A" w:rsidRPr="009558E6" w:rsidRDefault="0008645A"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sz w:val="20"/>
                <w:szCs w:val="20"/>
              </w:rPr>
              <w:t>29.095,1</w:t>
            </w:r>
          </w:p>
        </w:tc>
      </w:tr>
      <w:tr w:rsidR="000A7818" w:rsidRPr="009558E6" w14:paraId="29990144" w14:textId="7FB4E3C1" w:rsidTr="00A548BE">
        <w:tc>
          <w:tcPr>
            <w:tcW w:w="2268" w:type="dxa"/>
          </w:tcPr>
          <w:p w14:paraId="1AFA86BC" w14:textId="07A3DD75" w:rsidR="0008645A" w:rsidRPr="009558E6" w:rsidRDefault="0008645A" w:rsidP="0035431C">
            <w:pPr>
              <w:autoSpaceDE w:val="0"/>
              <w:autoSpaceDN w:val="0"/>
              <w:adjustRightInd w:val="0"/>
              <w:contextualSpacing/>
              <w:rPr>
                <w:rFonts w:asciiTheme="majorHAnsi" w:hAnsiTheme="majorHAnsi" w:cs="Cambria"/>
                <w:sz w:val="20"/>
                <w:szCs w:val="20"/>
              </w:rPr>
            </w:pPr>
            <w:r w:rsidRPr="009558E6">
              <w:rPr>
                <w:rFonts w:asciiTheme="majorHAnsi" w:hAnsiTheme="majorHAnsi"/>
                <w:sz w:val="20"/>
                <w:szCs w:val="20"/>
              </w:rPr>
              <w:t>Taipei chinois</w:t>
            </w:r>
          </w:p>
        </w:tc>
        <w:tc>
          <w:tcPr>
            <w:tcW w:w="2468" w:type="dxa"/>
          </w:tcPr>
          <w:p w14:paraId="180F9A23" w14:textId="045389DF" w:rsidR="0008645A" w:rsidRPr="009558E6" w:rsidRDefault="0008645A"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sz w:val="20"/>
                <w:szCs w:val="20"/>
              </w:rPr>
              <w:t>4.416,9</w:t>
            </w:r>
          </w:p>
        </w:tc>
      </w:tr>
      <w:tr w:rsidR="000A7818" w:rsidRPr="009558E6" w14:paraId="787C874D" w14:textId="61717B4E" w:rsidTr="00A548BE">
        <w:tc>
          <w:tcPr>
            <w:tcW w:w="2268" w:type="dxa"/>
          </w:tcPr>
          <w:p w14:paraId="6DD24B4B" w14:textId="4E2EC973" w:rsidR="0008645A" w:rsidRPr="009558E6" w:rsidRDefault="0008645A" w:rsidP="0035431C">
            <w:pPr>
              <w:autoSpaceDE w:val="0"/>
              <w:autoSpaceDN w:val="0"/>
              <w:adjustRightInd w:val="0"/>
              <w:contextualSpacing/>
              <w:rPr>
                <w:rFonts w:asciiTheme="majorHAnsi" w:hAnsiTheme="majorHAnsi" w:cs="Cambria"/>
                <w:sz w:val="20"/>
                <w:szCs w:val="20"/>
              </w:rPr>
            </w:pPr>
            <w:r w:rsidRPr="009558E6">
              <w:rPr>
                <w:rFonts w:asciiTheme="majorHAnsi" w:hAnsiTheme="majorHAnsi"/>
                <w:sz w:val="20"/>
                <w:szCs w:val="20"/>
              </w:rPr>
              <w:t>États-Unis</w:t>
            </w:r>
          </w:p>
        </w:tc>
        <w:tc>
          <w:tcPr>
            <w:tcW w:w="2468" w:type="dxa"/>
          </w:tcPr>
          <w:p w14:paraId="379F61ED" w14:textId="1D0E0475" w:rsidR="0008645A" w:rsidRPr="009558E6" w:rsidRDefault="0008645A"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sz w:val="20"/>
                <w:szCs w:val="20"/>
              </w:rPr>
              <w:t>711,5</w:t>
            </w:r>
          </w:p>
        </w:tc>
      </w:tr>
      <w:tr w:rsidR="0008645A" w:rsidRPr="009558E6" w14:paraId="1D5DAD2A" w14:textId="27FD5287" w:rsidTr="00A548BE">
        <w:tc>
          <w:tcPr>
            <w:tcW w:w="2268" w:type="dxa"/>
          </w:tcPr>
          <w:p w14:paraId="5C5F9CBE" w14:textId="69795D40" w:rsidR="0008645A" w:rsidRPr="009558E6" w:rsidRDefault="0008645A" w:rsidP="0035431C">
            <w:pPr>
              <w:autoSpaceDE w:val="0"/>
              <w:autoSpaceDN w:val="0"/>
              <w:adjustRightInd w:val="0"/>
              <w:contextualSpacing/>
              <w:rPr>
                <w:rFonts w:asciiTheme="majorHAnsi" w:hAnsiTheme="majorHAnsi" w:cs="Cambria"/>
                <w:sz w:val="20"/>
                <w:szCs w:val="20"/>
              </w:rPr>
            </w:pPr>
            <w:r w:rsidRPr="009558E6">
              <w:rPr>
                <w:rFonts w:asciiTheme="majorHAnsi" w:hAnsiTheme="majorHAnsi"/>
                <w:sz w:val="20"/>
                <w:szCs w:val="20"/>
              </w:rPr>
              <w:t>Venezuela</w:t>
            </w:r>
          </w:p>
        </w:tc>
        <w:tc>
          <w:tcPr>
            <w:tcW w:w="2468" w:type="dxa"/>
          </w:tcPr>
          <w:p w14:paraId="5B0D03F5" w14:textId="1F0F0ADF" w:rsidR="0008645A" w:rsidRPr="009558E6" w:rsidRDefault="0008645A"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sz w:val="20"/>
                <w:szCs w:val="20"/>
              </w:rPr>
              <w:t>337,5</w:t>
            </w:r>
          </w:p>
        </w:tc>
      </w:tr>
    </w:tbl>
    <w:p w14:paraId="38936656" w14:textId="77777777" w:rsidR="00D821EA" w:rsidRPr="009558E6" w:rsidRDefault="00D821EA" w:rsidP="0035431C">
      <w:pPr>
        <w:pStyle w:val="Default"/>
        <w:contextualSpacing/>
        <w:jc w:val="both"/>
        <w:rPr>
          <w:rFonts w:asciiTheme="majorHAnsi" w:hAnsiTheme="majorHAnsi"/>
          <w:color w:val="auto"/>
          <w:sz w:val="20"/>
          <w:szCs w:val="20"/>
        </w:rPr>
      </w:pPr>
    </w:p>
    <w:p w14:paraId="704B2F2A" w14:textId="578D6A7A" w:rsidR="00FF1678" w:rsidRPr="009558E6" w:rsidRDefault="00DA7810" w:rsidP="0035431C">
      <w:pPr>
        <w:pStyle w:val="Default"/>
        <w:contextualSpacing/>
        <w:jc w:val="both"/>
        <w:rPr>
          <w:rFonts w:asciiTheme="majorHAnsi" w:hAnsiTheme="majorHAnsi"/>
          <w:color w:val="auto"/>
          <w:sz w:val="18"/>
          <w:szCs w:val="18"/>
        </w:rPr>
      </w:pPr>
      <w:r w:rsidRPr="009558E6">
        <w:rPr>
          <w:rFonts w:asciiTheme="majorHAnsi" w:hAnsiTheme="majorHAnsi"/>
          <w:color w:val="auto"/>
          <w:sz w:val="18"/>
          <w:szCs w:val="18"/>
        </w:rPr>
        <w:t xml:space="preserve"> </w:t>
      </w:r>
      <w:r w:rsidR="00CE6736" w:rsidRPr="009558E6">
        <w:rPr>
          <w:rFonts w:asciiTheme="majorHAnsi" w:hAnsiTheme="majorHAnsi"/>
          <w:color w:val="auto"/>
          <w:sz w:val="18"/>
          <w:szCs w:val="18"/>
        </w:rPr>
        <w:t>*</w:t>
      </w:r>
      <w:r w:rsidR="00805118" w:rsidRPr="009558E6">
        <w:rPr>
          <w:rFonts w:asciiTheme="majorHAnsi" w:hAnsiTheme="majorHAnsi"/>
          <w:color w:val="auto"/>
          <w:sz w:val="18"/>
          <w:szCs w:val="18"/>
        </w:rPr>
        <w:t>Transferts :</w:t>
      </w:r>
      <w:r w:rsidRPr="009558E6">
        <w:rPr>
          <w:rFonts w:asciiTheme="majorHAnsi" w:hAnsiTheme="majorHAnsi"/>
          <w:color w:val="auto"/>
          <w:sz w:val="18"/>
          <w:szCs w:val="18"/>
        </w:rPr>
        <w:t xml:space="preserve"> </w:t>
      </w:r>
    </w:p>
    <w:p w14:paraId="0AE3F34B" w14:textId="11E6E9B4" w:rsidR="00FF1678" w:rsidRPr="009558E6" w:rsidRDefault="00FF1678" w:rsidP="00805118">
      <w:pPr>
        <w:pStyle w:val="Default"/>
        <w:ind w:left="426" w:hanging="284"/>
        <w:contextualSpacing/>
        <w:jc w:val="both"/>
        <w:rPr>
          <w:rFonts w:asciiTheme="majorHAnsi" w:hAnsiTheme="majorHAnsi"/>
          <w:color w:val="auto"/>
          <w:sz w:val="18"/>
          <w:szCs w:val="18"/>
        </w:rPr>
      </w:pPr>
      <w:r w:rsidRPr="009558E6">
        <w:rPr>
          <w:rFonts w:asciiTheme="majorHAnsi" w:hAnsiTheme="majorHAnsi"/>
          <w:color w:val="auto"/>
          <w:sz w:val="18"/>
          <w:szCs w:val="18"/>
        </w:rPr>
        <w:t>-</w:t>
      </w:r>
      <w:r w:rsidR="00805118" w:rsidRPr="009558E6">
        <w:rPr>
          <w:rFonts w:asciiTheme="majorHAnsi" w:hAnsiTheme="majorHAnsi"/>
          <w:color w:val="auto"/>
          <w:sz w:val="18"/>
          <w:szCs w:val="18"/>
        </w:rPr>
        <w:tab/>
      </w:r>
      <w:r w:rsidRPr="009558E6">
        <w:rPr>
          <w:rFonts w:asciiTheme="majorHAnsi" w:hAnsiTheme="majorHAnsi"/>
          <w:color w:val="auto"/>
          <w:sz w:val="18"/>
          <w:szCs w:val="18"/>
        </w:rPr>
        <w:t xml:space="preserve">L'Union européenne est autorisée à transférer 442,25 t de son quota de 2022 </w:t>
      </w:r>
      <w:r w:rsidR="00640E15" w:rsidRPr="009558E6">
        <w:rPr>
          <w:rFonts w:asciiTheme="majorHAnsi" w:hAnsiTheme="majorHAnsi"/>
          <w:color w:val="auto"/>
          <w:sz w:val="18"/>
          <w:szCs w:val="18"/>
        </w:rPr>
        <w:t xml:space="preserve">et de 2023 </w:t>
      </w:r>
      <w:r w:rsidRPr="009558E6">
        <w:rPr>
          <w:rFonts w:asciiTheme="majorHAnsi" w:hAnsiTheme="majorHAnsi"/>
          <w:color w:val="auto"/>
          <w:sz w:val="18"/>
          <w:szCs w:val="18"/>
        </w:rPr>
        <w:t>au Royaume-Uni.</w:t>
      </w:r>
    </w:p>
    <w:p w14:paraId="124D3F6E" w14:textId="3AAB2C3F" w:rsidR="00A85F6E" w:rsidRPr="009558E6" w:rsidRDefault="00FF1678" w:rsidP="00805118">
      <w:pPr>
        <w:pStyle w:val="Default"/>
        <w:ind w:left="426" w:hanging="284"/>
        <w:contextualSpacing/>
        <w:jc w:val="both"/>
        <w:rPr>
          <w:rFonts w:asciiTheme="majorHAnsi" w:hAnsiTheme="majorHAnsi"/>
          <w:color w:val="auto"/>
          <w:sz w:val="20"/>
          <w:szCs w:val="20"/>
        </w:rPr>
      </w:pPr>
      <w:r w:rsidRPr="009558E6">
        <w:rPr>
          <w:rFonts w:asciiTheme="majorHAnsi" w:hAnsiTheme="majorHAnsi"/>
          <w:color w:val="auto"/>
          <w:sz w:val="18"/>
          <w:szCs w:val="18"/>
        </w:rPr>
        <w:t>-</w:t>
      </w:r>
      <w:r w:rsidR="00805118" w:rsidRPr="009558E6">
        <w:rPr>
          <w:rFonts w:asciiTheme="majorHAnsi" w:hAnsiTheme="majorHAnsi"/>
          <w:color w:val="auto"/>
          <w:sz w:val="18"/>
          <w:szCs w:val="18"/>
        </w:rPr>
        <w:tab/>
      </w:r>
      <w:r w:rsidR="00CE6736" w:rsidRPr="009558E6">
        <w:rPr>
          <w:rFonts w:asciiTheme="majorHAnsi" w:hAnsiTheme="majorHAnsi"/>
          <w:color w:val="auto"/>
          <w:sz w:val="18"/>
          <w:szCs w:val="18"/>
        </w:rPr>
        <w:t xml:space="preserve">Le Taipei chinois est autorisé à transférer 200 t de germon de l’Atlantique Nord au Belize au titre de 2022 </w:t>
      </w:r>
      <w:r w:rsidRPr="009558E6">
        <w:rPr>
          <w:rFonts w:asciiTheme="majorHAnsi" w:hAnsiTheme="majorHAnsi"/>
          <w:color w:val="auto"/>
          <w:sz w:val="18"/>
          <w:szCs w:val="18"/>
        </w:rPr>
        <w:t xml:space="preserve">et </w:t>
      </w:r>
      <w:r w:rsidR="00CE6736" w:rsidRPr="009558E6">
        <w:rPr>
          <w:rFonts w:asciiTheme="majorHAnsi" w:hAnsiTheme="majorHAnsi"/>
          <w:color w:val="auto"/>
          <w:sz w:val="18"/>
          <w:szCs w:val="18"/>
        </w:rPr>
        <w:t>2023</w:t>
      </w:r>
      <w:r w:rsidR="00CE6736" w:rsidRPr="009558E6">
        <w:rPr>
          <w:rFonts w:asciiTheme="majorHAnsi" w:hAnsiTheme="majorHAnsi"/>
          <w:color w:val="auto"/>
          <w:sz w:val="20"/>
          <w:szCs w:val="20"/>
        </w:rPr>
        <w:t>.</w:t>
      </w:r>
    </w:p>
    <w:p w14:paraId="79910BA2" w14:textId="77777777" w:rsidR="00A548BE" w:rsidRPr="009558E6" w:rsidRDefault="00A548BE" w:rsidP="0035431C">
      <w:pPr>
        <w:pStyle w:val="Default"/>
        <w:contextualSpacing/>
        <w:jc w:val="both"/>
        <w:rPr>
          <w:rFonts w:asciiTheme="majorHAnsi" w:hAnsiTheme="majorHAnsi"/>
          <w:color w:val="auto"/>
          <w:sz w:val="20"/>
          <w:szCs w:val="20"/>
        </w:rPr>
      </w:pPr>
    </w:p>
    <w:p w14:paraId="6F2D68BC" w14:textId="3F7FA5A8" w:rsidR="00CE6736" w:rsidRPr="009558E6" w:rsidRDefault="00D02869" w:rsidP="00D02869">
      <w:pPr>
        <w:autoSpaceDE w:val="0"/>
        <w:autoSpaceDN w:val="0"/>
        <w:adjustRightInd w:val="0"/>
        <w:spacing w:after="0" w:line="240" w:lineRule="auto"/>
        <w:ind w:left="426" w:hanging="426"/>
        <w:rPr>
          <w:rFonts w:asciiTheme="majorHAnsi" w:hAnsiTheme="majorHAnsi" w:cs="Cambria"/>
          <w:sz w:val="20"/>
          <w:szCs w:val="20"/>
        </w:rPr>
      </w:pPr>
      <w:r w:rsidRPr="009558E6">
        <w:rPr>
          <w:rFonts w:asciiTheme="majorHAnsi" w:hAnsiTheme="majorHAnsi"/>
          <w:sz w:val="20"/>
          <w:szCs w:val="20"/>
        </w:rPr>
        <w:t>7.</w:t>
      </w:r>
      <w:r w:rsidRPr="009558E6">
        <w:rPr>
          <w:rFonts w:asciiTheme="majorHAnsi" w:hAnsiTheme="majorHAnsi"/>
          <w:sz w:val="20"/>
          <w:szCs w:val="20"/>
        </w:rPr>
        <w:tab/>
      </w:r>
      <w:r w:rsidR="00A85F6E" w:rsidRPr="009558E6">
        <w:rPr>
          <w:rFonts w:asciiTheme="majorHAnsi" w:hAnsiTheme="majorHAnsi"/>
          <w:sz w:val="20"/>
          <w:szCs w:val="20"/>
        </w:rPr>
        <w:t>Les CPC autres que celles visées au paragraphe 6 devront limiter leurs captures annuelles à 242 t.</w:t>
      </w:r>
    </w:p>
    <w:p w14:paraId="79E6F40A" w14:textId="77777777" w:rsidR="00CE6736" w:rsidRPr="009558E6" w:rsidRDefault="00CE6736" w:rsidP="0035431C">
      <w:pPr>
        <w:pStyle w:val="ListParagraph"/>
        <w:autoSpaceDE w:val="0"/>
        <w:autoSpaceDN w:val="0"/>
        <w:adjustRightInd w:val="0"/>
        <w:spacing w:after="0" w:line="240" w:lineRule="auto"/>
        <w:rPr>
          <w:rFonts w:asciiTheme="majorHAnsi" w:hAnsiTheme="majorHAnsi" w:cs="Cambria"/>
          <w:sz w:val="20"/>
          <w:szCs w:val="20"/>
        </w:rPr>
      </w:pPr>
    </w:p>
    <w:p w14:paraId="7BB852F3" w14:textId="3D2BED27" w:rsidR="00A85F6E" w:rsidRPr="009558E6" w:rsidRDefault="00D02869" w:rsidP="00D02869">
      <w:pPr>
        <w:autoSpaceDE w:val="0"/>
        <w:autoSpaceDN w:val="0"/>
        <w:adjustRightInd w:val="0"/>
        <w:spacing w:after="0" w:line="240" w:lineRule="auto"/>
        <w:ind w:left="426" w:hanging="426"/>
        <w:jc w:val="both"/>
        <w:rPr>
          <w:rFonts w:asciiTheme="majorHAnsi" w:hAnsiTheme="majorHAnsi" w:cs="Cambria"/>
          <w:sz w:val="20"/>
          <w:szCs w:val="20"/>
        </w:rPr>
      </w:pPr>
      <w:r w:rsidRPr="009558E6">
        <w:rPr>
          <w:rFonts w:asciiTheme="majorHAnsi" w:hAnsiTheme="majorHAnsi"/>
          <w:sz w:val="20"/>
          <w:szCs w:val="20"/>
        </w:rPr>
        <w:t>8.</w:t>
      </w:r>
      <w:r w:rsidRPr="009558E6">
        <w:rPr>
          <w:rFonts w:asciiTheme="majorHAnsi" w:hAnsiTheme="majorHAnsi"/>
          <w:sz w:val="20"/>
          <w:szCs w:val="20"/>
        </w:rPr>
        <w:tab/>
      </w:r>
      <w:r w:rsidR="00A85F6E" w:rsidRPr="009558E6">
        <w:rPr>
          <w:rFonts w:asciiTheme="majorHAnsi" w:hAnsiTheme="majorHAnsi"/>
          <w:sz w:val="20"/>
          <w:szCs w:val="20"/>
        </w:rPr>
        <w:t>Par dérogation aux paragraphes 6 et 7, le Japon devra s’efforcer de limiter le poids total de sa capture annuelle de germon de l'Atlantique Nord à un maximum de 4,5% en poids de sa prise palangrière totale de thon obèse dans l’océan Atlantique en 2022 et 2023.</w:t>
      </w:r>
    </w:p>
    <w:p w14:paraId="216D87BF" w14:textId="77777777" w:rsidR="00256E6A" w:rsidRPr="009558E6" w:rsidRDefault="00256E6A" w:rsidP="0035431C">
      <w:pPr>
        <w:autoSpaceDE w:val="0"/>
        <w:autoSpaceDN w:val="0"/>
        <w:adjustRightInd w:val="0"/>
        <w:spacing w:after="0" w:line="240" w:lineRule="auto"/>
        <w:contextualSpacing/>
        <w:rPr>
          <w:rFonts w:asciiTheme="majorHAnsi" w:hAnsiTheme="majorHAnsi"/>
          <w:b/>
          <w:bCs/>
          <w:i/>
          <w:iCs/>
          <w:sz w:val="20"/>
          <w:szCs w:val="20"/>
        </w:rPr>
      </w:pPr>
    </w:p>
    <w:p w14:paraId="1A370B5F" w14:textId="545D7C11" w:rsidR="00CD3E2D" w:rsidRPr="009558E6" w:rsidRDefault="00CD3E2D" w:rsidP="0035431C">
      <w:pPr>
        <w:autoSpaceDE w:val="0"/>
        <w:autoSpaceDN w:val="0"/>
        <w:adjustRightInd w:val="0"/>
        <w:spacing w:after="0" w:line="240" w:lineRule="auto"/>
        <w:contextualSpacing/>
        <w:rPr>
          <w:rFonts w:asciiTheme="majorHAnsi" w:hAnsiTheme="majorHAnsi" w:cs="Cambria-BoldItalic"/>
          <w:b/>
          <w:bCs/>
          <w:i/>
          <w:iCs/>
          <w:sz w:val="20"/>
          <w:szCs w:val="20"/>
        </w:rPr>
      </w:pPr>
      <w:r w:rsidRPr="009558E6">
        <w:rPr>
          <w:rFonts w:asciiTheme="majorHAnsi" w:hAnsiTheme="majorHAnsi"/>
          <w:b/>
          <w:bCs/>
          <w:i/>
          <w:iCs/>
          <w:sz w:val="20"/>
          <w:szCs w:val="20"/>
        </w:rPr>
        <w:t>Sous-consommation ou surconsommation de capture</w:t>
      </w:r>
    </w:p>
    <w:p w14:paraId="14CD9402" w14:textId="77777777" w:rsidR="00CD3E2D" w:rsidRPr="009558E6" w:rsidRDefault="00CD3E2D" w:rsidP="0035431C">
      <w:pPr>
        <w:autoSpaceDE w:val="0"/>
        <w:autoSpaceDN w:val="0"/>
        <w:adjustRightInd w:val="0"/>
        <w:spacing w:after="0" w:line="240" w:lineRule="auto"/>
        <w:contextualSpacing/>
        <w:rPr>
          <w:rFonts w:asciiTheme="majorHAnsi" w:hAnsiTheme="majorHAnsi" w:cs="Cambria-BoldItalic"/>
          <w:b/>
          <w:bCs/>
          <w:i/>
          <w:iCs/>
          <w:sz w:val="20"/>
          <w:szCs w:val="20"/>
        </w:rPr>
      </w:pPr>
    </w:p>
    <w:p w14:paraId="37CBEC86" w14:textId="1BB38E44" w:rsidR="00CD3E2D" w:rsidRPr="009558E6" w:rsidRDefault="00D02869" w:rsidP="00D02869">
      <w:pPr>
        <w:autoSpaceDE w:val="0"/>
        <w:autoSpaceDN w:val="0"/>
        <w:adjustRightInd w:val="0"/>
        <w:spacing w:after="0" w:line="240" w:lineRule="auto"/>
        <w:ind w:left="426" w:hanging="426"/>
        <w:jc w:val="both"/>
        <w:rPr>
          <w:rFonts w:asciiTheme="majorHAnsi" w:hAnsiTheme="majorHAnsi" w:cs="Cambria"/>
          <w:sz w:val="20"/>
          <w:szCs w:val="20"/>
        </w:rPr>
      </w:pPr>
      <w:r w:rsidRPr="009558E6">
        <w:rPr>
          <w:rFonts w:asciiTheme="majorHAnsi" w:hAnsiTheme="majorHAnsi"/>
          <w:sz w:val="20"/>
          <w:szCs w:val="20"/>
        </w:rPr>
        <w:t>9.</w:t>
      </w:r>
      <w:r w:rsidRPr="009558E6">
        <w:rPr>
          <w:rFonts w:asciiTheme="majorHAnsi" w:hAnsiTheme="majorHAnsi"/>
          <w:sz w:val="20"/>
          <w:szCs w:val="20"/>
        </w:rPr>
        <w:tab/>
      </w:r>
      <w:r w:rsidR="00CD3E2D" w:rsidRPr="009558E6">
        <w:rPr>
          <w:rFonts w:asciiTheme="majorHAnsi" w:hAnsiTheme="majorHAnsi"/>
          <w:sz w:val="20"/>
          <w:szCs w:val="20"/>
        </w:rPr>
        <w:t>Toute partie non utilisée ou excédentaire du quota/limite de capture annuel d’une CPC pourrait être ajoutée à/devra être déduite, selon le cas, du quota/limite de capture respectif pendant ou avant l’année d’ajustement, comme suit :</w:t>
      </w:r>
    </w:p>
    <w:p w14:paraId="1E7BCCDD" w14:textId="77777777" w:rsidR="008708E8" w:rsidRPr="009558E6" w:rsidRDefault="008708E8" w:rsidP="0035431C">
      <w:pPr>
        <w:pStyle w:val="ListParagraph"/>
        <w:autoSpaceDE w:val="0"/>
        <w:autoSpaceDN w:val="0"/>
        <w:adjustRightInd w:val="0"/>
        <w:spacing w:after="0" w:line="240" w:lineRule="auto"/>
        <w:jc w:val="both"/>
        <w:rPr>
          <w:rFonts w:asciiTheme="majorHAnsi" w:hAnsiTheme="majorHAnsi" w:cs="Cambria"/>
          <w:sz w:val="20"/>
          <w:szCs w:val="20"/>
        </w:rPr>
      </w:pPr>
    </w:p>
    <w:tbl>
      <w:tblPr>
        <w:tblStyle w:val="TableGrid"/>
        <w:tblW w:w="0" w:type="auto"/>
        <w:tblInd w:w="2115" w:type="dxa"/>
        <w:tblLook w:val="04A0" w:firstRow="1" w:lastRow="0" w:firstColumn="1" w:lastColumn="0" w:noHBand="0" w:noVBand="1"/>
      </w:tblPr>
      <w:tblGrid>
        <w:gridCol w:w="1728"/>
        <w:gridCol w:w="1890"/>
      </w:tblGrid>
      <w:tr w:rsidR="000A7818" w:rsidRPr="009558E6" w14:paraId="7EAD837D" w14:textId="77777777" w:rsidTr="00CD3E2D">
        <w:tc>
          <w:tcPr>
            <w:tcW w:w="1728" w:type="dxa"/>
          </w:tcPr>
          <w:p w14:paraId="30476E14" w14:textId="45A400A8" w:rsidR="00CD3E2D" w:rsidRPr="009558E6" w:rsidRDefault="00CD3E2D"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i/>
                <w:iCs/>
                <w:sz w:val="20"/>
                <w:szCs w:val="20"/>
              </w:rPr>
              <w:t>Année de capture</w:t>
            </w:r>
          </w:p>
        </w:tc>
        <w:tc>
          <w:tcPr>
            <w:tcW w:w="1890" w:type="dxa"/>
          </w:tcPr>
          <w:p w14:paraId="3F56C417" w14:textId="2B76979E" w:rsidR="00CD3E2D" w:rsidRPr="009558E6" w:rsidRDefault="00CD3E2D"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i/>
                <w:iCs/>
                <w:sz w:val="20"/>
                <w:szCs w:val="20"/>
              </w:rPr>
              <w:t>Année d'ajustement</w:t>
            </w:r>
          </w:p>
        </w:tc>
      </w:tr>
      <w:tr w:rsidR="000A7818" w:rsidRPr="009558E6" w14:paraId="6E11553D" w14:textId="77777777" w:rsidTr="00CD3E2D">
        <w:tc>
          <w:tcPr>
            <w:tcW w:w="1728" w:type="dxa"/>
          </w:tcPr>
          <w:p w14:paraId="619A4A25" w14:textId="2F4BC292" w:rsidR="00CD3E2D" w:rsidRPr="009558E6" w:rsidRDefault="004D777C"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sz w:val="20"/>
                <w:szCs w:val="20"/>
              </w:rPr>
              <w:t>2019</w:t>
            </w:r>
          </w:p>
        </w:tc>
        <w:tc>
          <w:tcPr>
            <w:tcW w:w="1890" w:type="dxa"/>
          </w:tcPr>
          <w:p w14:paraId="771B5178" w14:textId="251961DB" w:rsidR="00CD3E2D" w:rsidRPr="009558E6" w:rsidRDefault="004D777C"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sz w:val="20"/>
                <w:szCs w:val="20"/>
              </w:rPr>
              <w:t>2021</w:t>
            </w:r>
          </w:p>
        </w:tc>
      </w:tr>
      <w:tr w:rsidR="000A7818" w:rsidRPr="009558E6" w14:paraId="06499651" w14:textId="77777777" w:rsidTr="00CD3E2D">
        <w:tc>
          <w:tcPr>
            <w:tcW w:w="1728" w:type="dxa"/>
          </w:tcPr>
          <w:p w14:paraId="29FFEDB0" w14:textId="78FC63A5" w:rsidR="00CD3E2D" w:rsidRPr="009558E6" w:rsidRDefault="004D777C"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sz w:val="20"/>
                <w:szCs w:val="20"/>
              </w:rPr>
              <w:t>2020</w:t>
            </w:r>
          </w:p>
        </w:tc>
        <w:tc>
          <w:tcPr>
            <w:tcW w:w="1890" w:type="dxa"/>
          </w:tcPr>
          <w:p w14:paraId="5A4E3B66" w14:textId="4AAAA09B" w:rsidR="00CD3E2D" w:rsidRPr="009558E6" w:rsidRDefault="004D777C"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sz w:val="20"/>
                <w:szCs w:val="20"/>
              </w:rPr>
              <w:t>2022</w:t>
            </w:r>
          </w:p>
        </w:tc>
      </w:tr>
      <w:tr w:rsidR="000A7818" w:rsidRPr="009558E6" w14:paraId="2DED790A" w14:textId="77777777" w:rsidTr="00CD3E2D">
        <w:tc>
          <w:tcPr>
            <w:tcW w:w="1728" w:type="dxa"/>
          </w:tcPr>
          <w:p w14:paraId="5018683B" w14:textId="4B291CDF" w:rsidR="00CD3E2D" w:rsidRPr="009558E6" w:rsidRDefault="004D777C"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sz w:val="20"/>
                <w:szCs w:val="20"/>
              </w:rPr>
              <w:t>2021</w:t>
            </w:r>
          </w:p>
        </w:tc>
        <w:tc>
          <w:tcPr>
            <w:tcW w:w="1890" w:type="dxa"/>
          </w:tcPr>
          <w:p w14:paraId="53639239" w14:textId="419F27FB" w:rsidR="00CD3E2D" w:rsidRPr="009558E6" w:rsidRDefault="004D777C"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sz w:val="20"/>
                <w:szCs w:val="20"/>
              </w:rPr>
              <w:t>2023</w:t>
            </w:r>
          </w:p>
        </w:tc>
      </w:tr>
      <w:tr w:rsidR="000A7818" w:rsidRPr="009558E6" w14:paraId="1E1CD7E7" w14:textId="77777777" w:rsidTr="00CD3E2D">
        <w:tc>
          <w:tcPr>
            <w:tcW w:w="1728" w:type="dxa"/>
          </w:tcPr>
          <w:p w14:paraId="4C8BFED6" w14:textId="1C5015C8" w:rsidR="004D777C" w:rsidRPr="009558E6" w:rsidRDefault="004D777C"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sz w:val="20"/>
                <w:szCs w:val="20"/>
              </w:rPr>
              <w:t>2022</w:t>
            </w:r>
          </w:p>
        </w:tc>
        <w:tc>
          <w:tcPr>
            <w:tcW w:w="1890" w:type="dxa"/>
          </w:tcPr>
          <w:p w14:paraId="31BC412B" w14:textId="1279F429" w:rsidR="004D777C" w:rsidRPr="009558E6" w:rsidRDefault="004D777C"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sz w:val="20"/>
                <w:szCs w:val="20"/>
              </w:rPr>
              <w:t>2024</w:t>
            </w:r>
          </w:p>
        </w:tc>
      </w:tr>
      <w:tr w:rsidR="004D777C" w:rsidRPr="009558E6" w14:paraId="6EC20FEC" w14:textId="77777777" w:rsidTr="00CD3E2D">
        <w:tc>
          <w:tcPr>
            <w:tcW w:w="1728" w:type="dxa"/>
          </w:tcPr>
          <w:p w14:paraId="4ABAB918" w14:textId="67B8F694" w:rsidR="004D777C" w:rsidRPr="009558E6" w:rsidRDefault="004D777C"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sz w:val="20"/>
                <w:szCs w:val="20"/>
              </w:rPr>
              <w:t>2023</w:t>
            </w:r>
          </w:p>
        </w:tc>
        <w:tc>
          <w:tcPr>
            <w:tcW w:w="1890" w:type="dxa"/>
          </w:tcPr>
          <w:p w14:paraId="785BA47C" w14:textId="745EAC0D" w:rsidR="004D777C" w:rsidRPr="009558E6" w:rsidRDefault="004D777C" w:rsidP="0035431C">
            <w:pPr>
              <w:autoSpaceDE w:val="0"/>
              <w:autoSpaceDN w:val="0"/>
              <w:adjustRightInd w:val="0"/>
              <w:contextualSpacing/>
              <w:jc w:val="center"/>
              <w:rPr>
                <w:rFonts w:asciiTheme="majorHAnsi" w:hAnsiTheme="majorHAnsi" w:cs="Cambria"/>
                <w:sz w:val="20"/>
                <w:szCs w:val="20"/>
              </w:rPr>
            </w:pPr>
            <w:r w:rsidRPr="009558E6">
              <w:rPr>
                <w:rFonts w:asciiTheme="majorHAnsi" w:hAnsiTheme="majorHAnsi"/>
                <w:sz w:val="20"/>
                <w:szCs w:val="20"/>
              </w:rPr>
              <w:t>2025</w:t>
            </w:r>
          </w:p>
        </w:tc>
      </w:tr>
    </w:tbl>
    <w:p w14:paraId="12DC8239" w14:textId="77777777" w:rsidR="00CD3E2D" w:rsidRPr="009558E6" w:rsidRDefault="00CD3E2D" w:rsidP="003379C1">
      <w:pPr>
        <w:autoSpaceDE w:val="0"/>
        <w:autoSpaceDN w:val="0"/>
        <w:adjustRightInd w:val="0"/>
        <w:spacing w:after="0" w:line="240" w:lineRule="auto"/>
        <w:rPr>
          <w:rFonts w:asciiTheme="majorHAnsi" w:hAnsiTheme="majorHAnsi" w:cs="Cambria"/>
          <w:sz w:val="20"/>
          <w:szCs w:val="20"/>
        </w:rPr>
      </w:pPr>
    </w:p>
    <w:p w14:paraId="5E42EC6D" w14:textId="52657ED3" w:rsidR="00CD3E2D" w:rsidRPr="009558E6" w:rsidRDefault="00CD3E2D" w:rsidP="00D02869">
      <w:pPr>
        <w:autoSpaceDE w:val="0"/>
        <w:autoSpaceDN w:val="0"/>
        <w:adjustRightInd w:val="0"/>
        <w:spacing w:after="0" w:line="240" w:lineRule="auto"/>
        <w:ind w:left="426"/>
        <w:jc w:val="both"/>
        <w:rPr>
          <w:rFonts w:asciiTheme="majorHAnsi" w:hAnsiTheme="majorHAnsi"/>
          <w:sz w:val="20"/>
          <w:szCs w:val="20"/>
        </w:rPr>
      </w:pPr>
      <w:r w:rsidRPr="009558E6">
        <w:rPr>
          <w:rFonts w:asciiTheme="majorHAnsi" w:hAnsiTheme="majorHAnsi"/>
          <w:sz w:val="20"/>
          <w:szCs w:val="20"/>
        </w:rPr>
        <w:t>Toutefois, la sous-consommation maximum qu’une CPC pourrait reporter au cours de toute année donnée ne devra pas dépasser 25% de son quota de capture initial.</w:t>
      </w:r>
    </w:p>
    <w:p w14:paraId="4C756B73" w14:textId="77777777" w:rsidR="00CD3E2D" w:rsidRPr="009558E6" w:rsidRDefault="00CD3E2D" w:rsidP="00D02869">
      <w:pPr>
        <w:autoSpaceDE w:val="0"/>
        <w:autoSpaceDN w:val="0"/>
        <w:adjustRightInd w:val="0"/>
        <w:spacing w:after="0" w:line="240" w:lineRule="auto"/>
        <w:ind w:left="426"/>
        <w:jc w:val="both"/>
        <w:rPr>
          <w:rFonts w:asciiTheme="majorHAnsi" w:hAnsiTheme="majorHAnsi"/>
          <w:sz w:val="20"/>
          <w:szCs w:val="20"/>
        </w:rPr>
      </w:pPr>
    </w:p>
    <w:p w14:paraId="688BE8D2" w14:textId="49C8F59F" w:rsidR="003379C1" w:rsidRPr="009558E6" w:rsidRDefault="00CD3E2D" w:rsidP="003379C1">
      <w:pPr>
        <w:autoSpaceDE w:val="0"/>
        <w:autoSpaceDN w:val="0"/>
        <w:adjustRightInd w:val="0"/>
        <w:spacing w:after="0" w:line="240" w:lineRule="auto"/>
        <w:ind w:left="426"/>
        <w:jc w:val="both"/>
        <w:rPr>
          <w:rFonts w:asciiTheme="majorHAnsi" w:hAnsiTheme="majorHAnsi"/>
          <w:sz w:val="20"/>
          <w:szCs w:val="20"/>
        </w:rPr>
      </w:pPr>
      <w:r w:rsidRPr="009558E6">
        <w:rPr>
          <w:rFonts w:asciiTheme="majorHAnsi" w:hAnsiTheme="majorHAnsi"/>
          <w:sz w:val="20"/>
          <w:szCs w:val="20"/>
        </w:rPr>
        <w:t>Si, au cours d’une année donnée, les débarquements combinés des CPC dépassent le TAC de plus de 20%, la Commission réévaluera la présente Recommandation à sa réunion suivante, y compris en tenant compte de tout avis du SCRS conformément à son évaluation de l'existence de circonstances exceptionnelles telles que reflétées à l'</w:t>
      </w:r>
      <w:r w:rsidR="000A2625" w:rsidRPr="009558E6">
        <w:rPr>
          <w:rFonts w:asciiTheme="majorHAnsi" w:hAnsiTheme="majorHAnsi"/>
          <w:b/>
          <w:bCs/>
          <w:sz w:val="20"/>
          <w:szCs w:val="20"/>
        </w:rPr>
        <w:t>a</w:t>
      </w:r>
      <w:r w:rsidRPr="009558E6">
        <w:rPr>
          <w:rFonts w:asciiTheme="majorHAnsi" w:hAnsiTheme="majorHAnsi"/>
          <w:b/>
          <w:bCs/>
          <w:sz w:val="20"/>
          <w:szCs w:val="20"/>
        </w:rPr>
        <w:t xml:space="preserve">nnexe </w:t>
      </w:r>
      <w:r w:rsidR="000A2625" w:rsidRPr="009558E6">
        <w:rPr>
          <w:rFonts w:asciiTheme="majorHAnsi" w:hAnsiTheme="majorHAnsi"/>
          <w:b/>
          <w:bCs/>
          <w:sz w:val="20"/>
          <w:szCs w:val="20"/>
        </w:rPr>
        <w:t>2</w:t>
      </w:r>
      <w:r w:rsidRPr="009558E6">
        <w:rPr>
          <w:rFonts w:asciiTheme="majorHAnsi" w:hAnsiTheme="majorHAnsi"/>
          <w:sz w:val="20"/>
          <w:szCs w:val="20"/>
        </w:rPr>
        <w:t xml:space="preserve">, et </w:t>
      </w:r>
      <w:r w:rsidR="0009340A" w:rsidRPr="009558E6">
        <w:rPr>
          <w:rFonts w:asciiTheme="majorHAnsi" w:hAnsiTheme="majorHAnsi"/>
          <w:sz w:val="20"/>
          <w:szCs w:val="20"/>
        </w:rPr>
        <w:t>pourra</w:t>
      </w:r>
      <w:r w:rsidRPr="009558E6">
        <w:rPr>
          <w:rFonts w:asciiTheme="majorHAnsi" w:hAnsiTheme="majorHAnsi"/>
          <w:sz w:val="20"/>
          <w:szCs w:val="20"/>
        </w:rPr>
        <w:t>, le cas échéant, recommander de nouvelles mesures.</w:t>
      </w:r>
    </w:p>
    <w:p w14:paraId="7FA02689" w14:textId="77777777" w:rsidR="00C645F7" w:rsidRDefault="00C645F7">
      <w:pPr>
        <w:rPr>
          <w:rFonts w:asciiTheme="majorHAnsi" w:hAnsiTheme="majorHAnsi"/>
          <w:b/>
          <w:bCs/>
          <w:sz w:val="20"/>
          <w:szCs w:val="20"/>
        </w:rPr>
      </w:pPr>
      <w:r>
        <w:rPr>
          <w:rFonts w:asciiTheme="majorHAnsi" w:hAnsiTheme="majorHAnsi"/>
          <w:b/>
          <w:bCs/>
          <w:sz w:val="20"/>
          <w:szCs w:val="20"/>
        </w:rPr>
        <w:br w:type="page"/>
      </w:r>
    </w:p>
    <w:p w14:paraId="416B9A9C" w14:textId="5AE0DD8C" w:rsidR="00CD3E2D" w:rsidRPr="009558E6" w:rsidRDefault="00CD3E2D" w:rsidP="0035431C">
      <w:pPr>
        <w:autoSpaceDE w:val="0"/>
        <w:autoSpaceDN w:val="0"/>
        <w:adjustRightInd w:val="0"/>
        <w:spacing w:after="0" w:line="240" w:lineRule="auto"/>
        <w:contextualSpacing/>
        <w:jc w:val="center"/>
        <w:rPr>
          <w:rFonts w:asciiTheme="majorHAnsi" w:hAnsiTheme="majorHAnsi" w:cs="Cambria-Bold"/>
          <w:b/>
          <w:bCs/>
          <w:sz w:val="20"/>
          <w:szCs w:val="20"/>
        </w:rPr>
      </w:pPr>
      <w:r w:rsidRPr="009558E6">
        <w:rPr>
          <w:rFonts w:asciiTheme="majorHAnsi" w:hAnsiTheme="majorHAnsi"/>
          <w:b/>
          <w:bCs/>
          <w:sz w:val="20"/>
          <w:szCs w:val="20"/>
        </w:rPr>
        <w:lastRenderedPageBreak/>
        <w:t>IVÈME PARTIE</w:t>
      </w:r>
    </w:p>
    <w:p w14:paraId="58172DB5" w14:textId="77777777" w:rsidR="00CD3E2D" w:rsidRPr="009558E6" w:rsidRDefault="00CD3E2D" w:rsidP="0035431C">
      <w:pPr>
        <w:autoSpaceDE w:val="0"/>
        <w:autoSpaceDN w:val="0"/>
        <w:adjustRightInd w:val="0"/>
        <w:spacing w:after="0" w:line="240" w:lineRule="auto"/>
        <w:contextualSpacing/>
        <w:jc w:val="center"/>
        <w:rPr>
          <w:rFonts w:asciiTheme="majorHAnsi" w:hAnsiTheme="majorHAnsi" w:cs="Cambria-Bold"/>
          <w:b/>
          <w:bCs/>
          <w:sz w:val="20"/>
          <w:szCs w:val="20"/>
        </w:rPr>
      </w:pPr>
      <w:r w:rsidRPr="009558E6">
        <w:rPr>
          <w:rFonts w:asciiTheme="majorHAnsi" w:hAnsiTheme="majorHAnsi"/>
          <w:b/>
          <w:bCs/>
          <w:sz w:val="20"/>
          <w:szCs w:val="20"/>
        </w:rPr>
        <w:t>MESURES DE GESTION DE LA CAPACITÉ</w:t>
      </w:r>
    </w:p>
    <w:p w14:paraId="4F525B43" w14:textId="77777777" w:rsidR="00CD3E2D" w:rsidRPr="009558E6" w:rsidRDefault="00CD3E2D" w:rsidP="0035431C">
      <w:pPr>
        <w:autoSpaceDE w:val="0"/>
        <w:autoSpaceDN w:val="0"/>
        <w:adjustRightInd w:val="0"/>
        <w:spacing w:after="0" w:line="240" w:lineRule="auto"/>
        <w:contextualSpacing/>
        <w:rPr>
          <w:rFonts w:asciiTheme="majorHAnsi" w:hAnsiTheme="majorHAnsi" w:cs="Cambria"/>
          <w:sz w:val="20"/>
          <w:szCs w:val="20"/>
        </w:rPr>
      </w:pPr>
    </w:p>
    <w:p w14:paraId="244491F5" w14:textId="53DBD269" w:rsidR="00CD3E2D" w:rsidRPr="009558E6" w:rsidRDefault="003379C1" w:rsidP="003379C1">
      <w:pPr>
        <w:autoSpaceDE w:val="0"/>
        <w:autoSpaceDN w:val="0"/>
        <w:adjustRightInd w:val="0"/>
        <w:spacing w:after="0" w:line="240" w:lineRule="auto"/>
        <w:ind w:left="426" w:hanging="426"/>
        <w:jc w:val="both"/>
        <w:rPr>
          <w:rFonts w:asciiTheme="majorHAnsi" w:hAnsiTheme="majorHAnsi"/>
          <w:sz w:val="20"/>
          <w:szCs w:val="20"/>
        </w:rPr>
      </w:pPr>
      <w:r w:rsidRPr="009558E6">
        <w:rPr>
          <w:rFonts w:asciiTheme="majorHAnsi" w:hAnsiTheme="majorHAnsi"/>
          <w:sz w:val="20"/>
          <w:szCs w:val="20"/>
        </w:rPr>
        <w:t>10.</w:t>
      </w:r>
      <w:r w:rsidRPr="009558E6">
        <w:rPr>
          <w:rFonts w:asciiTheme="majorHAnsi" w:hAnsiTheme="majorHAnsi"/>
          <w:sz w:val="20"/>
          <w:szCs w:val="20"/>
        </w:rPr>
        <w:tab/>
      </w:r>
      <w:r w:rsidR="00CD3E2D" w:rsidRPr="009558E6">
        <w:rPr>
          <w:rFonts w:asciiTheme="majorHAnsi" w:hAnsiTheme="majorHAnsi"/>
          <w:sz w:val="20"/>
          <w:szCs w:val="20"/>
        </w:rPr>
        <w:t>Les CPC pêchant le germon de l’Atlantique Nord devront limiter la capacité de pêche de leurs navires, exception faite des navires récréatifs, pêchant ce stock à partir de 1999, en limitant le nombre des navires à la moyenne du nombre de navires correspondant à la période 1993-1995.</w:t>
      </w:r>
    </w:p>
    <w:p w14:paraId="1A3015AB" w14:textId="77777777" w:rsidR="00CD3E2D" w:rsidRPr="009558E6" w:rsidRDefault="00CD3E2D" w:rsidP="003379C1">
      <w:pPr>
        <w:pStyle w:val="ListParagraph"/>
        <w:autoSpaceDE w:val="0"/>
        <w:autoSpaceDN w:val="0"/>
        <w:adjustRightInd w:val="0"/>
        <w:spacing w:after="0" w:line="240" w:lineRule="auto"/>
        <w:ind w:left="426" w:hanging="426"/>
        <w:rPr>
          <w:rFonts w:asciiTheme="majorHAnsi" w:hAnsiTheme="majorHAnsi" w:cs="Cambria"/>
          <w:sz w:val="20"/>
          <w:szCs w:val="20"/>
        </w:rPr>
      </w:pPr>
    </w:p>
    <w:p w14:paraId="6215D08D" w14:textId="29369168" w:rsidR="00CD3E2D" w:rsidRPr="009558E6" w:rsidRDefault="003379C1" w:rsidP="003379C1">
      <w:pPr>
        <w:autoSpaceDE w:val="0"/>
        <w:autoSpaceDN w:val="0"/>
        <w:adjustRightInd w:val="0"/>
        <w:spacing w:after="0" w:line="240" w:lineRule="auto"/>
        <w:ind w:left="426" w:hanging="426"/>
        <w:rPr>
          <w:rFonts w:asciiTheme="majorHAnsi" w:hAnsiTheme="majorHAnsi"/>
          <w:sz w:val="20"/>
          <w:szCs w:val="20"/>
        </w:rPr>
      </w:pPr>
      <w:r w:rsidRPr="009558E6">
        <w:rPr>
          <w:rFonts w:asciiTheme="majorHAnsi" w:hAnsiTheme="majorHAnsi"/>
          <w:sz w:val="20"/>
          <w:szCs w:val="20"/>
        </w:rPr>
        <w:t>11.</w:t>
      </w:r>
      <w:r w:rsidRPr="009558E6">
        <w:rPr>
          <w:rFonts w:asciiTheme="majorHAnsi" w:hAnsiTheme="majorHAnsi"/>
          <w:sz w:val="20"/>
          <w:szCs w:val="20"/>
        </w:rPr>
        <w:tab/>
      </w:r>
      <w:r w:rsidR="00CD3E2D" w:rsidRPr="009558E6">
        <w:rPr>
          <w:rFonts w:asciiTheme="majorHAnsi" w:hAnsiTheme="majorHAnsi"/>
          <w:sz w:val="20"/>
          <w:szCs w:val="20"/>
        </w:rPr>
        <w:t>Le paragraphe 10 ne s'applique pas aux CPC dont les prises moyennes sont inférieures à 200 t.</w:t>
      </w:r>
    </w:p>
    <w:p w14:paraId="5AF0BC63" w14:textId="50D0CF30" w:rsidR="00CD3E2D" w:rsidRPr="009558E6" w:rsidRDefault="00CD3E2D" w:rsidP="0035431C">
      <w:pPr>
        <w:autoSpaceDE w:val="0"/>
        <w:autoSpaceDN w:val="0"/>
        <w:adjustRightInd w:val="0"/>
        <w:spacing w:after="0" w:line="240" w:lineRule="auto"/>
        <w:contextualSpacing/>
        <w:rPr>
          <w:rFonts w:asciiTheme="majorHAnsi" w:hAnsiTheme="majorHAnsi" w:cs="Cambria"/>
          <w:sz w:val="20"/>
          <w:szCs w:val="20"/>
        </w:rPr>
      </w:pPr>
    </w:p>
    <w:p w14:paraId="75A9344F" w14:textId="77777777" w:rsidR="00B651A1" w:rsidRPr="009558E6" w:rsidRDefault="00B651A1" w:rsidP="0035431C">
      <w:pPr>
        <w:autoSpaceDE w:val="0"/>
        <w:autoSpaceDN w:val="0"/>
        <w:adjustRightInd w:val="0"/>
        <w:spacing w:after="0" w:line="240" w:lineRule="auto"/>
        <w:contextualSpacing/>
        <w:rPr>
          <w:rFonts w:asciiTheme="majorHAnsi" w:hAnsiTheme="majorHAnsi" w:cs="Cambria"/>
          <w:sz w:val="20"/>
          <w:szCs w:val="20"/>
        </w:rPr>
      </w:pPr>
    </w:p>
    <w:p w14:paraId="79EE8CC8" w14:textId="157F94E2" w:rsidR="00CD3E2D" w:rsidRPr="009558E6" w:rsidRDefault="00CD3E2D" w:rsidP="0035431C">
      <w:pPr>
        <w:autoSpaceDE w:val="0"/>
        <w:autoSpaceDN w:val="0"/>
        <w:adjustRightInd w:val="0"/>
        <w:spacing w:after="0" w:line="240" w:lineRule="auto"/>
        <w:contextualSpacing/>
        <w:jc w:val="center"/>
        <w:rPr>
          <w:rFonts w:asciiTheme="majorHAnsi" w:hAnsiTheme="majorHAnsi" w:cs="Cambria-Bold"/>
          <w:b/>
          <w:bCs/>
          <w:sz w:val="20"/>
          <w:szCs w:val="20"/>
        </w:rPr>
      </w:pPr>
      <w:r w:rsidRPr="009558E6">
        <w:rPr>
          <w:rFonts w:asciiTheme="majorHAnsi" w:hAnsiTheme="majorHAnsi"/>
          <w:b/>
          <w:bCs/>
          <w:sz w:val="20"/>
          <w:szCs w:val="20"/>
        </w:rPr>
        <w:t>Ve PARTIE</w:t>
      </w:r>
    </w:p>
    <w:p w14:paraId="4F9BD382" w14:textId="5A7F5607" w:rsidR="00CD3E2D" w:rsidRPr="009558E6" w:rsidRDefault="00CD3E2D" w:rsidP="0035431C">
      <w:pPr>
        <w:autoSpaceDE w:val="0"/>
        <w:autoSpaceDN w:val="0"/>
        <w:adjustRightInd w:val="0"/>
        <w:spacing w:after="0" w:line="240" w:lineRule="auto"/>
        <w:contextualSpacing/>
        <w:jc w:val="center"/>
        <w:rPr>
          <w:rFonts w:asciiTheme="majorHAnsi" w:hAnsiTheme="majorHAnsi" w:cs="Cambria-Bold"/>
          <w:b/>
          <w:bCs/>
          <w:sz w:val="20"/>
          <w:szCs w:val="20"/>
        </w:rPr>
      </w:pPr>
      <w:r w:rsidRPr="009558E6">
        <w:rPr>
          <w:rFonts w:asciiTheme="majorHAnsi" w:hAnsiTheme="majorHAnsi"/>
          <w:b/>
          <w:bCs/>
          <w:sz w:val="20"/>
          <w:szCs w:val="20"/>
        </w:rPr>
        <w:t>MESURES DE CONTRÔLE</w:t>
      </w:r>
    </w:p>
    <w:p w14:paraId="62141FA9" w14:textId="77777777" w:rsidR="00CD3E2D" w:rsidRPr="009558E6" w:rsidRDefault="00CD3E2D" w:rsidP="0035431C">
      <w:pPr>
        <w:autoSpaceDE w:val="0"/>
        <w:autoSpaceDN w:val="0"/>
        <w:adjustRightInd w:val="0"/>
        <w:spacing w:after="0" w:line="240" w:lineRule="auto"/>
        <w:contextualSpacing/>
        <w:jc w:val="both"/>
        <w:rPr>
          <w:rFonts w:asciiTheme="majorHAnsi" w:hAnsiTheme="majorHAnsi" w:cs="Cambria-Bold"/>
          <w:b/>
          <w:bCs/>
          <w:sz w:val="20"/>
          <w:szCs w:val="20"/>
        </w:rPr>
      </w:pPr>
    </w:p>
    <w:p w14:paraId="280E1000" w14:textId="390F7D6C" w:rsidR="00CD3E2D" w:rsidRPr="009558E6" w:rsidRDefault="00CD3E2D" w:rsidP="0035431C">
      <w:pPr>
        <w:autoSpaceDE w:val="0"/>
        <w:autoSpaceDN w:val="0"/>
        <w:adjustRightInd w:val="0"/>
        <w:spacing w:after="0" w:line="240" w:lineRule="auto"/>
        <w:contextualSpacing/>
        <w:jc w:val="both"/>
        <w:rPr>
          <w:rFonts w:asciiTheme="majorHAnsi" w:hAnsiTheme="majorHAnsi" w:cs="Cambria-BoldItalic"/>
          <w:b/>
          <w:bCs/>
          <w:i/>
          <w:iCs/>
          <w:sz w:val="20"/>
          <w:szCs w:val="20"/>
        </w:rPr>
      </w:pPr>
      <w:r w:rsidRPr="009558E6">
        <w:rPr>
          <w:rFonts w:asciiTheme="majorHAnsi" w:hAnsiTheme="majorHAnsi"/>
          <w:b/>
          <w:bCs/>
          <w:i/>
          <w:iCs/>
          <w:sz w:val="20"/>
          <w:szCs w:val="20"/>
        </w:rPr>
        <w:t>Autorisation spécifique de pêcher le germon de l'Atlantique Nord et registre ICCAT de navires</w:t>
      </w:r>
    </w:p>
    <w:p w14:paraId="224B68B6" w14:textId="77777777" w:rsidR="00CD3E2D" w:rsidRPr="009558E6" w:rsidRDefault="00CD3E2D" w:rsidP="0035431C">
      <w:pPr>
        <w:autoSpaceDE w:val="0"/>
        <w:autoSpaceDN w:val="0"/>
        <w:adjustRightInd w:val="0"/>
        <w:spacing w:after="0" w:line="240" w:lineRule="auto"/>
        <w:contextualSpacing/>
        <w:jc w:val="both"/>
        <w:rPr>
          <w:rFonts w:asciiTheme="majorHAnsi" w:hAnsiTheme="majorHAnsi" w:cs="Cambria-BoldItalic"/>
          <w:b/>
          <w:bCs/>
          <w:i/>
          <w:iCs/>
          <w:sz w:val="20"/>
          <w:szCs w:val="20"/>
        </w:rPr>
      </w:pPr>
    </w:p>
    <w:p w14:paraId="1BA371C5" w14:textId="06AF5DE8" w:rsidR="006E3D43" w:rsidRPr="009558E6" w:rsidRDefault="003379C1" w:rsidP="003379C1">
      <w:pPr>
        <w:autoSpaceDE w:val="0"/>
        <w:autoSpaceDN w:val="0"/>
        <w:adjustRightInd w:val="0"/>
        <w:spacing w:after="0" w:line="240" w:lineRule="auto"/>
        <w:ind w:left="426" w:hanging="426"/>
        <w:jc w:val="both"/>
        <w:rPr>
          <w:rFonts w:asciiTheme="majorHAnsi" w:hAnsiTheme="majorHAnsi"/>
          <w:sz w:val="20"/>
          <w:szCs w:val="20"/>
        </w:rPr>
      </w:pPr>
      <w:r w:rsidRPr="009558E6">
        <w:rPr>
          <w:rFonts w:asciiTheme="majorHAnsi" w:hAnsiTheme="majorHAnsi"/>
          <w:sz w:val="20"/>
          <w:szCs w:val="20"/>
        </w:rPr>
        <w:t>12.</w:t>
      </w:r>
      <w:r w:rsidRPr="009558E6">
        <w:rPr>
          <w:rFonts w:asciiTheme="majorHAnsi" w:hAnsiTheme="majorHAnsi"/>
          <w:sz w:val="20"/>
          <w:szCs w:val="20"/>
        </w:rPr>
        <w:tab/>
      </w:r>
      <w:r w:rsidR="00CD3E2D" w:rsidRPr="009558E6">
        <w:rPr>
          <w:rFonts w:asciiTheme="majorHAnsi" w:hAnsiTheme="majorHAnsi"/>
          <w:sz w:val="20"/>
          <w:szCs w:val="20"/>
        </w:rPr>
        <w:t>Les CPC devront émettre des autorisations spécifiques aux navires de 20 m ou plus de longueur hors</w:t>
      </w:r>
      <w:r w:rsidR="009D7659" w:rsidRPr="009558E6">
        <w:rPr>
          <w:rFonts w:asciiTheme="majorHAnsi" w:hAnsiTheme="majorHAnsi"/>
          <w:sz w:val="20"/>
          <w:szCs w:val="20"/>
        </w:rPr>
        <w:t>-</w:t>
      </w:r>
      <w:r w:rsidR="00CD3E2D" w:rsidRPr="009558E6">
        <w:rPr>
          <w:rFonts w:asciiTheme="majorHAnsi" w:hAnsiTheme="majorHAnsi"/>
          <w:sz w:val="20"/>
          <w:szCs w:val="20"/>
        </w:rPr>
        <w:t>tout battant leur pavillon qui sont autorisés à pêcher le germon de l'Atlantique Nord dans la zone de la Convention.</w:t>
      </w:r>
      <w:r w:rsidR="00DA7810" w:rsidRPr="009558E6">
        <w:rPr>
          <w:rFonts w:asciiTheme="majorHAnsi" w:hAnsiTheme="majorHAnsi"/>
          <w:sz w:val="20"/>
          <w:szCs w:val="20"/>
        </w:rPr>
        <w:t xml:space="preserve"> </w:t>
      </w:r>
      <w:r w:rsidR="00CD3E2D" w:rsidRPr="009558E6">
        <w:rPr>
          <w:rFonts w:asciiTheme="majorHAnsi" w:hAnsiTheme="majorHAnsi"/>
          <w:sz w:val="20"/>
          <w:szCs w:val="20"/>
        </w:rPr>
        <w:t xml:space="preserve">Chaque CPC devra indiquer lesquels des navires figurant sur sa liste de navires soumise conformément à la </w:t>
      </w:r>
      <w:r w:rsidR="00CD3E2D" w:rsidRPr="009558E6">
        <w:rPr>
          <w:rFonts w:asciiTheme="majorHAnsi" w:hAnsiTheme="majorHAnsi"/>
          <w:i/>
          <w:iCs/>
          <w:sz w:val="20"/>
          <w:szCs w:val="20"/>
        </w:rPr>
        <w:t xml:space="preserve">Recommandation de l’ICCAT </w:t>
      </w:r>
      <w:r w:rsidR="006B3A7A" w:rsidRPr="009558E6">
        <w:rPr>
          <w:rFonts w:asciiTheme="majorHAnsi" w:hAnsiTheme="majorHAnsi"/>
          <w:i/>
          <w:iCs/>
          <w:sz w:val="20"/>
          <w:szCs w:val="20"/>
        </w:rPr>
        <w:t xml:space="preserve">amendant la Recommandation 13-13 </w:t>
      </w:r>
      <w:r w:rsidR="00CD3E2D" w:rsidRPr="009558E6">
        <w:rPr>
          <w:rFonts w:asciiTheme="majorHAnsi" w:hAnsiTheme="majorHAnsi"/>
          <w:i/>
          <w:iCs/>
          <w:sz w:val="20"/>
          <w:szCs w:val="20"/>
        </w:rPr>
        <w:t xml:space="preserve">concernant l’établissement d’un registre ICCAT de </w:t>
      </w:r>
      <w:r w:rsidR="009D7659" w:rsidRPr="009558E6">
        <w:rPr>
          <w:rFonts w:asciiTheme="majorHAnsi" w:hAnsiTheme="majorHAnsi"/>
          <w:i/>
          <w:iCs/>
          <w:sz w:val="20"/>
          <w:szCs w:val="20"/>
        </w:rPr>
        <w:t>navires</w:t>
      </w:r>
      <w:r w:rsidR="00CD3E2D" w:rsidRPr="009558E6">
        <w:rPr>
          <w:rFonts w:asciiTheme="majorHAnsi" w:hAnsiTheme="majorHAnsi"/>
          <w:i/>
          <w:iCs/>
          <w:sz w:val="20"/>
          <w:szCs w:val="20"/>
        </w:rPr>
        <w:t xml:space="preserve"> de 20 mètres ou plus de longueur hors-tout autorisés à opérer dans la zone de la Convention</w:t>
      </w:r>
      <w:r w:rsidR="00CD3E2D" w:rsidRPr="009558E6">
        <w:rPr>
          <w:rFonts w:asciiTheme="majorHAnsi" w:hAnsiTheme="majorHAnsi"/>
          <w:sz w:val="20"/>
          <w:szCs w:val="20"/>
        </w:rPr>
        <w:t xml:space="preserve"> (Rec</w:t>
      </w:r>
      <w:r w:rsidR="009D7659" w:rsidRPr="009558E6">
        <w:rPr>
          <w:rFonts w:asciiTheme="majorHAnsi" w:hAnsiTheme="majorHAnsi"/>
          <w:sz w:val="20"/>
          <w:szCs w:val="20"/>
        </w:rPr>
        <w:t>.</w:t>
      </w:r>
      <w:r w:rsidR="009C1FF2" w:rsidRPr="009558E6">
        <w:rPr>
          <w:rFonts w:asciiTheme="majorHAnsi" w:hAnsiTheme="majorHAnsi"/>
          <w:sz w:val="20"/>
          <w:szCs w:val="20"/>
        </w:rPr>
        <w:t> 21-14</w:t>
      </w:r>
      <w:r w:rsidR="00CD3E2D" w:rsidRPr="009558E6">
        <w:rPr>
          <w:rFonts w:asciiTheme="majorHAnsi" w:hAnsiTheme="majorHAnsi"/>
          <w:sz w:val="20"/>
          <w:szCs w:val="20"/>
        </w:rPr>
        <w:t>) elle a autorisés à cet effet.</w:t>
      </w:r>
      <w:r w:rsidR="00DA7810" w:rsidRPr="009558E6">
        <w:rPr>
          <w:rFonts w:asciiTheme="majorHAnsi" w:hAnsiTheme="majorHAnsi"/>
          <w:sz w:val="20"/>
          <w:szCs w:val="20"/>
        </w:rPr>
        <w:t xml:space="preserve"> </w:t>
      </w:r>
      <w:r w:rsidR="00CD3E2D" w:rsidRPr="009558E6">
        <w:rPr>
          <w:rFonts w:asciiTheme="majorHAnsi" w:hAnsiTheme="majorHAnsi"/>
          <w:sz w:val="20"/>
          <w:szCs w:val="20"/>
        </w:rPr>
        <w:t>Les navires ne figurant pas sur ce</w:t>
      </w:r>
      <w:r w:rsidR="009D7659" w:rsidRPr="009558E6">
        <w:rPr>
          <w:rFonts w:asciiTheme="majorHAnsi" w:hAnsiTheme="majorHAnsi"/>
          <w:sz w:val="20"/>
          <w:szCs w:val="20"/>
        </w:rPr>
        <w:t xml:space="preserve"> registre </w:t>
      </w:r>
      <w:r w:rsidR="00CD3E2D" w:rsidRPr="009558E6">
        <w:rPr>
          <w:rFonts w:asciiTheme="majorHAnsi" w:hAnsiTheme="majorHAnsi"/>
          <w:sz w:val="20"/>
          <w:szCs w:val="20"/>
        </w:rPr>
        <w:t>ou y figurant sans la mention requise que la pêche du germon de l'Atlantique Nord est autorisée sont considérés comme n'étant pas autorisés à pêcher, à retenir à bord, à transborder, à transporter, à transférer, à traiter ou à débarquer le germon de l’Atlantique Nord.</w:t>
      </w:r>
    </w:p>
    <w:p w14:paraId="6E283CCC" w14:textId="77777777" w:rsidR="006E3D43" w:rsidRPr="009558E6" w:rsidRDefault="006E3D43" w:rsidP="003379C1">
      <w:pPr>
        <w:autoSpaceDE w:val="0"/>
        <w:autoSpaceDN w:val="0"/>
        <w:adjustRightInd w:val="0"/>
        <w:spacing w:after="0" w:line="240" w:lineRule="auto"/>
        <w:ind w:left="426" w:hanging="426"/>
        <w:jc w:val="both"/>
        <w:rPr>
          <w:rFonts w:asciiTheme="majorHAnsi" w:hAnsiTheme="majorHAnsi"/>
          <w:sz w:val="20"/>
          <w:szCs w:val="20"/>
        </w:rPr>
      </w:pPr>
    </w:p>
    <w:p w14:paraId="2D7FAA4A" w14:textId="3379C5A1" w:rsidR="0054057C" w:rsidRPr="009558E6" w:rsidRDefault="003379C1" w:rsidP="003379C1">
      <w:pPr>
        <w:autoSpaceDE w:val="0"/>
        <w:autoSpaceDN w:val="0"/>
        <w:adjustRightInd w:val="0"/>
        <w:spacing w:after="0" w:line="240" w:lineRule="auto"/>
        <w:ind w:left="426" w:hanging="426"/>
        <w:jc w:val="both"/>
        <w:rPr>
          <w:rFonts w:asciiTheme="majorHAnsi" w:hAnsiTheme="majorHAnsi"/>
          <w:sz w:val="20"/>
          <w:szCs w:val="20"/>
        </w:rPr>
      </w:pPr>
      <w:r w:rsidRPr="009558E6">
        <w:rPr>
          <w:rFonts w:asciiTheme="majorHAnsi" w:hAnsiTheme="majorHAnsi"/>
          <w:sz w:val="20"/>
          <w:szCs w:val="20"/>
        </w:rPr>
        <w:t>13.</w:t>
      </w:r>
      <w:r w:rsidRPr="009558E6">
        <w:rPr>
          <w:rFonts w:asciiTheme="majorHAnsi" w:hAnsiTheme="majorHAnsi"/>
          <w:sz w:val="20"/>
          <w:szCs w:val="20"/>
        </w:rPr>
        <w:tab/>
      </w:r>
      <w:r w:rsidR="00CD3E2D" w:rsidRPr="009558E6">
        <w:rPr>
          <w:rFonts w:asciiTheme="majorHAnsi" w:hAnsiTheme="majorHAnsi"/>
          <w:sz w:val="20"/>
          <w:szCs w:val="20"/>
        </w:rPr>
        <w:t>Les CPC pourraient autoriser des prises accessoires de germon de l’Atlantique Nord par les navires non autorisés à pêcher le germon de l’Atlantique Nord en vertu du paragraphe 12, si la CPC établit une limite de prise accessoire maximum à bord pour ces navires et que la prise accessoire en question est déduite du quota ou de la limite de capture de la CPC.</w:t>
      </w:r>
      <w:r w:rsidR="00DA7810" w:rsidRPr="009558E6">
        <w:rPr>
          <w:rFonts w:asciiTheme="majorHAnsi" w:hAnsiTheme="majorHAnsi"/>
          <w:sz w:val="20"/>
          <w:szCs w:val="20"/>
        </w:rPr>
        <w:t xml:space="preserve"> </w:t>
      </w:r>
      <w:r w:rsidR="00CD3E2D" w:rsidRPr="009558E6">
        <w:rPr>
          <w:rFonts w:asciiTheme="majorHAnsi" w:hAnsiTheme="majorHAnsi"/>
          <w:sz w:val="20"/>
          <w:szCs w:val="20"/>
        </w:rPr>
        <w:t>Chaque CPC devra soumettre dans son rapport annuel la limite de prise accessoire maximum autorisée pour ces navires. Cette information devra être compilée par le Secrétariat de l’ICCAT et mise à la disposition des CPC.</w:t>
      </w:r>
    </w:p>
    <w:p w14:paraId="0D55ECF5" w14:textId="77777777" w:rsidR="002D20A0" w:rsidRPr="009558E6" w:rsidRDefault="002D20A0" w:rsidP="0035431C">
      <w:pPr>
        <w:autoSpaceDE w:val="0"/>
        <w:autoSpaceDN w:val="0"/>
        <w:adjustRightInd w:val="0"/>
        <w:spacing w:after="0" w:line="240" w:lineRule="auto"/>
        <w:contextualSpacing/>
        <w:rPr>
          <w:rFonts w:asciiTheme="majorHAnsi" w:hAnsiTheme="majorHAnsi" w:cs="Cambria"/>
          <w:sz w:val="20"/>
          <w:szCs w:val="20"/>
        </w:rPr>
      </w:pPr>
    </w:p>
    <w:p w14:paraId="4053AEEE" w14:textId="77777777" w:rsidR="00980513" w:rsidRPr="009558E6" w:rsidRDefault="00980513" w:rsidP="0035431C">
      <w:pPr>
        <w:autoSpaceDE w:val="0"/>
        <w:autoSpaceDN w:val="0"/>
        <w:adjustRightInd w:val="0"/>
        <w:spacing w:after="0" w:line="240" w:lineRule="auto"/>
        <w:contextualSpacing/>
        <w:jc w:val="both"/>
        <w:rPr>
          <w:rFonts w:asciiTheme="majorHAnsi" w:hAnsiTheme="majorHAnsi" w:cs="Cambria-Bold"/>
          <w:b/>
          <w:bCs/>
          <w:sz w:val="20"/>
          <w:szCs w:val="20"/>
        </w:rPr>
      </w:pPr>
    </w:p>
    <w:p w14:paraId="391DA479" w14:textId="2A63853B" w:rsidR="0054057C" w:rsidRPr="009558E6" w:rsidRDefault="0054057C" w:rsidP="0035431C">
      <w:pPr>
        <w:autoSpaceDE w:val="0"/>
        <w:autoSpaceDN w:val="0"/>
        <w:adjustRightInd w:val="0"/>
        <w:spacing w:after="0" w:line="240" w:lineRule="auto"/>
        <w:contextualSpacing/>
        <w:jc w:val="center"/>
        <w:rPr>
          <w:rFonts w:asciiTheme="majorHAnsi" w:hAnsiTheme="majorHAnsi" w:cs="Cambria-Bold"/>
          <w:b/>
          <w:bCs/>
          <w:sz w:val="20"/>
          <w:szCs w:val="20"/>
        </w:rPr>
      </w:pPr>
      <w:r w:rsidRPr="009558E6">
        <w:rPr>
          <w:rFonts w:asciiTheme="majorHAnsi" w:hAnsiTheme="majorHAnsi"/>
          <w:b/>
          <w:bCs/>
          <w:sz w:val="20"/>
          <w:szCs w:val="20"/>
        </w:rPr>
        <w:t>VIe PARTIE</w:t>
      </w:r>
    </w:p>
    <w:p w14:paraId="413B88AE" w14:textId="77777777" w:rsidR="0054057C" w:rsidRPr="009558E6" w:rsidRDefault="0054057C" w:rsidP="0035431C">
      <w:pPr>
        <w:autoSpaceDE w:val="0"/>
        <w:autoSpaceDN w:val="0"/>
        <w:adjustRightInd w:val="0"/>
        <w:spacing w:after="0" w:line="240" w:lineRule="auto"/>
        <w:contextualSpacing/>
        <w:jc w:val="center"/>
        <w:rPr>
          <w:rFonts w:asciiTheme="majorHAnsi" w:hAnsiTheme="majorHAnsi" w:cs="Cambria-Bold"/>
          <w:b/>
          <w:bCs/>
          <w:sz w:val="20"/>
          <w:szCs w:val="20"/>
        </w:rPr>
      </w:pPr>
      <w:r w:rsidRPr="009558E6">
        <w:rPr>
          <w:rFonts w:asciiTheme="majorHAnsi" w:hAnsiTheme="majorHAnsi"/>
          <w:b/>
          <w:bCs/>
          <w:sz w:val="20"/>
          <w:szCs w:val="20"/>
        </w:rPr>
        <w:t>DISPOSITIONS FINALES</w:t>
      </w:r>
    </w:p>
    <w:p w14:paraId="4FACF41C" w14:textId="77777777" w:rsidR="0054057C" w:rsidRPr="009558E6" w:rsidRDefault="0054057C" w:rsidP="0035431C">
      <w:pPr>
        <w:autoSpaceDE w:val="0"/>
        <w:autoSpaceDN w:val="0"/>
        <w:adjustRightInd w:val="0"/>
        <w:spacing w:after="0" w:line="240" w:lineRule="auto"/>
        <w:contextualSpacing/>
        <w:jc w:val="center"/>
        <w:rPr>
          <w:rFonts w:asciiTheme="majorHAnsi" w:hAnsiTheme="majorHAnsi" w:cs="Cambria-Bold"/>
          <w:b/>
          <w:bCs/>
          <w:sz w:val="20"/>
          <w:szCs w:val="20"/>
        </w:rPr>
      </w:pPr>
    </w:p>
    <w:p w14:paraId="426233B1" w14:textId="3A8F2274" w:rsidR="00B575DD" w:rsidRPr="009558E6" w:rsidRDefault="00B575DD" w:rsidP="0025327E">
      <w:pPr>
        <w:autoSpaceDE w:val="0"/>
        <w:autoSpaceDN w:val="0"/>
        <w:adjustRightInd w:val="0"/>
        <w:spacing w:after="0" w:line="240" w:lineRule="auto"/>
        <w:ind w:left="426" w:hanging="426"/>
        <w:jc w:val="both"/>
        <w:rPr>
          <w:rFonts w:asciiTheme="majorHAnsi" w:hAnsiTheme="majorHAnsi"/>
          <w:sz w:val="20"/>
          <w:szCs w:val="20"/>
        </w:rPr>
      </w:pPr>
      <w:r w:rsidRPr="009558E6">
        <w:rPr>
          <w:rFonts w:asciiTheme="majorHAnsi" w:hAnsiTheme="majorHAnsi"/>
          <w:sz w:val="20"/>
          <w:szCs w:val="20"/>
        </w:rPr>
        <w:t>14.</w:t>
      </w:r>
      <w:r w:rsidRPr="009558E6">
        <w:rPr>
          <w:rFonts w:asciiTheme="majorHAnsi" w:hAnsiTheme="majorHAnsi"/>
          <w:sz w:val="20"/>
          <w:szCs w:val="20"/>
        </w:rPr>
        <w:tab/>
        <w:t xml:space="preserve">Au cours de la période 2022-2023, le SCRS </w:t>
      </w:r>
      <w:r w:rsidRPr="009558E6">
        <w:rPr>
          <w:rFonts w:asciiTheme="majorHAnsi" w:hAnsiTheme="majorHAnsi" w:cs="Cambria-Italic"/>
          <w:sz w:val="20"/>
          <w:szCs w:val="20"/>
        </w:rPr>
        <w:t xml:space="preserve">devrait entreprendre les analyses suivantes </w:t>
      </w:r>
      <w:r w:rsidR="00061893" w:rsidRPr="009558E6">
        <w:rPr>
          <w:rFonts w:asciiTheme="majorHAnsi" w:hAnsiTheme="majorHAnsi" w:cs="Cambria-Italic"/>
          <w:sz w:val="20"/>
          <w:szCs w:val="20"/>
        </w:rPr>
        <w:t>pour</w:t>
      </w:r>
      <w:r w:rsidR="00061893" w:rsidRPr="009558E6">
        <w:rPr>
          <w:rFonts w:asciiTheme="majorHAnsi" w:hAnsiTheme="majorHAnsi"/>
          <w:sz w:val="20"/>
          <w:szCs w:val="20"/>
        </w:rPr>
        <w:t xml:space="preserve"> :</w:t>
      </w:r>
    </w:p>
    <w:p w14:paraId="4C65E604" w14:textId="77777777" w:rsidR="00B575DD" w:rsidRPr="009558E6" w:rsidRDefault="00B575DD" w:rsidP="0032242F">
      <w:pPr>
        <w:autoSpaceDE w:val="0"/>
        <w:autoSpaceDN w:val="0"/>
        <w:adjustRightInd w:val="0"/>
        <w:spacing w:after="0" w:line="240" w:lineRule="auto"/>
        <w:ind w:left="851"/>
        <w:jc w:val="both"/>
        <w:rPr>
          <w:rFonts w:asciiTheme="majorHAnsi" w:hAnsiTheme="majorHAnsi" w:cs="Cambria-Italic"/>
          <w:sz w:val="20"/>
          <w:szCs w:val="20"/>
        </w:rPr>
      </w:pPr>
    </w:p>
    <w:p w14:paraId="7C3603B0" w14:textId="77777777" w:rsidR="00B575DD" w:rsidRPr="009558E6" w:rsidRDefault="00B575DD" w:rsidP="0032242F">
      <w:pPr>
        <w:pStyle w:val="ListParagraph"/>
        <w:numPr>
          <w:ilvl w:val="1"/>
          <w:numId w:val="35"/>
        </w:numPr>
        <w:tabs>
          <w:tab w:val="left" w:pos="1276"/>
        </w:tabs>
        <w:autoSpaceDE w:val="0"/>
        <w:autoSpaceDN w:val="0"/>
        <w:adjustRightInd w:val="0"/>
        <w:spacing w:after="0" w:line="240" w:lineRule="auto"/>
        <w:ind w:left="993" w:hanging="502"/>
        <w:jc w:val="both"/>
        <w:rPr>
          <w:rFonts w:asciiTheme="majorHAnsi" w:hAnsiTheme="majorHAnsi" w:cs="Cambria-Italic"/>
          <w:sz w:val="20"/>
          <w:szCs w:val="20"/>
        </w:rPr>
      </w:pPr>
      <w:r w:rsidRPr="009558E6">
        <w:rPr>
          <w:rFonts w:asciiTheme="majorHAnsi" w:hAnsiTheme="majorHAnsi"/>
          <w:sz w:val="20"/>
          <w:szCs w:val="20"/>
        </w:rPr>
        <w:t>tester d'autres HCR soutenant les objectifs de gestion exprimés au paragraphe 2 ci-dessus et associés à une gamme de paramètres de contrôle plus large que celle explorée pour cette procédure de gestion et à savoir :</w:t>
      </w:r>
    </w:p>
    <w:p w14:paraId="3F3867C8" w14:textId="77777777" w:rsidR="00B575DD" w:rsidRPr="009558E6" w:rsidRDefault="00B575DD" w:rsidP="00B575DD">
      <w:pPr>
        <w:pStyle w:val="ListParagraph"/>
        <w:autoSpaceDE w:val="0"/>
        <w:autoSpaceDN w:val="0"/>
        <w:adjustRightInd w:val="0"/>
        <w:spacing w:after="0" w:line="240" w:lineRule="auto"/>
        <w:ind w:left="1440"/>
        <w:jc w:val="both"/>
        <w:rPr>
          <w:rFonts w:asciiTheme="majorHAnsi" w:hAnsiTheme="majorHAnsi" w:cs="Cambria-Italic"/>
          <w:sz w:val="20"/>
          <w:szCs w:val="20"/>
        </w:rPr>
      </w:pPr>
    </w:p>
    <w:p w14:paraId="71F22C69" w14:textId="313BD619" w:rsidR="00B575DD" w:rsidRPr="009558E6" w:rsidRDefault="00B575DD" w:rsidP="00B575DD">
      <w:pPr>
        <w:pStyle w:val="ListParagraph"/>
        <w:spacing w:after="0" w:line="240" w:lineRule="auto"/>
        <w:ind w:left="1440" w:firstLine="720"/>
        <w:jc w:val="both"/>
        <w:rPr>
          <w:rFonts w:asciiTheme="majorHAnsi" w:hAnsiTheme="majorHAnsi"/>
          <w:sz w:val="20"/>
          <w:szCs w:val="20"/>
        </w:rPr>
      </w:pPr>
      <w:r w:rsidRPr="009558E6">
        <w:rPr>
          <w:rFonts w:asciiTheme="majorHAnsi" w:hAnsiTheme="majorHAnsi"/>
          <w:sz w:val="20"/>
          <w:szCs w:val="20"/>
        </w:rPr>
        <w:t>F</w:t>
      </w:r>
      <w:r w:rsidRPr="009558E6">
        <w:rPr>
          <w:rFonts w:asciiTheme="majorHAnsi" w:hAnsiTheme="majorHAnsi"/>
          <w:smallCaps/>
          <w:sz w:val="20"/>
          <w:szCs w:val="20"/>
          <w:vertAlign w:val="subscript"/>
        </w:rPr>
        <w:t>cible</w:t>
      </w:r>
      <w:r w:rsidRPr="009558E6">
        <w:rPr>
          <w:rFonts w:asciiTheme="majorHAnsi" w:hAnsiTheme="majorHAnsi"/>
          <w:sz w:val="20"/>
          <w:szCs w:val="20"/>
        </w:rPr>
        <w:t xml:space="preserve">=(0,8; </w:t>
      </w:r>
      <w:r w:rsidRPr="009558E6">
        <w:rPr>
          <w:rFonts w:asciiTheme="majorHAnsi" w:hAnsiTheme="majorHAnsi"/>
          <w:bCs/>
          <w:sz w:val="20"/>
          <w:szCs w:val="20"/>
        </w:rPr>
        <w:t>0,9</w:t>
      </w:r>
      <w:r w:rsidRPr="009558E6">
        <w:rPr>
          <w:rFonts w:asciiTheme="majorHAnsi" w:hAnsiTheme="majorHAnsi"/>
          <w:sz w:val="20"/>
          <w:szCs w:val="20"/>
        </w:rPr>
        <w:t>; 1,0;) * F</w:t>
      </w:r>
      <w:r w:rsidR="0032242F" w:rsidRPr="009558E6">
        <w:rPr>
          <w:rFonts w:asciiTheme="majorHAnsi" w:hAnsiTheme="majorHAnsi"/>
          <w:sz w:val="20"/>
          <w:szCs w:val="20"/>
          <w:vertAlign w:val="subscript"/>
        </w:rPr>
        <w:t>PME</w:t>
      </w:r>
    </w:p>
    <w:p w14:paraId="729EA04B" w14:textId="6B9DA39F" w:rsidR="00B575DD" w:rsidRPr="009558E6" w:rsidRDefault="00B575DD" w:rsidP="00B575DD">
      <w:pPr>
        <w:pStyle w:val="ListParagraph"/>
        <w:spacing w:after="0" w:line="240" w:lineRule="auto"/>
        <w:ind w:left="1440" w:firstLine="720"/>
        <w:jc w:val="both"/>
        <w:rPr>
          <w:rFonts w:asciiTheme="majorHAnsi" w:hAnsiTheme="majorHAnsi"/>
          <w:sz w:val="20"/>
          <w:szCs w:val="20"/>
        </w:rPr>
      </w:pPr>
      <w:r w:rsidRPr="009558E6">
        <w:rPr>
          <w:rFonts w:asciiTheme="majorHAnsi" w:hAnsiTheme="majorHAnsi"/>
          <w:sz w:val="20"/>
          <w:szCs w:val="20"/>
        </w:rPr>
        <w:t>B</w:t>
      </w:r>
      <w:r w:rsidRPr="009558E6">
        <w:rPr>
          <w:rFonts w:asciiTheme="majorHAnsi" w:hAnsiTheme="majorHAnsi"/>
          <w:smallCaps/>
          <w:sz w:val="20"/>
          <w:szCs w:val="20"/>
          <w:vertAlign w:val="subscript"/>
        </w:rPr>
        <w:t>seuil</w:t>
      </w:r>
      <w:r w:rsidRPr="009558E6">
        <w:rPr>
          <w:rFonts w:asciiTheme="majorHAnsi" w:hAnsiTheme="majorHAnsi"/>
          <w:sz w:val="20"/>
          <w:szCs w:val="20"/>
        </w:rPr>
        <w:t xml:space="preserve"> = (0,8; </w:t>
      </w:r>
      <w:r w:rsidRPr="009558E6">
        <w:rPr>
          <w:rFonts w:asciiTheme="majorHAnsi" w:hAnsiTheme="majorHAnsi"/>
          <w:bCs/>
          <w:sz w:val="20"/>
          <w:szCs w:val="20"/>
        </w:rPr>
        <w:t>0,9</w:t>
      </w:r>
      <w:r w:rsidRPr="009558E6">
        <w:rPr>
          <w:rFonts w:asciiTheme="majorHAnsi" w:hAnsiTheme="majorHAnsi"/>
          <w:sz w:val="20"/>
          <w:szCs w:val="20"/>
        </w:rPr>
        <w:t xml:space="preserve">; 1,0; </w:t>
      </w:r>
      <w:r w:rsidRPr="009558E6">
        <w:rPr>
          <w:rFonts w:asciiTheme="majorHAnsi" w:hAnsiTheme="majorHAnsi"/>
          <w:bCs/>
          <w:sz w:val="20"/>
          <w:szCs w:val="20"/>
        </w:rPr>
        <w:t>1,1</w:t>
      </w:r>
      <w:r w:rsidRPr="009558E6">
        <w:rPr>
          <w:rFonts w:asciiTheme="majorHAnsi" w:hAnsiTheme="majorHAnsi"/>
          <w:sz w:val="20"/>
          <w:szCs w:val="20"/>
        </w:rPr>
        <w:t xml:space="preserve">; </w:t>
      </w:r>
      <w:r w:rsidRPr="009558E6">
        <w:rPr>
          <w:rFonts w:asciiTheme="majorHAnsi" w:hAnsiTheme="majorHAnsi"/>
          <w:bCs/>
          <w:sz w:val="20"/>
          <w:szCs w:val="20"/>
        </w:rPr>
        <w:t>1,2)</w:t>
      </w:r>
      <w:r w:rsidRPr="009558E6">
        <w:rPr>
          <w:rFonts w:asciiTheme="majorHAnsi" w:hAnsiTheme="majorHAnsi"/>
          <w:sz w:val="20"/>
          <w:szCs w:val="20"/>
        </w:rPr>
        <w:t xml:space="preserve"> * B</w:t>
      </w:r>
      <w:r w:rsidR="0032242F" w:rsidRPr="009558E6">
        <w:rPr>
          <w:rFonts w:asciiTheme="majorHAnsi" w:hAnsiTheme="majorHAnsi"/>
          <w:sz w:val="20"/>
          <w:szCs w:val="20"/>
          <w:vertAlign w:val="subscript"/>
        </w:rPr>
        <w:t>PME</w:t>
      </w:r>
    </w:p>
    <w:p w14:paraId="4A7849AB" w14:textId="77777777" w:rsidR="00B575DD" w:rsidRPr="009558E6" w:rsidRDefault="00B575DD" w:rsidP="00B575DD">
      <w:pPr>
        <w:pStyle w:val="ListParagraph"/>
        <w:spacing w:after="0" w:line="240" w:lineRule="auto"/>
        <w:jc w:val="both"/>
        <w:rPr>
          <w:rFonts w:asciiTheme="majorHAnsi" w:hAnsiTheme="majorHAnsi"/>
          <w:sz w:val="20"/>
          <w:szCs w:val="20"/>
        </w:rPr>
      </w:pPr>
    </w:p>
    <w:p w14:paraId="03AEF8AC" w14:textId="77777777" w:rsidR="00B575DD" w:rsidRPr="009558E6" w:rsidRDefault="00B575DD" w:rsidP="0032242F">
      <w:pPr>
        <w:pStyle w:val="ListParagraph"/>
        <w:spacing w:after="0" w:line="240" w:lineRule="auto"/>
        <w:ind w:left="993"/>
        <w:jc w:val="both"/>
        <w:rPr>
          <w:rFonts w:asciiTheme="majorHAnsi" w:hAnsiTheme="majorHAnsi"/>
          <w:sz w:val="20"/>
          <w:szCs w:val="20"/>
        </w:rPr>
      </w:pPr>
      <w:r w:rsidRPr="009558E6">
        <w:rPr>
          <w:rFonts w:asciiTheme="majorHAnsi" w:hAnsiTheme="majorHAnsi"/>
          <w:sz w:val="20"/>
          <w:szCs w:val="20"/>
        </w:rPr>
        <w:t>Les autres paramètres de contrôle doivent rester tels qu'indiqués par la présente Recommandation.</w:t>
      </w:r>
    </w:p>
    <w:p w14:paraId="6A867FE6" w14:textId="77777777" w:rsidR="00B575DD" w:rsidRPr="009558E6" w:rsidRDefault="00B575DD" w:rsidP="00B575DD">
      <w:pPr>
        <w:pStyle w:val="ListParagraph"/>
        <w:autoSpaceDE w:val="0"/>
        <w:autoSpaceDN w:val="0"/>
        <w:adjustRightInd w:val="0"/>
        <w:spacing w:after="0" w:line="240" w:lineRule="auto"/>
        <w:ind w:left="1440"/>
        <w:jc w:val="both"/>
        <w:rPr>
          <w:rFonts w:asciiTheme="majorHAnsi" w:hAnsiTheme="majorHAnsi" w:cs="Cambria-Italic"/>
          <w:sz w:val="20"/>
          <w:szCs w:val="20"/>
        </w:rPr>
      </w:pPr>
    </w:p>
    <w:p w14:paraId="44E59B35" w14:textId="77777777" w:rsidR="00B575DD" w:rsidRPr="009558E6" w:rsidRDefault="00B575DD" w:rsidP="0032242F">
      <w:pPr>
        <w:pStyle w:val="ListParagraph"/>
        <w:numPr>
          <w:ilvl w:val="1"/>
          <w:numId w:val="35"/>
        </w:numPr>
        <w:tabs>
          <w:tab w:val="left" w:pos="1276"/>
        </w:tabs>
        <w:autoSpaceDE w:val="0"/>
        <w:autoSpaceDN w:val="0"/>
        <w:adjustRightInd w:val="0"/>
        <w:spacing w:after="0" w:line="240" w:lineRule="auto"/>
        <w:ind w:left="993" w:hanging="502"/>
        <w:jc w:val="both"/>
        <w:rPr>
          <w:rFonts w:asciiTheme="majorHAnsi" w:hAnsiTheme="majorHAnsi" w:cs="Cambria-Italic"/>
          <w:sz w:val="20"/>
          <w:szCs w:val="20"/>
        </w:rPr>
      </w:pPr>
      <w:r w:rsidRPr="009558E6">
        <w:rPr>
          <w:rFonts w:asciiTheme="majorHAnsi" w:hAnsiTheme="majorHAnsi"/>
          <w:sz w:val="20"/>
          <w:szCs w:val="20"/>
        </w:rPr>
        <w:t>évaluer le nombre de séries de capture par unité d'effort (CPUE) qui doivent être disponibles et le pourcentage de sous-déclaration des données de capture qui déclencherait l'apparition d'une circonstance exceptionnelle.</w:t>
      </w:r>
    </w:p>
    <w:p w14:paraId="37801560" w14:textId="77777777" w:rsidR="00B575DD" w:rsidRPr="009558E6" w:rsidRDefault="00B575DD" w:rsidP="00B575DD">
      <w:pPr>
        <w:pStyle w:val="ListParagraph"/>
        <w:autoSpaceDE w:val="0"/>
        <w:autoSpaceDN w:val="0"/>
        <w:adjustRightInd w:val="0"/>
        <w:spacing w:after="0" w:line="240" w:lineRule="auto"/>
        <w:ind w:left="1440"/>
        <w:jc w:val="both"/>
        <w:rPr>
          <w:rFonts w:asciiTheme="majorHAnsi" w:hAnsiTheme="majorHAnsi" w:cs="Cambria-Italic"/>
          <w:sz w:val="20"/>
          <w:szCs w:val="20"/>
        </w:rPr>
      </w:pPr>
    </w:p>
    <w:p w14:paraId="47C0C48A" w14:textId="38C4CD98" w:rsidR="00B575DD" w:rsidRPr="009558E6" w:rsidRDefault="00B575DD" w:rsidP="00B575DD">
      <w:pPr>
        <w:spacing w:after="0" w:line="240" w:lineRule="auto"/>
        <w:ind w:left="426" w:hanging="426"/>
        <w:jc w:val="both"/>
        <w:rPr>
          <w:rFonts w:asciiTheme="majorHAnsi" w:hAnsiTheme="majorHAnsi"/>
          <w:bCs/>
          <w:sz w:val="20"/>
          <w:szCs w:val="20"/>
        </w:rPr>
      </w:pPr>
      <w:r w:rsidRPr="009558E6">
        <w:rPr>
          <w:rFonts w:asciiTheme="majorHAnsi" w:hAnsiTheme="majorHAnsi"/>
          <w:sz w:val="20"/>
          <w:szCs w:val="20"/>
        </w:rPr>
        <w:t>15.</w:t>
      </w:r>
      <w:r w:rsidRPr="009558E6">
        <w:rPr>
          <w:rFonts w:asciiTheme="majorHAnsi" w:hAnsiTheme="majorHAnsi"/>
          <w:sz w:val="20"/>
          <w:szCs w:val="20"/>
        </w:rPr>
        <w:tab/>
        <w:t>Lorsqu'il conseillera la Commission sur les résultats des tests demandés au paragraphe 14, points a) et b), le SCRS devra fournir des statistiques de performance afin de soutenir la prise de décision, conformément aux indicateurs de performance de l'</w:t>
      </w:r>
      <w:r w:rsidR="00061893" w:rsidRPr="009558E6">
        <w:rPr>
          <w:rFonts w:asciiTheme="majorHAnsi" w:hAnsiTheme="majorHAnsi"/>
          <w:b/>
          <w:bCs/>
          <w:sz w:val="20"/>
          <w:szCs w:val="20"/>
        </w:rPr>
        <w:t>a</w:t>
      </w:r>
      <w:r w:rsidRPr="009558E6">
        <w:rPr>
          <w:rFonts w:asciiTheme="majorHAnsi" w:hAnsiTheme="majorHAnsi"/>
          <w:b/>
          <w:bCs/>
          <w:sz w:val="20"/>
          <w:szCs w:val="20"/>
        </w:rPr>
        <w:t xml:space="preserve">nnexe </w:t>
      </w:r>
      <w:r w:rsidR="004721D7" w:rsidRPr="009558E6">
        <w:rPr>
          <w:rFonts w:asciiTheme="majorHAnsi" w:hAnsiTheme="majorHAnsi"/>
          <w:b/>
          <w:bCs/>
          <w:sz w:val="20"/>
          <w:szCs w:val="20"/>
        </w:rPr>
        <w:t>4</w:t>
      </w:r>
      <w:r w:rsidRPr="009558E6">
        <w:rPr>
          <w:rFonts w:asciiTheme="majorHAnsi" w:hAnsiTheme="majorHAnsi"/>
          <w:sz w:val="20"/>
          <w:szCs w:val="20"/>
        </w:rPr>
        <w:t>.</w:t>
      </w:r>
      <w:r w:rsidRPr="009558E6">
        <w:rPr>
          <w:rFonts w:asciiTheme="majorHAnsi" w:hAnsiTheme="majorHAnsi"/>
          <w:b/>
          <w:bCs/>
          <w:sz w:val="20"/>
          <w:szCs w:val="20"/>
        </w:rPr>
        <w:t xml:space="preserve"> </w:t>
      </w:r>
      <w:r w:rsidRPr="009558E6">
        <w:rPr>
          <w:rFonts w:asciiTheme="majorHAnsi" w:hAnsiTheme="majorHAnsi"/>
          <w:bCs/>
          <w:sz w:val="20"/>
          <w:szCs w:val="20"/>
        </w:rPr>
        <w:t xml:space="preserve">Si nécessaire, pour faciliter la communication, le SCRS pourra limiter la présentation aux paramètres soulignés ici. </w:t>
      </w:r>
    </w:p>
    <w:p w14:paraId="4940B29B" w14:textId="77777777" w:rsidR="00B575DD" w:rsidRPr="009558E6" w:rsidRDefault="00B575DD" w:rsidP="00B575DD">
      <w:pPr>
        <w:pStyle w:val="ListParagraph"/>
        <w:spacing w:after="0" w:line="240" w:lineRule="auto"/>
        <w:ind w:left="426" w:hanging="426"/>
        <w:rPr>
          <w:rFonts w:asciiTheme="majorHAnsi" w:hAnsiTheme="majorHAnsi"/>
          <w:sz w:val="20"/>
          <w:szCs w:val="20"/>
        </w:rPr>
      </w:pPr>
    </w:p>
    <w:p w14:paraId="5210C14B" w14:textId="3649F1E8" w:rsidR="00B575DD" w:rsidRPr="009558E6" w:rsidRDefault="00B575DD" w:rsidP="00B575DD">
      <w:pPr>
        <w:pStyle w:val="ListParagraph"/>
        <w:numPr>
          <w:ilvl w:val="0"/>
          <w:numId w:val="38"/>
        </w:numPr>
        <w:spacing w:after="0" w:line="240" w:lineRule="auto"/>
        <w:ind w:left="426" w:hanging="426"/>
        <w:jc w:val="both"/>
        <w:rPr>
          <w:rFonts w:asciiTheme="majorHAnsi" w:hAnsiTheme="majorHAnsi"/>
          <w:sz w:val="20"/>
          <w:szCs w:val="20"/>
        </w:rPr>
      </w:pPr>
      <w:r w:rsidRPr="009558E6">
        <w:rPr>
          <w:rFonts w:asciiTheme="majorHAnsi" w:hAnsiTheme="majorHAnsi"/>
          <w:sz w:val="20"/>
          <w:szCs w:val="20"/>
        </w:rPr>
        <w:lastRenderedPageBreak/>
        <w:t>En 2023, la Commission devrait revoir la MP établie par la présente Recommandation afin de déterminer s’il s’avère nécessaire de la réviser, y compris la HCR spécifiée à l'</w:t>
      </w:r>
      <w:r w:rsidR="00061893" w:rsidRPr="009558E6">
        <w:rPr>
          <w:rFonts w:asciiTheme="majorHAnsi" w:hAnsiTheme="majorHAnsi"/>
          <w:b/>
          <w:bCs/>
          <w:sz w:val="20"/>
          <w:szCs w:val="20"/>
        </w:rPr>
        <w:t>a</w:t>
      </w:r>
      <w:r w:rsidRPr="009558E6">
        <w:rPr>
          <w:rFonts w:asciiTheme="majorHAnsi" w:hAnsiTheme="majorHAnsi"/>
          <w:b/>
          <w:bCs/>
          <w:sz w:val="20"/>
          <w:szCs w:val="20"/>
        </w:rPr>
        <w:t xml:space="preserve">nnexe </w:t>
      </w:r>
      <w:r w:rsidR="009F38EF" w:rsidRPr="009558E6">
        <w:rPr>
          <w:rFonts w:asciiTheme="majorHAnsi" w:hAnsiTheme="majorHAnsi"/>
          <w:b/>
          <w:bCs/>
          <w:sz w:val="20"/>
          <w:szCs w:val="20"/>
        </w:rPr>
        <w:t>1</w:t>
      </w:r>
      <w:r w:rsidRPr="009558E6">
        <w:rPr>
          <w:rFonts w:asciiTheme="majorHAnsi" w:hAnsiTheme="majorHAnsi"/>
          <w:sz w:val="20"/>
          <w:szCs w:val="20"/>
        </w:rPr>
        <w:t xml:space="preserve">, en tenant compte des analyses réalisées par le SCRS conformément aux paragraphes 14 et 15. </w:t>
      </w:r>
    </w:p>
    <w:p w14:paraId="67D4440B" w14:textId="77777777" w:rsidR="00B575DD" w:rsidRPr="009558E6" w:rsidRDefault="00B575DD" w:rsidP="00B575DD">
      <w:pPr>
        <w:pStyle w:val="ListParagraph"/>
        <w:spacing w:after="0" w:line="240" w:lineRule="auto"/>
        <w:ind w:left="426"/>
        <w:jc w:val="both"/>
        <w:rPr>
          <w:rFonts w:asciiTheme="majorHAnsi" w:hAnsiTheme="majorHAnsi"/>
          <w:sz w:val="20"/>
          <w:szCs w:val="20"/>
        </w:rPr>
      </w:pPr>
    </w:p>
    <w:p w14:paraId="5543461E" w14:textId="3C81A731" w:rsidR="00B575DD" w:rsidRPr="009558E6" w:rsidRDefault="00B575DD" w:rsidP="00B575DD">
      <w:pPr>
        <w:spacing w:after="0" w:line="240" w:lineRule="auto"/>
        <w:ind w:left="426" w:hanging="426"/>
        <w:jc w:val="both"/>
        <w:rPr>
          <w:rFonts w:asciiTheme="majorHAnsi" w:hAnsiTheme="majorHAnsi"/>
          <w:sz w:val="20"/>
          <w:szCs w:val="20"/>
        </w:rPr>
      </w:pPr>
      <w:r w:rsidRPr="009558E6">
        <w:rPr>
          <w:rFonts w:asciiTheme="majorHAnsi" w:hAnsiTheme="majorHAnsi"/>
          <w:sz w:val="20"/>
          <w:szCs w:val="20"/>
        </w:rPr>
        <w:t>17.</w:t>
      </w:r>
      <w:r w:rsidRPr="009558E6">
        <w:rPr>
          <w:rFonts w:asciiTheme="majorHAnsi" w:hAnsiTheme="majorHAnsi"/>
          <w:sz w:val="20"/>
          <w:szCs w:val="20"/>
        </w:rPr>
        <w:tab/>
        <w:t>À partir de la période de gestion 2024-2026, la Commission devra adopter un TAC annuel constant sur</w:t>
      </w:r>
      <w:r w:rsidR="009F38EF" w:rsidRPr="009558E6">
        <w:rPr>
          <w:rFonts w:asciiTheme="majorHAnsi" w:hAnsiTheme="majorHAnsi"/>
          <w:sz w:val="20"/>
          <w:szCs w:val="20"/>
        </w:rPr>
        <w:t xml:space="preserve"> trois</w:t>
      </w:r>
      <w:r w:rsidRPr="009558E6">
        <w:rPr>
          <w:rFonts w:asciiTheme="majorHAnsi" w:hAnsiTheme="majorHAnsi"/>
          <w:sz w:val="20"/>
          <w:szCs w:val="20"/>
        </w:rPr>
        <w:t xml:space="preserve"> ans. Ce TAC devra être fondé sur l'application de la MP actuelle ou, éventuellement, d</w:t>
      </w:r>
      <w:r w:rsidR="00D67C1F" w:rsidRPr="009558E6">
        <w:rPr>
          <w:rFonts w:asciiTheme="majorHAnsi" w:hAnsiTheme="majorHAnsi"/>
          <w:sz w:val="20"/>
          <w:szCs w:val="20"/>
        </w:rPr>
        <w:t>’</w:t>
      </w:r>
      <w:r w:rsidRPr="009558E6">
        <w:rPr>
          <w:rFonts w:asciiTheme="majorHAnsi" w:hAnsiTheme="majorHAnsi"/>
          <w:sz w:val="20"/>
          <w:szCs w:val="20"/>
        </w:rPr>
        <w:t>une MP modifiée conformément au paragraphe 16, à moins que d'autres mesures ne soient requises conformément au protocole relatif aux circonstances exceptionnelles (</w:t>
      </w:r>
      <w:r w:rsidRPr="009558E6">
        <w:rPr>
          <w:rFonts w:asciiTheme="majorHAnsi" w:hAnsiTheme="majorHAnsi"/>
          <w:b/>
          <w:bCs/>
          <w:sz w:val="20"/>
          <w:szCs w:val="20"/>
        </w:rPr>
        <w:t xml:space="preserve">annexe </w:t>
      </w:r>
      <w:r w:rsidR="006D7816" w:rsidRPr="009558E6">
        <w:rPr>
          <w:rFonts w:asciiTheme="majorHAnsi" w:hAnsiTheme="majorHAnsi"/>
          <w:b/>
          <w:bCs/>
          <w:sz w:val="20"/>
          <w:szCs w:val="20"/>
        </w:rPr>
        <w:t>2</w:t>
      </w:r>
      <w:r w:rsidRPr="009558E6">
        <w:rPr>
          <w:rFonts w:asciiTheme="majorHAnsi" w:hAnsiTheme="majorHAnsi"/>
          <w:sz w:val="20"/>
          <w:szCs w:val="20"/>
        </w:rPr>
        <w:t>), comme indiqué au paragraphe 4.</w:t>
      </w:r>
    </w:p>
    <w:p w14:paraId="10E5CADD" w14:textId="77777777" w:rsidR="00B575DD" w:rsidRPr="009558E6" w:rsidRDefault="00B575DD" w:rsidP="00B575DD">
      <w:pPr>
        <w:pStyle w:val="ListParagraph"/>
        <w:spacing w:after="0" w:line="240" w:lineRule="auto"/>
        <w:ind w:left="426" w:hanging="426"/>
        <w:jc w:val="both"/>
        <w:rPr>
          <w:rFonts w:asciiTheme="majorHAnsi" w:hAnsiTheme="majorHAnsi"/>
          <w:sz w:val="20"/>
          <w:szCs w:val="20"/>
        </w:rPr>
      </w:pPr>
    </w:p>
    <w:p w14:paraId="5AA42B38" w14:textId="2DACA606" w:rsidR="00B575DD" w:rsidRPr="009558E6" w:rsidRDefault="00B575DD" w:rsidP="00B575DD">
      <w:pPr>
        <w:spacing w:after="0" w:line="240" w:lineRule="auto"/>
        <w:ind w:left="426" w:hanging="426"/>
        <w:jc w:val="both"/>
        <w:rPr>
          <w:rFonts w:asciiTheme="majorHAnsi" w:hAnsiTheme="majorHAnsi"/>
          <w:sz w:val="20"/>
          <w:szCs w:val="20"/>
        </w:rPr>
      </w:pPr>
      <w:r w:rsidRPr="009558E6">
        <w:rPr>
          <w:rFonts w:asciiTheme="majorHAnsi" w:hAnsiTheme="majorHAnsi"/>
          <w:sz w:val="20"/>
          <w:szCs w:val="20"/>
        </w:rPr>
        <w:t>18.</w:t>
      </w:r>
      <w:r w:rsidRPr="009558E6">
        <w:rPr>
          <w:rFonts w:asciiTheme="majorHAnsi" w:hAnsiTheme="majorHAnsi"/>
          <w:sz w:val="20"/>
          <w:szCs w:val="20"/>
        </w:rPr>
        <w:tab/>
        <w:t>Le SCRS devra poursuivre le développement d'un nouveau cadre de MSE afin de soutenir l’éventuelle adoption d’une nouvelle MP par la Commission au plus tard en 2026 et de l’établissement d'un TAC pour la période de gestion 2027-2030.</w:t>
      </w:r>
    </w:p>
    <w:p w14:paraId="671AE041" w14:textId="77777777" w:rsidR="00B575DD" w:rsidRPr="009558E6" w:rsidRDefault="00B575DD" w:rsidP="00B575DD">
      <w:pPr>
        <w:spacing w:after="0" w:line="240" w:lineRule="auto"/>
        <w:ind w:left="426"/>
        <w:jc w:val="both"/>
        <w:rPr>
          <w:rFonts w:asciiTheme="majorHAnsi" w:hAnsiTheme="majorHAnsi"/>
          <w:sz w:val="20"/>
          <w:szCs w:val="20"/>
        </w:rPr>
      </w:pPr>
    </w:p>
    <w:p w14:paraId="0D1A0072" w14:textId="30A8658A" w:rsidR="00B575DD" w:rsidRPr="009558E6" w:rsidRDefault="00B575DD" w:rsidP="00B575DD">
      <w:pPr>
        <w:spacing w:after="0" w:line="240" w:lineRule="auto"/>
        <w:ind w:left="426"/>
        <w:jc w:val="both"/>
        <w:rPr>
          <w:rFonts w:asciiTheme="majorHAnsi" w:hAnsiTheme="majorHAnsi"/>
          <w:sz w:val="20"/>
          <w:szCs w:val="20"/>
        </w:rPr>
      </w:pPr>
      <w:r w:rsidRPr="009558E6">
        <w:rPr>
          <w:rFonts w:asciiTheme="majorHAnsi" w:hAnsiTheme="majorHAnsi"/>
          <w:sz w:val="20"/>
          <w:szCs w:val="20"/>
        </w:rPr>
        <w:t>À cet égard, il est également demandé au SCRS d'explorer la possibilité de définir des indices de CPUE supplémentaires potentiels, afin de compléter ceux déclarés à l'</w:t>
      </w:r>
      <w:r w:rsidR="005E6377" w:rsidRPr="009558E6">
        <w:rPr>
          <w:rFonts w:asciiTheme="majorHAnsi" w:hAnsiTheme="majorHAnsi"/>
          <w:b/>
          <w:bCs/>
          <w:sz w:val="20"/>
          <w:szCs w:val="20"/>
        </w:rPr>
        <w:t>a</w:t>
      </w:r>
      <w:r w:rsidRPr="009558E6">
        <w:rPr>
          <w:rFonts w:asciiTheme="majorHAnsi" w:hAnsiTheme="majorHAnsi"/>
          <w:b/>
          <w:bCs/>
          <w:sz w:val="20"/>
          <w:szCs w:val="20"/>
        </w:rPr>
        <w:t xml:space="preserve">ppendice A de </w:t>
      </w:r>
      <w:r w:rsidRPr="009558E6">
        <w:rPr>
          <w:rFonts w:asciiTheme="majorHAnsi" w:hAnsiTheme="majorHAnsi"/>
          <w:sz w:val="20"/>
          <w:szCs w:val="20"/>
        </w:rPr>
        <w:t>l'</w:t>
      </w:r>
      <w:r w:rsidR="00061893" w:rsidRPr="009558E6">
        <w:rPr>
          <w:rFonts w:asciiTheme="majorHAnsi" w:hAnsiTheme="majorHAnsi"/>
          <w:b/>
          <w:bCs/>
          <w:sz w:val="20"/>
          <w:szCs w:val="20"/>
        </w:rPr>
        <w:t>a</w:t>
      </w:r>
      <w:r w:rsidRPr="009558E6">
        <w:rPr>
          <w:rFonts w:asciiTheme="majorHAnsi" w:hAnsiTheme="majorHAnsi"/>
          <w:b/>
          <w:bCs/>
          <w:sz w:val="20"/>
          <w:szCs w:val="20"/>
        </w:rPr>
        <w:t xml:space="preserve">nnexe </w:t>
      </w:r>
      <w:r w:rsidR="005E6377" w:rsidRPr="009558E6">
        <w:rPr>
          <w:rFonts w:asciiTheme="majorHAnsi" w:hAnsiTheme="majorHAnsi"/>
          <w:b/>
          <w:bCs/>
          <w:sz w:val="20"/>
          <w:szCs w:val="20"/>
        </w:rPr>
        <w:t>1</w:t>
      </w:r>
      <w:r w:rsidRPr="009558E6">
        <w:rPr>
          <w:rFonts w:asciiTheme="majorHAnsi" w:hAnsiTheme="majorHAnsi"/>
          <w:sz w:val="20"/>
          <w:szCs w:val="20"/>
        </w:rPr>
        <w:t>, ainsi que d'émettre un avis sur la façon dont les éventuels changements environnementaux seront pris en compte dans le développement de ce cadre.</w:t>
      </w:r>
    </w:p>
    <w:p w14:paraId="7D75AA71" w14:textId="77777777" w:rsidR="00B651A1" w:rsidRPr="009558E6" w:rsidRDefault="00B651A1" w:rsidP="0035431C">
      <w:pPr>
        <w:pStyle w:val="ListParagraph"/>
        <w:spacing w:after="0" w:line="240" w:lineRule="auto"/>
        <w:jc w:val="both"/>
        <w:rPr>
          <w:rFonts w:asciiTheme="majorHAnsi" w:hAnsiTheme="majorHAnsi"/>
          <w:sz w:val="20"/>
          <w:szCs w:val="20"/>
        </w:rPr>
      </w:pPr>
    </w:p>
    <w:p w14:paraId="1AF03581" w14:textId="11A1A191" w:rsidR="006F330B" w:rsidRPr="009558E6" w:rsidRDefault="003379C1" w:rsidP="003379C1">
      <w:pPr>
        <w:spacing w:after="0" w:line="240" w:lineRule="auto"/>
        <w:ind w:left="426" w:hanging="426"/>
        <w:jc w:val="both"/>
        <w:rPr>
          <w:rFonts w:asciiTheme="majorHAnsi" w:hAnsiTheme="majorHAnsi"/>
          <w:sz w:val="20"/>
          <w:szCs w:val="20"/>
        </w:rPr>
      </w:pPr>
      <w:r w:rsidRPr="009558E6">
        <w:rPr>
          <w:rFonts w:asciiTheme="majorHAnsi" w:hAnsiTheme="majorHAnsi"/>
          <w:sz w:val="20"/>
          <w:szCs w:val="20"/>
        </w:rPr>
        <w:t>19.</w:t>
      </w:r>
      <w:r w:rsidRPr="009558E6">
        <w:rPr>
          <w:rFonts w:asciiTheme="majorHAnsi" w:hAnsiTheme="majorHAnsi"/>
          <w:sz w:val="20"/>
          <w:szCs w:val="20"/>
        </w:rPr>
        <w:tab/>
      </w:r>
      <w:r w:rsidR="0054057C" w:rsidRPr="009558E6">
        <w:rPr>
          <w:rFonts w:asciiTheme="majorHAnsi" w:hAnsiTheme="majorHAnsi"/>
          <w:sz w:val="20"/>
          <w:szCs w:val="20"/>
        </w:rPr>
        <w:t xml:space="preserve">La présente Recommandation </w:t>
      </w:r>
      <w:r w:rsidR="00A848A8" w:rsidRPr="009558E6">
        <w:rPr>
          <w:rFonts w:asciiTheme="majorHAnsi" w:hAnsiTheme="majorHAnsi"/>
          <w:sz w:val="20"/>
          <w:szCs w:val="20"/>
        </w:rPr>
        <w:t xml:space="preserve">abroge et </w:t>
      </w:r>
      <w:r w:rsidR="0054057C" w:rsidRPr="009558E6">
        <w:rPr>
          <w:rFonts w:asciiTheme="majorHAnsi" w:hAnsiTheme="majorHAnsi"/>
          <w:sz w:val="20"/>
          <w:szCs w:val="20"/>
        </w:rPr>
        <w:t>remplace</w:t>
      </w:r>
      <w:r w:rsidRPr="009558E6">
        <w:rPr>
          <w:rFonts w:asciiTheme="majorHAnsi" w:hAnsiTheme="majorHAnsi"/>
          <w:sz w:val="20"/>
          <w:szCs w:val="20"/>
        </w:rPr>
        <w:t> :</w:t>
      </w:r>
    </w:p>
    <w:p w14:paraId="64F403E2" w14:textId="77777777" w:rsidR="003379C1" w:rsidRPr="009558E6" w:rsidRDefault="003379C1" w:rsidP="003379C1">
      <w:pPr>
        <w:spacing w:after="0" w:line="240" w:lineRule="auto"/>
        <w:ind w:left="426" w:hanging="426"/>
        <w:jc w:val="both"/>
        <w:rPr>
          <w:rFonts w:asciiTheme="majorHAnsi" w:hAnsiTheme="majorHAnsi" w:cs="Cambria-Italic"/>
          <w:sz w:val="20"/>
          <w:szCs w:val="20"/>
        </w:rPr>
      </w:pPr>
    </w:p>
    <w:p w14:paraId="7A89BBCE" w14:textId="77777777" w:rsidR="006F330B" w:rsidRPr="009558E6" w:rsidRDefault="0054057C" w:rsidP="003379C1">
      <w:pPr>
        <w:pStyle w:val="ListParagraph"/>
        <w:numPr>
          <w:ilvl w:val="0"/>
          <w:numId w:val="27"/>
        </w:numPr>
        <w:autoSpaceDE w:val="0"/>
        <w:autoSpaceDN w:val="0"/>
        <w:adjustRightInd w:val="0"/>
        <w:spacing w:after="0" w:line="240" w:lineRule="auto"/>
        <w:ind w:left="851" w:hanging="425"/>
        <w:jc w:val="both"/>
        <w:rPr>
          <w:rFonts w:asciiTheme="majorHAnsi" w:hAnsiTheme="majorHAnsi" w:cs="Cambria-Italic"/>
          <w:sz w:val="20"/>
          <w:szCs w:val="20"/>
        </w:rPr>
      </w:pPr>
      <w:r w:rsidRPr="009558E6">
        <w:rPr>
          <w:rFonts w:asciiTheme="majorHAnsi" w:hAnsiTheme="majorHAnsi"/>
          <w:sz w:val="20"/>
          <w:szCs w:val="20"/>
        </w:rPr>
        <w:t xml:space="preserve">la </w:t>
      </w:r>
      <w:r w:rsidRPr="009558E6">
        <w:rPr>
          <w:rFonts w:asciiTheme="majorHAnsi" w:hAnsiTheme="majorHAnsi"/>
          <w:i/>
          <w:iCs/>
          <w:sz w:val="20"/>
          <w:szCs w:val="20"/>
        </w:rPr>
        <w:t>Recommandation de l’ICCAT sur un programme pluriannuel de conservation et de gestion pour le germon de l'Atlantique Nord</w:t>
      </w:r>
      <w:r w:rsidRPr="009558E6">
        <w:rPr>
          <w:rFonts w:asciiTheme="majorHAnsi" w:hAnsiTheme="majorHAnsi"/>
          <w:sz w:val="20"/>
          <w:szCs w:val="20"/>
        </w:rPr>
        <w:t xml:space="preserve"> (Rec. 16-06), </w:t>
      </w:r>
    </w:p>
    <w:p w14:paraId="68A6F7A7" w14:textId="77777777" w:rsidR="006F330B" w:rsidRPr="009558E6" w:rsidRDefault="0054057C" w:rsidP="003379C1">
      <w:pPr>
        <w:pStyle w:val="ListParagraph"/>
        <w:numPr>
          <w:ilvl w:val="0"/>
          <w:numId w:val="27"/>
        </w:numPr>
        <w:autoSpaceDE w:val="0"/>
        <w:autoSpaceDN w:val="0"/>
        <w:adjustRightInd w:val="0"/>
        <w:spacing w:after="0" w:line="240" w:lineRule="auto"/>
        <w:ind w:left="851" w:hanging="425"/>
        <w:jc w:val="both"/>
        <w:rPr>
          <w:rFonts w:asciiTheme="majorHAnsi" w:hAnsiTheme="majorHAnsi" w:cs="Cambria-Italic"/>
          <w:sz w:val="20"/>
          <w:szCs w:val="20"/>
        </w:rPr>
      </w:pPr>
      <w:r w:rsidRPr="009558E6">
        <w:rPr>
          <w:rFonts w:asciiTheme="majorHAnsi" w:hAnsiTheme="majorHAnsi"/>
          <w:sz w:val="20"/>
          <w:szCs w:val="20"/>
        </w:rPr>
        <w:t xml:space="preserve">la </w:t>
      </w:r>
      <w:r w:rsidRPr="009558E6">
        <w:rPr>
          <w:rFonts w:asciiTheme="majorHAnsi" w:hAnsiTheme="majorHAnsi"/>
          <w:i/>
          <w:iCs/>
          <w:sz w:val="20"/>
          <w:szCs w:val="20"/>
        </w:rPr>
        <w:t>Recommandation de l’ICCAT sur une règle de contrôle de l’exploitation pour le germon de l’Atlantique Nord complétant le programme pluriannuel de conservation et de gestion de la Rec. 16-06</w:t>
      </w:r>
      <w:r w:rsidRPr="009558E6">
        <w:rPr>
          <w:rFonts w:asciiTheme="majorHAnsi" w:hAnsiTheme="majorHAnsi"/>
          <w:sz w:val="20"/>
          <w:szCs w:val="20"/>
        </w:rPr>
        <w:t xml:space="preserve"> (Rec. 17-04), </w:t>
      </w:r>
    </w:p>
    <w:p w14:paraId="5546FA54" w14:textId="476C45F5" w:rsidR="006F330B" w:rsidRPr="009558E6" w:rsidRDefault="002459AB" w:rsidP="003379C1">
      <w:pPr>
        <w:pStyle w:val="ListParagraph"/>
        <w:numPr>
          <w:ilvl w:val="0"/>
          <w:numId w:val="27"/>
        </w:numPr>
        <w:autoSpaceDE w:val="0"/>
        <w:autoSpaceDN w:val="0"/>
        <w:adjustRightInd w:val="0"/>
        <w:spacing w:after="0" w:line="240" w:lineRule="auto"/>
        <w:ind w:left="851" w:hanging="425"/>
        <w:jc w:val="both"/>
        <w:rPr>
          <w:rFonts w:asciiTheme="majorHAnsi" w:hAnsiTheme="majorHAnsi" w:cs="Cambria-Italic"/>
          <w:sz w:val="20"/>
          <w:szCs w:val="20"/>
        </w:rPr>
      </w:pPr>
      <w:r w:rsidRPr="009558E6">
        <w:rPr>
          <w:rFonts w:asciiTheme="majorHAnsi" w:hAnsiTheme="majorHAnsi"/>
          <w:sz w:val="20"/>
          <w:szCs w:val="20"/>
        </w:rPr>
        <w:t xml:space="preserve">la </w:t>
      </w:r>
      <w:r w:rsidRPr="009558E6">
        <w:rPr>
          <w:rFonts w:asciiTheme="majorHAnsi" w:hAnsiTheme="majorHAnsi"/>
          <w:i/>
          <w:iCs/>
          <w:sz w:val="20"/>
          <w:szCs w:val="20"/>
        </w:rPr>
        <w:t>Recommandation de l’ICCAT amendant la Recommandation 16-06 sur un programme pluriannuel de conservation et de gestion pour le germon de l'Atlantique Nord</w:t>
      </w:r>
      <w:r w:rsidRPr="009558E6">
        <w:rPr>
          <w:rFonts w:asciiTheme="majorHAnsi" w:hAnsiTheme="majorHAnsi"/>
          <w:sz w:val="20"/>
          <w:szCs w:val="20"/>
        </w:rPr>
        <w:t xml:space="preserve"> (Rec. 20-03)</w:t>
      </w:r>
      <w:r w:rsidR="008F3DF3" w:rsidRPr="009558E6">
        <w:rPr>
          <w:rFonts w:asciiTheme="majorHAnsi" w:hAnsiTheme="majorHAnsi"/>
          <w:sz w:val="20"/>
          <w:szCs w:val="20"/>
        </w:rPr>
        <w:t xml:space="preserve"> ; </w:t>
      </w:r>
      <w:r w:rsidR="003379C1" w:rsidRPr="009558E6">
        <w:rPr>
          <w:rFonts w:asciiTheme="majorHAnsi" w:hAnsiTheme="majorHAnsi"/>
          <w:sz w:val="20"/>
          <w:szCs w:val="20"/>
        </w:rPr>
        <w:t>et</w:t>
      </w:r>
    </w:p>
    <w:p w14:paraId="725E7A1D" w14:textId="4F541764" w:rsidR="00141744" w:rsidRPr="009558E6" w:rsidRDefault="00CD7E50" w:rsidP="003379C1">
      <w:pPr>
        <w:pStyle w:val="ListParagraph"/>
        <w:numPr>
          <w:ilvl w:val="0"/>
          <w:numId w:val="27"/>
        </w:numPr>
        <w:autoSpaceDE w:val="0"/>
        <w:autoSpaceDN w:val="0"/>
        <w:adjustRightInd w:val="0"/>
        <w:spacing w:after="0" w:line="240" w:lineRule="auto"/>
        <w:ind w:left="851" w:hanging="425"/>
        <w:jc w:val="both"/>
        <w:rPr>
          <w:rFonts w:asciiTheme="majorHAnsi" w:hAnsiTheme="majorHAnsi" w:cs="Cambria-Italic"/>
          <w:sz w:val="20"/>
          <w:szCs w:val="20"/>
        </w:rPr>
      </w:pPr>
      <w:r w:rsidRPr="009558E6">
        <w:rPr>
          <w:rFonts w:asciiTheme="majorHAnsi" w:hAnsiTheme="majorHAnsi"/>
          <w:sz w:val="20"/>
          <w:szCs w:val="20"/>
        </w:rPr>
        <w:t xml:space="preserve">la </w:t>
      </w:r>
      <w:r w:rsidRPr="009558E6">
        <w:rPr>
          <w:rFonts w:asciiTheme="majorHAnsi" w:hAnsiTheme="majorHAnsi"/>
          <w:i/>
          <w:iCs/>
          <w:sz w:val="20"/>
          <w:szCs w:val="20"/>
        </w:rPr>
        <w:t>Recommandation de l’ICCAT amendant la Recommandation 17-04 sur une règle de contrôle de l’exploitation pour le germon de l’Atlantique Nord complétant le programme pluriannuel de conservation et de gestion de la Rec. 16-06</w:t>
      </w:r>
      <w:r w:rsidRPr="009558E6">
        <w:rPr>
          <w:rFonts w:asciiTheme="majorHAnsi" w:hAnsiTheme="majorHAnsi"/>
          <w:sz w:val="20"/>
          <w:szCs w:val="20"/>
        </w:rPr>
        <w:t xml:space="preserve"> (Rec. 20-04).</w:t>
      </w:r>
    </w:p>
    <w:p w14:paraId="16A4D8A3" w14:textId="77777777" w:rsidR="000C5790" w:rsidRPr="009558E6" w:rsidRDefault="000C5790" w:rsidP="0035431C">
      <w:pPr>
        <w:pStyle w:val="ListParagraph"/>
        <w:autoSpaceDE w:val="0"/>
        <w:autoSpaceDN w:val="0"/>
        <w:adjustRightInd w:val="0"/>
        <w:spacing w:after="0" w:line="240" w:lineRule="auto"/>
        <w:ind w:left="1080"/>
        <w:jc w:val="both"/>
        <w:rPr>
          <w:rFonts w:asciiTheme="majorHAnsi" w:hAnsiTheme="majorHAnsi" w:cs="Cambria-Italic"/>
          <w:sz w:val="20"/>
          <w:szCs w:val="20"/>
        </w:rPr>
      </w:pPr>
    </w:p>
    <w:p w14:paraId="396E95BE" w14:textId="77777777" w:rsidR="00256E6A" w:rsidRPr="009558E6" w:rsidRDefault="00256E6A">
      <w:pPr>
        <w:rPr>
          <w:rFonts w:asciiTheme="majorHAnsi" w:hAnsiTheme="majorHAnsi"/>
          <w:b/>
          <w:sz w:val="20"/>
          <w:szCs w:val="20"/>
        </w:rPr>
      </w:pPr>
      <w:r w:rsidRPr="009558E6">
        <w:rPr>
          <w:rFonts w:asciiTheme="majorHAnsi" w:hAnsiTheme="majorHAnsi"/>
          <w:b/>
          <w:sz w:val="20"/>
          <w:szCs w:val="20"/>
        </w:rPr>
        <w:br w:type="page"/>
      </w:r>
    </w:p>
    <w:p w14:paraId="11D85809" w14:textId="2F2E36A3" w:rsidR="003379C1" w:rsidRPr="009558E6" w:rsidRDefault="003379C1" w:rsidP="003379C1">
      <w:pPr>
        <w:spacing w:after="0" w:line="240" w:lineRule="auto"/>
        <w:contextualSpacing/>
        <w:jc w:val="right"/>
        <w:rPr>
          <w:rFonts w:asciiTheme="majorHAnsi" w:hAnsiTheme="majorHAnsi"/>
          <w:b/>
          <w:sz w:val="20"/>
          <w:szCs w:val="20"/>
        </w:rPr>
      </w:pPr>
      <w:r w:rsidRPr="009558E6">
        <w:rPr>
          <w:rFonts w:asciiTheme="majorHAnsi" w:hAnsiTheme="majorHAnsi"/>
          <w:b/>
          <w:sz w:val="20"/>
          <w:szCs w:val="20"/>
        </w:rPr>
        <w:lastRenderedPageBreak/>
        <w:t xml:space="preserve">Annexe </w:t>
      </w:r>
      <w:r w:rsidR="00730BF6" w:rsidRPr="009558E6">
        <w:rPr>
          <w:rFonts w:asciiTheme="majorHAnsi" w:hAnsiTheme="majorHAnsi"/>
          <w:b/>
          <w:sz w:val="20"/>
          <w:szCs w:val="20"/>
        </w:rPr>
        <w:t>1</w:t>
      </w:r>
    </w:p>
    <w:p w14:paraId="6770F59C" w14:textId="77777777" w:rsidR="003379C1" w:rsidRPr="009558E6" w:rsidRDefault="003379C1" w:rsidP="0035431C">
      <w:pPr>
        <w:spacing w:after="0" w:line="240" w:lineRule="auto"/>
        <w:contextualSpacing/>
        <w:jc w:val="both"/>
        <w:rPr>
          <w:rFonts w:asciiTheme="majorHAnsi" w:hAnsiTheme="majorHAnsi"/>
          <w:b/>
          <w:sz w:val="20"/>
          <w:szCs w:val="20"/>
        </w:rPr>
      </w:pPr>
    </w:p>
    <w:p w14:paraId="50EC6320" w14:textId="7D8155D4" w:rsidR="00014AA4" w:rsidRPr="009558E6" w:rsidRDefault="001819A6" w:rsidP="003379C1">
      <w:pPr>
        <w:spacing w:after="0" w:line="240" w:lineRule="auto"/>
        <w:contextualSpacing/>
        <w:jc w:val="center"/>
        <w:rPr>
          <w:rFonts w:asciiTheme="majorHAnsi" w:hAnsiTheme="majorHAnsi"/>
          <w:b/>
          <w:bCs/>
          <w:sz w:val="20"/>
          <w:szCs w:val="20"/>
        </w:rPr>
      </w:pPr>
      <w:r w:rsidRPr="009558E6">
        <w:rPr>
          <w:rFonts w:asciiTheme="majorHAnsi" w:hAnsiTheme="majorHAnsi"/>
          <w:b/>
          <w:bCs/>
          <w:sz w:val="20"/>
          <w:szCs w:val="20"/>
        </w:rPr>
        <w:t>PROCEDURE DE GESTION (MP)</w:t>
      </w:r>
    </w:p>
    <w:p w14:paraId="31BE475E" w14:textId="77777777" w:rsidR="003379C1" w:rsidRPr="009558E6" w:rsidRDefault="003379C1" w:rsidP="003379C1">
      <w:pPr>
        <w:spacing w:after="0" w:line="240" w:lineRule="auto"/>
        <w:contextualSpacing/>
        <w:jc w:val="center"/>
        <w:rPr>
          <w:rFonts w:asciiTheme="majorHAnsi" w:hAnsiTheme="majorHAnsi" w:cs="Cambria-Italic"/>
          <w:b/>
          <w:sz w:val="20"/>
          <w:szCs w:val="20"/>
        </w:rPr>
      </w:pPr>
    </w:p>
    <w:p w14:paraId="704E5CD5" w14:textId="721C2E92" w:rsidR="00014AA4" w:rsidRPr="009558E6" w:rsidRDefault="00014AA4" w:rsidP="003379C1">
      <w:pPr>
        <w:pStyle w:val="ListParagraph"/>
        <w:numPr>
          <w:ilvl w:val="0"/>
          <w:numId w:val="34"/>
        </w:numPr>
        <w:autoSpaceDE w:val="0"/>
        <w:autoSpaceDN w:val="0"/>
        <w:adjustRightInd w:val="0"/>
        <w:spacing w:after="0" w:line="240" w:lineRule="auto"/>
        <w:ind w:left="426" w:hanging="426"/>
        <w:jc w:val="both"/>
        <w:rPr>
          <w:rFonts w:asciiTheme="majorHAnsi" w:hAnsiTheme="majorHAnsi" w:cs="Cambria"/>
          <w:sz w:val="20"/>
          <w:szCs w:val="20"/>
        </w:rPr>
      </w:pPr>
      <w:r w:rsidRPr="009558E6">
        <w:rPr>
          <w:rFonts w:asciiTheme="majorHAnsi" w:hAnsiTheme="majorHAnsi"/>
          <w:sz w:val="20"/>
          <w:szCs w:val="20"/>
        </w:rPr>
        <w:t xml:space="preserve">Aux fins de la MP pour le germon de l’Atlantique Nord, les points de référence </w:t>
      </w:r>
      <w:r w:rsidR="000D0A75" w:rsidRPr="009558E6">
        <w:rPr>
          <w:rFonts w:asciiTheme="majorHAnsi" w:hAnsiTheme="majorHAnsi"/>
          <w:sz w:val="20"/>
          <w:szCs w:val="20"/>
        </w:rPr>
        <w:t>suivants</w:t>
      </w:r>
      <w:r w:rsidR="00DA7810" w:rsidRPr="009558E6">
        <w:rPr>
          <w:rFonts w:asciiTheme="majorHAnsi" w:hAnsiTheme="majorHAnsi"/>
          <w:sz w:val="20"/>
          <w:szCs w:val="20"/>
        </w:rPr>
        <w:t xml:space="preserve"> </w:t>
      </w:r>
      <w:r w:rsidRPr="009558E6">
        <w:rPr>
          <w:rFonts w:asciiTheme="majorHAnsi" w:hAnsiTheme="majorHAnsi"/>
          <w:sz w:val="20"/>
          <w:szCs w:val="20"/>
        </w:rPr>
        <w:t xml:space="preserve">sont établis comme suit : </w:t>
      </w:r>
    </w:p>
    <w:p w14:paraId="06DA518B" w14:textId="77777777" w:rsidR="000D0A75" w:rsidRPr="009558E6" w:rsidRDefault="000D0A75" w:rsidP="000D0A75">
      <w:pPr>
        <w:pStyle w:val="ListParagraph"/>
        <w:autoSpaceDE w:val="0"/>
        <w:autoSpaceDN w:val="0"/>
        <w:adjustRightInd w:val="0"/>
        <w:spacing w:after="0" w:line="240" w:lineRule="auto"/>
        <w:ind w:left="426"/>
        <w:jc w:val="both"/>
        <w:rPr>
          <w:rFonts w:asciiTheme="majorHAnsi" w:hAnsiTheme="majorHAnsi" w:cs="Cambria"/>
          <w:sz w:val="20"/>
          <w:szCs w:val="20"/>
        </w:rPr>
      </w:pPr>
    </w:p>
    <w:p w14:paraId="094C5989" w14:textId="6B55A793" w:rsidR="00014AA4" w:rsidRPr="009558E6" w:rsidRDefault="00381439" w:rsidP="003379C1">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9558E6">
        <w:rPr>
          <w:rFonts w:asciiTheme="majorHAnsi" w:hAnsiTheme="majorHAnsi"/>
          <w:sz w:val="20"/>
          <w:szCs w:val="20"/>
        </w:rPr>
        <w:t>B</w:t>
      </w:r>
      <w:r w:rsidRPr="009558E6">
        <w:rPr>
          <w:rFonts w:asciiTheme="majorHAnsi" w:hAnsiTheme="majorHAnsi"/>
          <w:sz w:val="20"/>
          <w:szCs w:val="20"/>
          <w:vertAlign w:val="subscript"/>
        </w:rPr>
        <w:t>SEUIL</w:t>
      </w:r>
      <w:r w:rsidRPr="009558E6">
        <w:rPr>
          <w:rFonts w:asciiTheme="majorHAnsi" w:hAnsiTheme="majorHAnsi"/>
          <w:sz w:val="20"/>
          <w:szCs w:val="20"/>
        </w:rPr>
        <w:t xml:space="preserve"> </w:t>
      </w:r>
      <w:r w:rsidR="00014AA4" w:rsidRPr="009558E6">
        <w:rPr>
          <w:rFonts w:asciiTheme="majorHAnsi" w:hAnsiTheme="majorHAnsi"/>
          <w:sz w:val="20"/>
          <w:szCs w:val="20"/>
        </w:rPr>
        <w:t>= B</w:t>
      </w:r>
      <w:r w:rsidR="00014AA4" w:rsidRPr="009558E6">
        <w:rPr>
          <w:rFonts w:asciiTheme="majorHAnsi" w:hAnsiTheme="majorHAnsi"/>
          <w:sz w:val="20"/>
          <w:szCs w:val="20"/>
          <w:vertAlign w:val="subscript"/>
        </w:rPr>
        <w:t xml:space="preserve">PME </w:t>
      </w:r>
    </w:p>
    <w:p w14:paraId="51138B4D" w14:textId="77777777" w:rsidR="00014AA4" w:rsidRPr="009558E6" w:rsidRDefault="00014AA4" w:rsidP="00381439">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9558E6">
        <w:rPr>
          <w:rFonts w:asciiTheme="majorHAnsi" w:hAnsiTheme="majorHAnsi"/>
          <w:sz w:val="20"/>
          <w:szCs w:val="20"/>
        </w:rPr>
        <w:t>B</w:t>
      </w:r>
      <w:r w:rsidRPr="009558E6">
        <w:rPr>
          <w:rFonts w:asciiTheme="majorHAnsi" w:hAnsiTheme="majorHAnsi"/>
          <w:sz w:val="20"/>
          <w:szCs w:val="20"/>
          <w:vertAlign w:val="subscript"/>
        </w:rPr>
        <w:t>LIM</w:t>
      </w:r>
      <w:r w:rsidRPr="009558E6">
        <w:rPr>
          <w:rFonts w:asciiTheme="majorHAnsi" w:hAnsiTheme="majorHAnsi"/>
          <w:sz w:val="20"/>
          <w:szCs w:val="20"/>
        </w:rPr>
        <w:t xml:space="preserve"> = 0,4*B</w:t>
      </w:r>
      <w:r w:rsidRPr="009558E6">
        <w:rPr>
          <w:rFonts w:asciiTheme="majorHAnsi" w:hAnsiTheme="majorHAnsi"/>
          <w:sz w:val="20"/>
          <w:szCs w:val="20"/>
          <w:vertAlign w:val="subscript"/>
        </w:rPr>
        <w:t xml:space="preserve">PME </w:t>
      </w:r>
    </w:p>
    <w:p w14:paraId="75D3DB17" w14:textId="77777777" w:rsidR="00014AA4" w:rsidRPr="009558E6" w:rsidRDefault="00014AA4" w:rsidP="003379C1">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9558E6">
        <w:rPr>
          <w:rFonts w:asciiTheme="majorHAnsi" w:hAnsiTheme="majorHAnsi"/>
          <w:sz w:val="20"/>
          <w:szCs w:val="20"/>
        </w:rPr>
        <w:t>F</w:t>
      </w:r>
      <w:r w:rsidRPr="009558E6">
        <w:rPr>
          <w:rFonts w:asciiTheme="majorHAnsi" w:hAnsiTheme="majorHAnsi"/>
          <w:sz w:val="20"/>
          <w:szCs w:val="20"/>
          <w:vertAlign w:val="subscript"/>
        </w:rPr>
        <w:t>CIBLE</w:t>
      </w:r>
      <w:r w:rsidRPr="009558E6">
        <w:rPr>
          <w:rFonts w:asciiTheme="majorHAnsi" w:hAnsiTheme="majorHAnsi"/>
          <w:sz w:val="20"/>
          <w:szCs w:val="20"/>
        </w:rPr>
        <w:t>= 0,8*F</w:t>
      </w:r>
      <w:r w:rsidRPr="009558E6">
        <w:rPr>
          <w:rFonts w:asciiTheme="majorHAnsi" w:hAnsiTheme="majorHAnsi"/>
          <w:sz w:val="20"/>
          <w:szCs w:val="20"/>
          <w:vertAlign w:val="subscript"/>
        </w:rPr>
        <w:t xml:space="preserve">PME </w:t>
      </w:r>
    </w:p>
    <w:p w14:paraId="5B89048E" w14:textId="77777777" w:rsidR="00014AA4" w:rsidRPr="009558E6" w:rsidRDefault="00014AA4" w:rsidP="003379C1">
      <w:pPr>
        <w:pStyle w:val="ListParagraph"/>
        <w:numPr>
          <w:ilvl w:val="1"/>
          <w:numId w:val="34"/>
        </w:numPr>
        <w:autoSpaceDE w:val="0"/>
        <w:autoSpaceDN w:val="0"/>
        <w:adjustRightInd w:val="0"/>
        <w:spacing w:after="0" w:line="240" w:lineRule="auto"/>
        <w:ind w:left="851" w:hanging="425"/>
        <w:jc w:val="both"/>
        <w:rPr>
          <w:rFonts w:asciiTheme="majorHAnsi" w:hAnsiTheme="majorHAnsi" w:cs="Cambria"/>
          <w:sz w:val="20"/>
          <w:szCs w:val="20"/>
        </w:rPr>
      </w:pPr>
      <w:r w:rsidRPr="009558E6">
        <w:rPr>
          <w:rFonts w:asciiTheme="majorHAnsi" w:hAnsiTheme="majorHAnsi"/>
          <w:sz w:val="20"/>
          <w:szCs w:val="20"/>
        </w:rPr>
        <w:t>F</w:t>
      </w:r>
      <w:r w:rsidRPr="009558E6">
        <w:rPr>
          <w:rFonts w:asciiTheme="majorHAnsi" w:hAnsiTheme="majorHAnsi"/>
          <w:sz w:val="20"/>
          <w:szCs w:val="20"/>
          <w:vertAlign w:val="subscript"/>
        </w:rPr>
        <w:t>MIN</w:t>
      </w:r>
      <w:r w:rsidRPr="009558E6">
        <w:rPr>
          <w:rFonts w:asciiTheme="majorHAnsi" w:hAnsiTheme="majorHAnsi"/>
          <w:sz w:val="20"/>
          <w:szCs w:val="20"/>
        </w:rPr>
        <w:t>= 0,1*F</w:t>
      </w:r>
      <w:r w:rsidRPr="009558E6">
        <w:rPr>
          <w:rFonts w:asciiTheme="majorHAnsi" w:hAnsiTheme="majorHAnsi"/>
          <w:sz w:val="20"/>
          <w:szCs w:val="20"/>
          <w:vertAlign w:val="subscript"/>
        </w:rPr>
        <w:t xml:space="preserve">PME </w:t>
      </w:r>
    </w:p>
    <w:p w14:paraId="32809786" w14:textId="77777777" w:rsidR="00014AA4" w:rsidRPr="009558E6" w:rsidRDefault="00014AA4" w:rsidP="0035431C">
      <w:pPr>
        <w:pStyle w:val="ListParagraph"/>
        <w:autoSpaceDE w:val="0"/>
        <w:autoSpaceDN w:val="0"/>
        <w:adjustRightInd w:val="0"/>
        <w:spacing w:after="0" w:line="240" w:lineRule="auto"/>
        <w:ind w:left="1440"/>
        <w:jc w:val="both"/>
        <w:rPr>
          <w:rFonts w:asciiTheme="majorHAnsi" w:hAnsiTheme="majorHAnsi" w:cs="Cambria"/>
          <w:sz w:val="20"/>
          <w:szCs w:val="20"/>
        </w:rPr>
      </w:pPr>
    </w:p>
    <w:p w14:paraId="0A41C4A7" w14:textId="56AC30DC" w:rsidR="00014AA4" w:rsidRPr="009558E6" w:rsidRDefault="00014AA4" w:rsidP="003379C1">
      <w:pPr>
        <w:pStyle w:val="ListParagraph"/>
        <w:numPr>
          <w:ilvl w:val="0"/>
          <w:numId w:val="34"/>
        </w:numPr>
        <w:autoSpaceDE w:val="0"/>
        <w:autoSpaceDN w:val="0"/>
        <w:adjustRightInd w:val="0"/>
        <w:spacing w:after="0" w:line="240" w:lineRule="auto"/>
        <w:ind w:left="426" w:hanging="426"/>
        <w:jc w:val="both"/>
        <w:rPr>
          <w:rFonts w:asciiTheme="majorHAnsi" w:hAnsiTheme="majorHAnsi" w:cs="Cambria"/>
          <w:sz w:val="20"/>
          <w:szCs w:val="20"/>
        </w:rPr>
      </w:pPr>
      <w:r w:rsidRPr="009558E6">
        <w:rPr>
          <w:rFonts w:asciiTheme="majorHAnsi" w:hAnsiTheme="majorHAnsi"/>
          <w:sz w:val="20"/>
          <w:szCs w:val="20"/>
        </w:rPr>
        <w:t>L’évaluation du stock de germon de l’Atlantique Nord devra être conduite tous les trois (3) ans</w:t>
      </w:r>
      <w:r w:rsidR="00DA7810" w:rsidRPr="009558E6">
        <w:rPr>
          <w:rFonts w:asciiTheme="majorHAnsi" w:hAnsiTheme="majorHAnsi"/>
          <w:strike/>
          <w:sz w:val="20"/>
          <w:szCs w:val="20"/>
        </w:rPr>
        <w:t xml:space="preserve"> </w:t>
      </w:r>
      <w:r w:rsidRPr="009558E6">
        <w:rPr>
          <w:rFonts w:asciiTheme="majorHAnsi" w:hAnsiTheme="majorHAnsi"/>
          <w:sz w:val="20"/>
          <w:szCs w:val="20"/>
        </w:rPr>
        <w:t>conformément aux spécifications du modèle de MP et aux entrées de données indiquées à l'appendice</w:t>
      </w:r>
      <w:r w:rsidR="004D7BCC" w:rsidRPr="009558E6">
        <w:rPr>
          <w:rFonts w:asciiTheme="majorHAnsi" w:hAnsiTheme="majorHAnsi"/>
          <w:sz w:val="20"/>
          <w:szCs w:val="20"/>
        </w:rPr>
        <w:t> </w:t>
      </w:r>
      <w:r w:rsidRPr="009558E6">
        <w:rPr>
          <w:rFonts w:asciiTheme="majorHAnsi" w:hAnsiTheme="majorHAnsi"/>
          <w:sz w:val="20"/>
          <w:szCs w:val="20"/>
        </w:rPr>
        <w:t>A ci-dessous. La prochaine évaluation du stock devra avoir lieu en 2023.</w:t>
      </w:r>
      <w:r w:rsidR="00DA7810" w:rsidRPr="009558E6">
        <w:rPr>
          <w:rFonts w:asciiTheme="majorHAnsi" w:hAnsiTheme="majorHAnsi"/>
          <w:sz w:val="20"/>
          <w:szCs w:val="20"/>
        </w:rPr>
        <w:t xml:space="preserve"> </w:t>
      </w:r>
    </w:p>
    <w:p w14:paraId="1821ED66" w14:textId="77777777" w:rsidR="00014AA4" w:rsidRPr="009558E6" w:rsidRDefault="00014AA4" w:rsidP="003379C1">
      <w:pPr>
        <w:pStyle w:val="ListParagraph"/>
        <w:autoSpaceDE w:val="0"/>
        <w:autoSpaceDN w:val="0"/>
        <w:adjustRightInd w:val="0"/>
        <w:spacing w:after="0" w:line="240" w:lineRule="auto"/>
        <w:ind w:left="426" w:hanging="426"/>
        <w:jc w:val="both"/>
        <w:rPr>
          <w:rFonts w:asciiTheme="majorHAnsi" w:hAnsiTheme="majorHAnsi" w:cs="Cambria"/>
          <w:sz w:val="20"/>
          <w:szCs w:val="20"/>
        </w:rPr>
      </w:pPr>
    </w:p>
    <w:p w14:paraId="689D1468" w14:textId="7DC6A671" w:rsidR="00014AA4" w:rsidRPr="009558E6" w:rsidRDefault="00014AA4" w:rsidP="003379C1">
      <w:pPr>
        <w:pStyle w:val="ListParagraph"/>
        <w:numPr>
          <w:ilvl w:val="0"/>
          <w:numId w:val="34"/>
        </w:numPr>
        <w:autoSpaceDE w:val="0"/>
        <w:autoSpaceDN w:val="0"/>
        <w:adjustRightInd w:val="0"/>
        <w:spacing w:after="0" w:line="240" w:lineRule="auto"/>
        <w:ind w:left="426" w:hanging="426"/>
        <w:jc w:val="both"/>
        <w:rPr>
          <w:rFonts w:asciiTheme="majorHAnsi" w:hAnsiTheme="majorHAnsi" w:cs="Cambria"/>
          <w:sz w:val="20"/>
          <w:szCs w:val="20"/>
        </w:rPr>
      </w:pPr>
      <w:r w:rsidRPr="009558E6">
        <w:rPr>
          <w:rFonts w:asciiTheme="majorHAnsi" w:hAnsiTheme="majorHAnsi"/>
          <w:sz w:val="20"/>
          <w:szCs w:val="20"/>
        </w:rPr>
        <w:t>La MP devra être appliquée pour établir un total de prises admissibles annuel constant sur trois ans utilisant les trois valeurs suivantes estimées à partir de chaque évaluation du stock.</w:t>
      </w:r>
      <w:r w:rsidR="00DA7810" w:rsidRPr="009558E6">
        <w:rPr>
          <w:rFonts w:asciiTheme="majorHAnsi" w:hAnsiTheme="majorHAnsi"/>
          <w:sz w:val="20"/>
          <w:szCs w:val="20"/>
        </w:rPr>
        <w:t xml:space="preserve"> </w:t>
      </w:r>
      <w:r w:rsidRPr="009558E6">
        <w:rPr>
          <w:rFonts w:asciiTheme="majorHAnsi" w:hAnsiTheme="majorHAnsi"/>
          <w:sz w:val="20"/>
          <w:szCs w:val="20"/>
        </w:rPr>
        <w:t xml:space="preserve">Pour chaque valeur, les valeurs de la médiane telles que déclarées dans le tableau récapitulatif du rapport du SCRS devront être utilisées : </w:t>
      </w:r>
    </w:p>
    <w:p w14:paraId="6D24B604" w14:textId="77777777" w:rsidR="00014AA4" w:rsidRPr="009558E6" w:rsidRDefault="00014AA4" w:rsidP="0035431C">
      <w:pPr>
        <w:pStyle w:val="ListParagraph"/>
        <w:spacing w:after="0" w:line="240" w:lineRule="auto"/>
        <w:jc w:val="both"/>
        <w:rPr>
          <w:rFonts w:asciiTheme="majorHAnsi" w:hAnsiTheme="majorHAnsi" w:cs="Cambria"/>
          <w:sz w:val="20"/>
          <w:szCs w:val="20"/>
        </w:rPr>
      </w:pPr>
    </w:p>
    <w:p w14:paraId="3467A84C" w14:textId="77777777" w:rsidR="00014AA4" w:rsidRPr="009558E6" w:rsidRDefault="00014AA4" w:rsidP="007F01E3">
      <w:pPr>
        <w:pStyle w:val="ListParagraph"/>
        <w:numPr>
          <w:ilvl w:val="1"/>
          <w:numId w:val="34"/>
        </w:numPr>
        <w:autoSpaceDE w:val="0"/>
        <w:autoSpaceDN w:val="0"/>
        <w:adjustRightInd w:val="0"/>
        <w:spacing w:after="0" w:line="240" w:lineRule="auto"/>
        <w:ind w:left="851"/>
        <w:jc w:val="both"/>
        <w:rPr>
          <w:rFonts w:asciiTheme="majorHAnsi" w:hAnsiTheme="majorHAnsi" w:cs="Cambria"/>
          <w:sz w:val="20"/>
          <w:szCs w:val="20"/>
        </w:rPr>
      </w:pPr>
      <w:r w:rsidRPr="009558E6">
        <w:rPr>
          <w:rFonts w:asciiTheme="majorHAnsi" w:hAnsiTheme="majorHAnsi"/>
          <w:sz w:val="20"/>
          <w:szCs w:val="20"/>
        </w:rPr>
        <w:t>Estimation de la biomasse actuelle du stock (B</w:t>
      </w:r>
      <w:r w:rsidRPr="009558E6">
        <w:rPr>
          <w:rFonts w:asciiTheme="majorHAnsi" w:hAnsiTheme="majorHAnsi"/>
          <w:smallCaps/>
          <w:sz w:val="20"/>
          <w:szCs w:val="20"/>
          <w:vertAlign w:val="subscript"/>
        </w:rPr>
        <w:t>actuelle</w:t>
      </w:r>
      <w:r w:rsidRPr="009558E6">
        <w:rPr>
          <w:rFonts w:asciiTheme="majorHAnsi" w:hAnsiTheme="majorHAnsi"/>
          <w:sz w:val="20"/>
          <w:szCs w:val="20"/>
        </w:rPr>
        <w:t xml:space="preserve">). </w:t>
      </w:r>
    </w:p>
    <w:p w14:paraId="07B0345E" w14:textId="77777777" w:rsidR="00014AA4" w:rsidRPr="009558E6" w:rsidRDefault="00014AA4" w:rsidP="007F01E3">
      <w:pPr>
        <w:pStyle w:val="ListParagraph"/>
        <w:numPr>
          <w:ilvl w:val="1"/>
          <w:numId w:val="34"/>
        </w:numPr>
        <w:autoSpaceDE w:val="0"/>
        <w:autoSpaceDN w:val="0"/>
        <w:adjustRightInd w:val="0"/>
        <w:spacing w:after="0" w:line="240" w:lineRule="auto"/>
        <w:ind w:left="851"/>
        <w:jc w:val="both"/>
        <w:rPr>
          <w:rFonts w:asciiTheme="majorHAnsi" w:hAnsiTheme="majorHAnsi" w:cs="Cambria"/>
          <w:sz w:val="20"/>
          <w:szCs w:val="20"/>
        </w:rPr>
      </w:pPr>
      <w:r w:rsidRPr="009558E6">
        <w:rPr>
          <w:rFonts w:asciiTheme="majorHAnsi" w:hAnsiTheme="majorHAnsi"/>
          <w:sz w:val="20"/>
          <w:szCs w:val="20"/>
        </w:rPr>
        <w:t>Estimation de la biomasse du stock en production maximale équilibrée (B</w:t>
      </w:r>
      <w:r w:rsidRPr="009558E6">
        <w:rPr>
          <w:rFonts w:asciiTheme="majorHAnsi" w:hAnsiTheme="majorHAnsi"/>
          <w:sz w:val="20"/>
          <w:szCs w:val="20"/>
          <w:vertAlign w:val="subscript"/>
        </w:rPr>
        <w:t>PME</w:t>
      </w:r>
      <w:r w:rsidRPr="009558E6">
        <w:rPr>
          <w:rFonts w:asciiTheme="majorHAnsi" w:hAnsiTheme="majorHAnsi"/>
          <w:sz w:val="20"/>
          <w:szCs w:val="20"/>
        </w:rPr>
        <w:t xml:space="preserve">). </w:t>
      </w:r>
    </w:p>
    <w:p w14:paraId="0DD5BBF0" w14:textId="41757B55" w:rsidR="00014AA4" w:rsidRPr="009558E6" w:rsidRDefault="00014AA4" w:rsidP="007F01E3">
      <w:pPr>
        <w:pStyle w:val="ListParagraph"/>
        <w:numPr>
          <w:ilvl w:val="1"/>
          <w:numId w:val="34"/>
        </w:numPr>
        <w:autoSpaceDE w:val="0"/>
        <w:autoSpaceDN w:val="0"/>
        <w:adjustRightInd w:val="0"/>
        <w:spacing w:after="0" w:line="240" w:lineRule="auto"/>
        <w:ind w:left="851"/>
        <w:jc w:val="both"/>
        <w:rPr>
          <w:rFonts w:asciiTheme="majorHAnsi" w:hAnsiTheme="majorHAnsi" w:cs="Cambria"/>
          <w:sz w:val="20"/>
          <w:szCs w:val="20"/>
        </w:rPr>
      </w:pPr>
      <w:r w:rsidRPr="009558E6">
        <w:rPr>
          <w:rFonts w:asciiTheme="majorHAnsi" w:hAnsiTheme="majorHAnsi"/>
          <w:sz w:val="20"/>
          <w:szCs w:val="20"/>
        </w:rPr>
        <w:t xml:space="preserve">Estimation de la mortalité par pêche </w:t>
      </w:r>
      <w:r w:rsidR="007F01E3" w:rsidRPr="009558E6">
        <w:rPr>
          <w:rFonts w:asciiTheme="majorHAnsi" w:hAnsiTheme="majorHAnsi"/>
          <w:sz w:val="20"/>
          <w:szCs w:val="20"/>
        </w:rPr>
        <w:t>au niveau de la</w:t>
      </w:r>
      <w:r w:rsidRPr="009558E6">
        <w:rPr>
          <w:rFonts w:asciiTheme="majorHAnsi" w:hAnsiTheme="majorHAnsi"/>
          <w:sz w:val="20"/>
          <w:szCs w:val="20"/>
        </w:rPr>
        <w:t xml:space="preserve"> PME (F</w:t>
      </w:r>
      <w:r w:rsidRPr="009558E6">
        <w:rPr>
          <w:rFonts w:asciiTheme="majorHAnsi" w:hAnsiTheme="majorHAnsi"/>
          <w:sz w:val="20"/>
          <w:szCs w:val="20"/>
          <w:vertAlign w:val="subscript"/>
        </w:rPr>
        <w:t>PME</w:t>
      </w:r>
      <w:r w:rsidRPr="009558E6">
        <w:rPr>
          <w:rFonts w:asciiTheme="majorHAnsi" w:hAnsiTheme="majorHAnsi"/>
          <w:sz w:val="20"/>
          <w:szCs w:val="20"/>
        </w:rPr>
        <w:t xml:space="preserve">). </w:t>
      </w:r>
    </w:p>
    <w:p w14:paraId="5B97AC18" w14:textId="77777777" w:rsidR="00014AA4" w:rsidRPr="009558E6" w:rsidRDefault="00014AA4" w:rsidP="007F01E3">
      <w:pPr>
        <w:pStyle w:val="ListParagraph"/>
        <w:autoSpaceDE w:val="0"/>
        <w:autoSpaceDN w:val="0"/>
        <w:adjustRightInd w:val="0"/>
        <w:spacing w:after="0" w:line="240" w:lineRule="auto"/>
        <w:ind w:left="851"/>
        <w:rPr>
          <w:rFonts w:asciiTheme="majorHAnsi" w:hAnsiTheme="majorHAnsi" w:cs="Cambria"/>
          <w:sz w:val="20"/>
          <w:szCs w:val="20"/>
        </w:rPr>
      </w:pPr>
    </w:p>
    <w:p w14:paraId="64B2009D" w14:textId="46894E04" w:rsidR="00014AA4" w:rsidRPr="009558E6" w:rsidRDefault="00014AA4" w:rsidP="003379C1">
      <w:pPr>
        <w:pStyle w:val="ListParagraph"/>
        <w:numPr>
          <w:ilvl w:val="0"/>
          <w:numId w:val="34"/>
        </w:numPr>
        <w:autoSpaceDE w:val="0"/>
        <w:autoSpaceDN w:val="0"/>
        <w:adjustRightInd w:val="0"/>
        <w:spacing w:after="0" w:line="240" w:lineRule="auto"/>
        <w:ind w:left="426" w:hanging="426"/>
        <w:jc w:val="both"/>
        <w:rPr>
          <w:rFonts w:asciiTheme="majorHAnsi" w:hAnsiTheme="majorHAnsi" w:cs="Cambria"/>
          <w:sz w:val="20"/>
          <w:szCs w:val="20"/>
        </w:rPr>
      </w:pPr>
      <w:r w:rsidRPr="009558E6">
        <w:rPr>
          <w:rFonts w:asciiTheme="majorHAnsi" w:hAnsiTheme="majorHAnsi"/>
          <w:sz w:val="20"/>
          <w:szCs w:val="20"/>
        </w:rPr>
        <w:t>La règle de contrôle de l’exploitation dans le cadre de la MP devra avoir le format établi à l’</w:t>
      </w:r>
      <w:r w:rsidRPr="009558E6">
        <w:rPr>
          <w:rFonts w:asciiTheme="majorHAnsi" w:hAnsiTheme="majorHAnsi"/>
          <w:b/>
          <w:bCs/>
          <w:sz w:val="20"/>
          <w:szCs w:val="20"/>
        </w:rPr>
        <w:t>appendice</w:t>
      </w:r>
      <w:r w:rsidR="007F01E3" w:rsidRPr="009558E6">
        <w:rPr>
          <w:rFonts w:asciiTheme="majorHAnsi" w:hAnsiTheme="majorHAnsi"/>
          <w:b/>
          <w:bCs/>
          <w:sz w:val="20"/>
          <w:szCs w:val="20"/>
        </w:rPr>
        <w:t> </w:t>
      </w:r>
      <w:r w:rsidRPr="009558E6">
        <w:rPr>
          <w:rFonts w:asciiTheme="majorHAnsi" w:hAnsiTheme="majorHAnsi"/>
          <w:b/>
          <w:bCs/>
          <w:sz w:val="20"/>
          <w:szCs w:val="20"/>
        </w:rPr>
        <w:t xml:space="preserve">B </w:t>
      </w:r>
      <w:r w:rsidRPr="009558E6">
        <w:rPr>
          <w:rFonts w:asciiTheme="majorHAnsi" w:hAnsiTheme="majorHAnsi"/>
          <w:sz w:val="20"/>
          <w:szCs w:val="20"/>
        </w:rPr>
        <w:t>ci-dessous et les paramètres de contrôle suivants devront être établis conformément aux points a) à f) ci-après :</w:t>
      </w:r>
    </w:p>
    <w:p w14:paraId="1BCE7675" w14:textId="76902EC9" w:rsidR="00014AA4" w:rsidRPr="009558E6" w:rsidRDefault="00014AA4" w:rsidP="0035431C">
      <w:pPr>
        <w:pStyle w:val="ListParagraph"/>
        <w:autoSpaceDE w:val="0"/>
        <w:autoSpaceDN w:val="0"/>
        <w:adjustRightInd w:val="0"/>
        <w:spacing w:after="0" w:line="240" w:lineRule="auto"/>
        <w:ind w:left="765"/>
        <w:jc w:val="both"/>
        <w:rPr>
          <w:rFonts w:asciiTheme="majorHAnsi" w:hAnsiTheme="majorHAnsi" w:cs="Cambria"/>
          <w:sz w:val="20"/>
          <w:szCs w:val="20"/>
        </w:rPr>
      </w:pPr>
    </w:p>
    <w:p w14:paraId="5AA31DCD" w14:textId="51F3AEA9" w:rsidR="00014AA4" w:rsidRPr="009558E6" w:rsidRDefault="00014AA4" w:rsidP="00A82C49">
      <w:pPr>
        <w:pStyle w:val="ListParagraph"/>
        <w:numPr>
          <w:ilvl w:val="1"/>
          <w:numId w:val="34"/>
        </w:numPr>
        <w:autoSpaceDE w:val="0"/>
        <w:autoSpaceDN w:val="0"/>
        <w:adjustRightInd w:val="0"/>
        <w:spacing w:after="0" w:line="240" w:lineRule="auto"/>
        <w:ind w:left="851"/>
        <w:jc w:val="both"/>
        <w:rPr>
          <w:rFonts w:asciiTheme="majorHAnsi" w:hAnsiTheme="majorHAnsi" w:cs="Cambria"/>
          <w:sz w:val="20"/>
          <w:szCs w:val="20"/>
        </w:rPr>
      </w:pPr>
      <w:r w:rsidRPr="009558E6">
        <w:rPr>
          <w:rFonts w:asciiTheme="majorHAnsi" w:hAnsiTheme="majorHAnsi"/>
          <w:sz w:val="20"/>
          <w:szCs w:val="20"/>
        </w:rPr>
        <w:t xml:space="preserve">Le niveau de biomasse </w:t>
      </w:r>
      <w:r w:rsidR="006A34A5" w:rsidRPr="009558E6">
        <w:rPr>
          <w:rFonts w:asciiTheme="majorHAnsi" w:hAnsiTheme="majorHAnsi"/>
          <w:sz w:val="20"/>
          <w:szCs w:val="20"/>
        </w:rPr>
        <w:t xml:space="preserve">seuil </w:t>
      </w:r>
      <w:r w:rsidRPr="009558E6">
        <w:rPr>
          <w:rFonts w:asciiTheme="majorHAnsi" w:hAnsiTheme="majorHAnsi"/>
          <w:sz w:val="20"/>
          <w:szCs w:val="20"/>
        </w:rPr>
        <w:t>(B</w:t>
      </w:r>
      <w:r w:rsidRPr="009558E6">
        <w:rPr>
          <w:rFonts w:asciiTheme="majorHAnsi" w:hAnsiTheme="majorHAnsi"/>
          <w:sz w:val="20"/>
          <w:szCs w:val="20"/>
          <w:vertAlign w:val="subscript"/>
        </w:rPr>
        <w:t>SEUIL</w:t>
      </w:r>
      <w:r w:rsidRPr="009558E6">
        <w:rPr>
          <w:rFonts w:asciiTheme="majorHAnsi" w:hAnsiTheme="majorHAnsi"/>
          <w:sz w:val="20"/>
          <w:szCs w:val="20"/>
        </w:rPr>
        <w:t>) est égal à la biomasse permettant d’obtenir la production maximale équilibrée (B</w:t>
      </w:r>
      <w:r w:rsidRPr="009558E6">
        <w:rPr>
          <w:rFonts w:asciiTheme="majorHAnsi" w:hAnsiTheme="majorHAnsi"/>
          <w:sz w:val="20"/>
          <w:szCs w:val="20"/>
          <w:vertAlign w:val="subscript"/>
        </w:rPr>
        <w:t>SEUIL</w:t>
      </w:r>
      <w:r w:rsidRPr="009558E6">
        <w:rPr>
          <w:rFonts w:asciiTheme="majorHAnsi" w:hAnsiTheme="majorHAnsi"/>
          <w:sz w:val="20"/>
          <w:szCs w:val="20"/>
        </w:rPr>
        <w:t xml:space="preserve"> = B</w:t>
      </w:r>
      <w:r w:rsidRPr="009558E6">
        <w:rPr>
          <w:rFonts w:asciiTheme="majorHAnsi" w:hAnsiTheme="majorHAnsi"/>
          <w:sz w:val="20"/>
          <w:szCs w:val="20"/>
          <w:vertAlign w:val="subscript"/>
        </w:rPr>
        <w:t>PME</w:t>
      </w:r>
      <w:r w:rsidRPr="009558E6">
        <w:rPr>
          <w:rFonts w:asciiTheme="majorHAnsi" w:hAnsiTheme="majorHAnsi"/>
          <w:sz w:val="20"/>
          <w:szCs w:val="20"/>
        </w:rPr>
        <w:t xml:space="preserve">). </w:t>
      </w:r>
    </w:p>
    <w:p w14:paraId="3EBB1D43" w14:textId="77777777" w:rsidR="00014AA4" w:rsidRPr="009558E6" w:rsidRDefault="00014AA4" w:rsidP="00A82C49">
      <w:pPr>
        <w:pStyle w:val="ListParagraph"/>
        <w:autoSpaceDE w:val="0"/>
        <w:autoSpaceDN w:val="0"/>
        <w:adjustRightInd w:val="0"/>
        <w:spacing w:after="0" w:line="240" w:lineRule="auto"/>
        <w:ind w:left="851" w:hanging="360"/>
        <w:jc w:val="both"/>
        <w:rPr>
          <w:rFonts w:asciiTheme="majorHAnsi" w:hAnsiTheme="majorHAnsi" w:cs="Cambria"/>
          <w:sz w:val="8"/>
          <w:szCs w:val="8"/>
        </w:rPr>
      </w:pPr>
    </w:p>
    <w:p w14:paraId="2B5E5A60" w14:textId="0C8075BF" w:rsidR="00014AA4" w:rsidRPr="009558E6" w:rsidRDefault="00014AA4" w:rsidP="00A82C49">
      <w:pPr>
        <w:pStyle w:val="ListParagraph"/>
        <w:numPr>
          <w:ilvl w:val="1"/>
          <w:numId w:val="34"/>
        </w:numPr>
        <w:autoSpaceDE w:val="0"/>
        <w:autoSpaceDN w:val="0"/>
        <w:adjustRightInd w:val="0"/>
        <w:spacing w:after="0" w:line="240" w:lineRule="auto"/>
        <w:ind w:left="851"/>
        <w:jc w:val="both"/>
        <w:rPr>
          <w:rFonts w:asciiTheme="majorHAnsi" w:hAnsiTheme="majorHAnsi" w:cs="Cambria"/>
          <w:sz w:val="20"/>
          <w:szCs w:val="20"/>
        </w:rPr>
      </w:pPr>
      <w:r w:rsidRPr="009558E6">
        <w:rPr>
          <w:rFonts w:asciiTheme="majorHAnsi" w:hAnsiTheme="majorHAnsi"/>
          <w:sz w:val="20"/>
          <w:szCs w:val="20"/>
        </w:rPr>
        <w:t>Une mortalité par pêche cible correspondant à 80% de F</w:t>
      </w:r>
      <w:r w:rsidRPr="009558E6">
        <w:rPr>
          <w:rFonts w:asciiTheme="majorHAnsi" w:hAnsiTheme="majorHAnsi"/>
          <w:sz w:val="20"/>
          <w:szCs w:val="20"/>
          <w:vertAlign w:val="subscript"/>
        </w:rPr>
        <w:t>PME</w:t>
      </w:r>
      <w:r w:rsidRPr="009558E6">
        <w:rPr>
          <w:rFonts w:asciiTheme="majorHAnsi" w:hAnsiTheme="majorHAnsi"/>
          <w:sz w:val="20"/>
          <w:szCs w:val="20"/>
        </w:rPr>
        <w:t xml:space="preserve"> (F</w:t>
      </w:r>
      <w:r w:rsidRPr="009558E6">
        <w:rPr>
          <w:rFonts w:asciiTheme="majorHAnsi" w:hAnsiTheme="majorHAnsi"/>
          <w:sz w:val="20"/>
          <w:szCs w:val="20"/>
          <w:vertAlign w:val="subscript"/>
        </w:rPr>
        <w:t>CIBLE</w:t>
      </w:r>
      <w:r w:rsidRPr="009558E6">
        <w:rPr>
          <w:rFonts w:asciiTheme="majorHAnsi" w:hAnsiTheme="majorHAnsi"/>
          <w:sz w:val="20"/>
          <w:szCs w:val="20"/>
        </w:rPr>
        <w:t>= 0,8*F</w:t>
      </w:r>
      <w:r w:rsidRPr="009558E6">
        <w:rPr>
          <w:rFonts w:asciiTheme="majorHAnsi" w:hAnsiTheme="majorHAnsi"/>
          <w:sz w:val="20"/>
          <w:szCs w:val="20"/>
          <w:vertAlign w:val="subscript"/>
        </w:rPr>
        <w:t>PME</w:t>
      </w:r>
      <w:r w:rsidRPr="009558E6">
        <w:rPr>
          <w:rFonts w:asciiTheme="majorHAnsi" w:hAnsiTheme="majorHAnsi"/>
          <w:sz w:val="20"/>
          <w:szCs w:val="20"/>
        </w:rPr>
        <w:t>) sera appliquée lorsque l’état du stock se situe au niveau seuil (B</w:t>
      </w:r>
      <w:r w:rsidRPr="009558E6">
        <w:rPr>
          <w:rFonts w:asciiTheme="majorHAnsi" w:hAnsiTheme="majorHAnsi"/>
          <w:sz w:val="20"/>
          <w:szCs w:val="20"/>
          <w:vertAlign w:val="subscript"/>
        </w:rPr>
        <w:t>SEUIL</w:t>
      </w:r>
      <w:r w:rsidRPr="009558E6">
        <w:rPr>
          <w:rFonts w:asciiTheme="majorHAnsi" w:hAnsiTheme="majorHAnsi"/>
          <w:sz w:val="20"/>
          <w:szCs w:val="20"/>
        </w:rPr>
        <w:t xml:space="preserve">) ou au-delà. </w:t>
      </w:r>
    </w:p>
    <w:p w14:paraId="5DBDCFD8" w14:textId="77777777" w:rsidR="00014AA4" w:rsidRPr="009558E6" w:rsidRDefault="00014AA4" w:rsidP="00A82C49">
      <w:pPr>
        <w:autoSpaceDE w:val="0"/>
        <w:autoSpaceDN w:val="0"/>
        <w:adjustRightInd w:val="0"/>
        <w:spacing w:after="0" w:line="240" w:lineRule="auto"/>
        <w:ind w:left="851" w:hanging="360"/>
        <w:contextualSpacing/>
        <w:jc w:val="both"/>
        <w:rPr>
          <w:rFonts w:asciiTheme="majorHAnsi" w:hAnsiTheme="majorHAnsi" w:cs="Cambria"/>
          <w:sz w:val="8"/>
          <w:szCs w:val="8"/>
        </w:rPr>
      </w:pPr>
    </w:p>
    <w:p w14:paraId="55DB696F" w14:textId="2C2D3F0D" w:rsidR="00014AA4" w:rsidRPr="009558E6" w:rsidRDefault="00014AA4" w:rsidP="00A82C49">
      <w:pPr>
        <w:pStyle w:val="ListParagraph"/>
        <w:numPr>
          <w:ilvl w:val="1"/>
          <w:numId w:val="34"/>
        </w:numPr>
        <w:autoSpaceDE w:val="0"/>
        <w:autoSpaceDN w:val="0"/>
        <w:adjustRightInd w:val="0"/>
        <w:spacing w:after="0" w:line="240" w:lineRule="auto"/>
        <w:ind w:left="851"/>
        <w:jc w:val="both"/>
        <w:rPr>
          <w:rFonts w:asciiTheme="majorHAnsi" w:hAnsiTheme="majorHAnsi" w:cs="Cambria"/>
          <w:sz w:val="20"/>
          <w:szCs w:val="20"/>
        </w:rPr>
      </w:pPr>
      <w:r w:rsidRPr="009558E6">
        <w:rPr>
          <w:rFonts w:asciiTheme="majorHAnsi" w:hAnsiTheme="majorHAnsi"/>
          <w:sz w:val="20"/>
          <w:szCs w:val="20"/>
        </w:rPr>
        <w:t>Si la biomasse actuelle (</w:t>
      </w:r>
      <w:r w:rsidR="00381439" w:rsidRPr="009558E6">
        <w:rPr>
          <w:rFonts w:asciiTheme="majorHAnsi" w:hAnsiTheme="majorHAnsi"/>
          <w:sz w:val="20"/>
          <w:szCs w:val="20"/>
        </w:rPr>
        <w:t>B</w:t>
      </w:r>
      <w:r w:rsidR="00381439" w:rsidRPr="009558E6">
        <w:rPr>
          <w:rFonts w:asciiTheme="majorHAnsi" w:hAnsiTheme="majorHAnsi"/>
          <w:smallCaps/>
          <w:sz w:val="20"/>
          <w:szCs w:val="20"/>
          <w:vertAlign w:val="subscript"/>
        </w:rPr>
        <w:t>actuelle</w:t>
      </w:r>
      <w:r w:rsidRPr="009558E6">
        <w:rPr>
          <w:rFonts w:asciiTheme="majorHAnsi" w:hAnsiTheme="majorHAnsi"/>
          <w:sz w:val="20"/>
          <w:szCs w:val="20"/>
        </w:rPr>
        <w:t>) est estimée se situer en dessous du niveau seuil (</w:t>
      </w:r>
      <w:r w:rsidR="00381439" w:rsidRPr="009558E6">
        <w:rPr>
          <w:rFonts w:asciiTheme="majorHAnsi" w:hAnsiTheme="majorHAnsi"/>
          <w:sz w:val="20"/>
          <w:szCs w:val="20"/>
        </w:rPr>
        <w:t>B</w:t>
      </w:r>
      <w:r w:rsidR="00381439" w:rsidRPr="009558E6">
        <w:rPr>
          <w:rFonts w:asciiTheme="majorHAnsi" w:hAnsiTheme="majorHAnsi"/>
          <w:sz w:val="20"/>
          <w:szCs w:val="20"/>
          <w:vertAlign w:val="subscript"/>
        </w:rPr>
        <w:t>SEUIL</w:t>
      </w:r>
      <w:r w:rsidRPr="009558E6">
        <w:rPr>
          <w:rFonts w:asciiTheme="majorHAnsi" w:hAnsiTheme="majorHAnsi"/>
          <w:sz w:val="20"/>
          <w:szCs w:val="20"/>
        </w:rPr>
        <w:t>) et au-delà de B</w:t>
      </w:r>
      <w:r w:rsidRPr="009558E6">
        <w:rPr>
          <w:rFonts w:asciiTheme="majorHAnsi" w:hAnsiTheme="majorHAnsi"/>
          <w:smallCaps/>
          <w:sz w:val="20"/>
          <w:szCs w:val="20"/>
          <w:vertAlign w:val="subscript"/>
        </w:rPr>
        <w:t>LIM</w:t>
      </w:r>
      <w:r w:rsidRPr="009558E6">
        <w:rPr>
          <w:rFonts w:asciiTheme="majorHAnsi" w:hAnsiTheme="majorHAnsi"/>
          <w:sz w:val="20"/>
          <w:szCs w:val="20"/>
        </w:rPr>
        <w:t xml:space="preserve">, la mortalité par pêche sera alors réduite de manière </w:t>
      </w:r>
      <w:r w:rsidR="009B4BA5" w:rsidRPr="009558E6">
        <w:rPr>
          <w:rFonts w:asciiTheme="majorHAnsi" w:hAnsiTheme="majorHAnsi"/>
          <w:sz w:val="20"/>
          <w:szCs w:val="20"/>
        </w:rPr>
        <w:t>linéaire</w:t>
      </w:r>
      <w:r w:rsidRPr="009558E6">
        <w:rPr>
          <w:rFonts w:asciiTheme="majorHAnsi" w:hAnsiTheme="majorHAnsi"/>
          <w:sz w:val="20"/>
          <w:szCs w:val="20"/>
        </w:rPr>
        <w:t xml:space="preserve"> pour la prochaine période de gestion pluriannuelle (F</w:t>
      </w:r>
      <w:r w:rsidRPr="009558E6">
        <w:rPr>
          <w:rFonts w:asciiTheme="majorHAnsi" w:hAnsiTheme="majorHAnsi"/>
          <w:sz w:val="20"/>
          <w:szCs w:val="20"/>
          <w:vertAlign w:val="subscript"/>
        </w:rPr>
        <w:t>PROCHAINE</w:t>
      </w:r>
      <w:r w:rsidRPr="009558E6">
        <w:rPr>
          <w:rFonts w:asciiTheme="majorHAnsi" w:hAnsiTheme="majorHAnsi"/>
          <w:sz w:val="20"/>
          <w:szCs w:val="20"/>
        </w:rPr>
        <w:t>) sur la base suivante</w:t>
      </w:r>
      <w:r w:rsidR="009B4BA5" w:rsidRPr="009558E6">
        <w:rPr>
          <w:rFonts w:asciiTheme="majorHAnsi" w:hAnsiTheme="majorHAnsi"/>
          <w:sz w:val="20"/>
          <w:szCs w:val="20"/>
        </w:rPr>
        <w:t xml:space="preserve"> </w:t>
      </w:r>
      <w:r w:rsidRPr="009558E6">
        <w:rPr>
          <w:rFonts w:asciiTheme="majorHAnsi" w:hAnsiTheme="majorHAnsi"/>
          <w:sz w:val="20"/>
          <w:szCs w:val="20"/>
        </w:rPr>
        <w:t xml:space="preserve">: </w:t>
      </w:r>
    </w:p>
    <w:p w14:paraId="5D68AA9A" w14:textId="77777777" w:rsidR="00014AA4" w:rsidRPr="009558E6" w:rsidRDefault="00014AA4" w:rsidP="0035431C">
      <w:pPr>
        <w:pStyle w:val="ListParagraph"/>
        <w:autoSpaceDE w:val="0"/>
        <w:autoSpaceDN w:val="0"/>
        <w:adjustRightInd w:val="0"/>
        <w:spacing w:after="0" w:line="240" w:lineRule="auto"/>
        <w:ind w:left="1440"/>
        <w:jc w:val="both"/>
        <w:rPr>
          <w:rFonts w:asciiTheme="majorHAnsi" w:hAnsiTheme="majorHAnsi" w:cs="Cambria"/>
          <w:sz w:val="20"/>
          <w:szCs w:val="20"/>
        </w:rPr>
      </w:pPr>
    </w:p>
    <w:p w14:paraId="5BDF16AE" w14:textId="41E018AA" w:rsidR="008D0A00" w:rsidRPr="009558E6" w:rsidRDefault="005D6C3F" w:rsidP="0035431C">
      <w:pPr>
        <w:autoSpaceDE w:val="0"/>
        <w:autoSpaceDN w:val="0"/>
        <w:adjustRightInd w:val="0"/>
        <w:spacing w:after="0" w:line="240" w:lineRule="auto"/>
        <w:contextualSpacing/>
        <w:jc w:val="center"/>
        <w:rPr>
          <w:rFonts w:asciiTheme="majorHAnsi" w:hAnsiTheme="majorHAnsi" w:cs="Cambria"/>
          <w:sz w:val="20"/>
          <w:szCs w:val="20"/>
          <w:lang w:val="en-US"/>
        </w:rPr>
      </w:pPr>
      <m:oMath>
        <m:f>
          <m:fPr>
            <m:type m:val="noBar"/>
            <m:ctrlPr>
              <w:rPr>
                <w:rFonts w:ascii="Cambria Math" w:hAnsi="Cambria Math" w:cs="Cambria Math"/>
                <w:i/>
                <w:sz w:val="20"/>
                <w:szCs w:val="20"/>
              </w:rPr>
            </m:ctrlPr>
          </m:fPr>
          <m:num>
            <m:r>
              <w:rPr>
                <w:rFonts w:ascii="Cambria Math" w:hAnsi="Cambria Math" w:cs="Cambria Math"/>
                <w:sz w:val="20"/>
                <w:szCs w:val="20"/>
              </w:rPr>
              <m:t>FNEXT</m:t>
            </m:r>
          </m:num>
          <m:den>
            <m:r>
              <w:rPr>
                <w:rFonts w:ascii="Cambria Math" w:hAnsi="Cambria Math" w:cs="Cambria Math"/>
                <w:sz w:val="20"/>
                <w:szCs w:val="20"/>
                <w:lang w:val="en-US"/>
              </w:rPr>
              <m:t xml:space="preserve"> </m:t>
            </m:r>
          </m:den>
        </m:f>
      </m:oMath>
      <w:r w:rsidR="001B30A2" w:rsidRPr="009558E6">
        <w:rPr>
          <w:rFonts w:asciiTheme="majorHAnsi" w:hAnsiTheme="majorHAnsi"/>
          <w:sz w:val="20"/>
          <w:szCs w:val="20"/>
          <w:lang w:val="en-US"/>
        </w:rPr>
        <w:t xml:space="preserve"> = (+∗</w:t>
      </w:r>
      <m:oMath>
        <m:f>
          <m:fPr>
            <m:ctrlPr>
              <w:rPr>
                <w:rFonts w:ascii="Cambria Math" w:hAnsi="Cambria Math" w:cs="Cambria Math"/>
                <w:i/>
                <w:sz w:val="20"/>
                <w:szCs w:val="20"/>
              </w:rPr>
            </m:ctrlPr>
          </m:fPr>
          <m:num>
            <m:r>
              <w:rPr>
                <w:rFonts w:ascii="Cambria Math" w:hAnsi="Cambria Math" w:cs="Cambria Math"/>
                <w:sz w:val="20"/>
                <w:szCs w:val="20"/>
              </w:rPr>
              <m:t>BCURR</m:t>
            </m:r>
          </m:num>
          <m:den>
            <m:r>
              <w:rPr>
                <w:rFonts w:ascii="Cambria Math" w:hAnsi="Cambria Math" w:cs="Cambria Math"/>
                <w:sz w:val="20"/>
                <w:szCs w:val="20"/>
              </w:rPr>
              <m:t>BMSY</m:t>
            </m:r>
          </m:den>
        </m:f>
      </m:oMath>
      <w:r w:rsidR="001B30A2" w:rsidRPr="009558E6">
        <w:rPr>
          <w:rFonts w:asciiTheme="majorHAnsi" w:hAnsiTheme="majorHAnsi"/>
          <w:sz w:val="20"/>
          <w:szCs w:val="20"/>
          <w:lang w:val="en-US"/>
        </w:rPr>
        <w:t xml:space="preserve"> )* F</w:t>
      </w:r>
      <w:r w:rsidR="003379C1" w:rsidRPr="009558E6">
        <w:rPr>
          <w:rFonts w:asciiTheme="majorHAnsi" w:hAnsiTheme="majorHAnsi"/>
          <w:sz w:val="20"/>
          <w:szCs w:val="20"/>
          <w:vertAlign w:val="subscript"/>
          <w:lang w:val="en-US"/>
        </w:rPr>
        <w:t>PME</w:t>
      </w:r>
      <w:r w:rsidR="001B30A2" w:rsidRPr="009558E6">
        <w:rPr>
          <w:rFonts w:asciiTheme="majorHAnsi" w:hAnsiTheme="majorHAnsi"/>
          <w:sz w:val="20"/>
          <w:szCs w:val="20"/>
          <w:lang w:val="en-US"/>
        </w:rPr>
        <w:t xml:space="preserve"> = (−0,367+1,167</w:t>
      </w:r>
      <m:oMath>
        <m:r>
          <w:rPr>
            <w:rFonts w:ascii="Cambria Math" w:hAnsi="Cambria Math" w:cs="Cambria Math"/>
            <w:sz w:val="20"/>
            <w:szCs w:val="20"/>
            <w:lang w:val="en-US"/>
          </w:rPr>
          <m:t xml:space="preserve"> </m:t>
        </m:r>
        <m:f>
          <m:fPr>
            <m:ctrlPr>
              <w:rPr>
                <w:rFonts w:ascii="Cambria Math" w:hAnsi="Cambria Math" w:cs="Cambria Math"/>
                <w:i/>
                <w:sz w:val="20"/>
                <w:szCs w:val="20"/>
              </w:rPr>
            </m:ctrlPr>
          </m:fPr>
          <m:num>
            <m:r>
              <w:rPr>
                <w:rFonts w:ascii="Cambria Math" w:hAnsi="Cambria Math" w:cs="Cambria Math"/>
                <w:sz w:val="20"/>
                <w:szCs w:val="20"/>
              </w:rPr>
              <m:t>BCURR</m:t>
            </m:r>
          </m:num>
          <m:den>
            <m:r>
              <w:rPr>
                <w:rFonts w:ascii="Cambria Math" w:hAnsi="Cambria Math" w:cs="Cambria Math"/>
                <w:sz w:val="20"/>
                <w:szCs w:val="20"/>
              </w:rPr>
              <m:t>BMSY</m:t>
            </m:r>
          </m:den>
        </m:f>
      </m:oMath>
      <w:r w:rsidR="001B30A2" w:rsidRPr="009558E6">
        <w:rPr>
          <w:rFonts w:asciiTheme="majorHAnsi" w:hAnsiTheme="majorHAnsi"/>
          <w:sz w:val="20"/>
          <w:szCs w:val="20"/>
          <w:lang w:val="en-US"/>
        </w:rPr>
        <w:t xml:space="preserve">)* </w:t>
      </w:r>
      <w:r w:rsidR="003379C1" w:rsidRPr="009558E6">
        <w:rPr>
          <w:rFonts w:asciiTheme="majorHAnsi" w:hAnsiTheme="majorHAnsi"/>
          <w:sz w:val="20"/>
          <w:szCs w:val="20"/>
          <w:lang w:val="en-US"/>
        </w:rPr>
        <w:t>F</w:t>
      </w:r>
      <w:r w:rsidR="003379C1" w:rsidRPr="009558E6">
        <w:rPr>
          <w:rFonts w:asciiTheme="majorHAnsi" w:hAnsiTheme="majorHAnsi"/>
          <w:sz w:val="20"/>
          <w:szCs w:val="20"/>
          <w:vertAlign w:val="subscript"/>
          <w:lang w:val="en-US"/>
        </w:rPr>
        <w:t>PME</w:t>
      </w:r>
    </w:p>
    <w:p w14:paraId="42F53713" w14:textId="77777777" w:rsidR="00014AA4" w:rsidRPr="009558E6" w:rsidRDefault="00014AA4" w:rsidP="0035431C">
      <w:pPr>
        <w:autoSpaceDE w:val="0"/>
        <w:autoSpaceDN w:val="0"/>
        <w:adjustRightInd w:val="0"/>
        <w:spacing w:after="0" w:line="240" w:lineRule="auto"/>
        <w:contextualSpacing/>
        <w:rPr>
          <w:rFonts w:asciiTheme="majorHAnsi" w:hAnsiTheme="majorHAnsi" w:cs="Cambria"/>
          <w:sz w:val="20"/>
          <w:szCs w:val="20"/>
          <w:lang w:val="en-US"/>
        </w:rPr>
      </w:pPr>
    </w:p>
    <w:p w14:paraId="544EAAF8" w14:textId="4938468F" w:rsidR="00014AA4" w:rsidRPr="009558E6" w:rsidRDefault="008D0A00" w:rsidP="0035431C">
      <w:pPr>
        <w:pStyle w:val="ListParagraph"/>
        <w:autoSpaceDE w:val="0"/>
        <w:autoSpaceDN w:val="0"/>
        <w:adjustRightInd w:val="0"/>
        <w:spacing w:after="0" w:line="240" w:lineRule="auto"/>
        <w:ind w:left="1800"/>
        <w:rPr>
          <w:rFonts w:asciiTheme="majorHAnsi" w:hAnsiTheme="majorHAnsi" w:cs="Cambria"/>
          <w:sz w:val="20"/>
          <w:szCs w:val="20"/>
        </w:rPr>
      </w:pPr>
      <w:r w:rsidRPr="009558E6">
        <w:rPr>
          <w:rFonts w:asciiTheme="majorHAnsi" w:hAnsiTheme="majorHAnsi"/>
          <w:sz w:val="20"/>
          <w:szCs w:val="20"/>
        </w:rPr>
        <w:t xml:space="preserve">où </w:t>
      </w:r>
      <m:oMath>
        <m:r>
          <w:rPr>
            <w:rFonts w:ascii="Cambria Math" w:eastAsiaTheme="minorEastAsia" w:hAnsi="Cambria Math"/>
            <w:sz w:val="20"/>
            <w:szCs w:val="20"/>
          </w:rPr>
          <m:t>a=</m:t>
        </m:r>
        <m:d>
          <m:dPr>
            <m:begChr m:val="["/>
            <m:endChr m:val="]"/>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Ftar</m:t>
                </m:r>
              </m:num>
              <m:den>
                <m:r>
                  <w:rPr>
                    <w:rFonts w:ascii="Cambria Math" w:eastAsiaTheme="minorEastAsia" w:hAnsi="Cambria Math"/>
                    <w:sz w:val="20"/>
                    <w:szCs w:val="20"/>
                  </w:rPr>
                  <m:t>FMSY</m:t>
                </m:r>
              </m:den>
            </m:f>
          </m:e>
        </m:d>
        <m:r>
          <w:rPr>
            <w:rFonts w:ascii="Cambria Math" w:eastAsiaTheme="minorEastAsia" w:hAnsi="Cambria Math"/>
            <w:sz w:val="20"/>
            <w:szCs w:val="20"/>
          </w:rPr>
          <m:t>-</m:t>
        </m:r>
        <m:d>
          <m:dPr>
            <m:begChr m:val="["/>
            <m:endChr m:val="]"/>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f>
                  <m:fPr>
                    <m:ctrlPr>
                      <w:rPr>
                        <w:rFonts w:ascii="Cambria Math" w:eastAsiaTheme="minorEastAsia" w:hAnsi="Cambria Math"/>
                        <w:i/>
                        <w:sz w:val="20"/>
                        <w:szCs w:val="20"/>
                      </w:rPr>
                    </m:ctrlPr>
                  </m:fPr>
                  <m:num>
                    <m:r>
                      <w:rPr>
                        <w:rFonts w:ascii="Cambria Math" w:eastAsiaTheme="minorEastAsia" w:hAnsi="Cambria Math"/>
                        <w:sz w:val="20"/>
                        <w:szCs w:val="20"/>
                      </w:rPr>
                      <m:t>Ftar</m:t>
                    </m:r>
                  </m:num>
                  <m:den>
                    <m:r>
                      <w:rPr>
                        <w:rFonts w:ascii="Cambria Math" w:eastAsiaTheme="minorEastAsia" w:hAnsi="Cambria Math"/>
                        <w:sz w:val="20"/>
                        <w:szCs w:val="20"/>
                      </w:rPr>
                      <m:t>FMSY</m:t>
                    </m:r>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Fmin</m:t>
                    </m:r>
                  </m:num>
                  <m:den>
                    <m:r>
                      <w:rPr>
                        <w:rFonts w:ascii="Cambria Math" w:eastAsiaTheme="minorEastAsia" w:hAnsi="Cambria Math"/>
                        <w:sz w:val="20"/>
                        <w:szCs w:val="20"/>
                      </w:rPr>
                      <m:t>FMSY</m:t>
                    </m:r>
                  </m:den>
                </m:f>
              </m:num>
              <m:den>
                <m:f>
                  <m:fPr>
                    <m:ctrlPr>
                      <w:rPr>
                        <w:rFonts w:ascii="Cambria Math" w:eastAsiaTheme="minorEastAsia" w:hAnsi="Cambria Math"/>
                        <w:i/>
                        <w:sz w:val="20"/>
                        <w:szCs w:val="20"/>
                      </w:rPr>
                    </m:ctrlPr>
                  </m:fPr>
                  <m:num>
                    <m:r>
                      <w:rPr>
                        <w:rFonts w:ascii="Cambria Math" w:eastAsiaTheme="minorEastAsia" w:hAnsi="Cambria Math"/>
                        <w:sz w:val="20"/>
                        <w:szCs w:val="20"/>
                      </w:rPr>
                      <m:t>Bthresh</m:t>
                    </m:r>
                  </m:num>
                  <m:den>
                    <m:r>
                      <w:rPr>
                        <w:rFonts w:ascii="Cambria Math" w:eastAsiaTheme="minorEastAsia" w:hAnsi="Cambria Math"/>
                        <w:sz w:val="20"/>
                        <w:szCs w:val="20"/>
                      </w:rPr>
                      <m:t>BMSY</m:t>
                    </m:r>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Blim</m:t>
                    </m:r>
                  </m:num>
                  <m:den>
                    <m:r>
                      <w:rPr>
                        <w:rFonts w:ascii="Cambria Math" w:eastAsiaTheme="minorEastAsia" w:hAnsi="Cambria Math"/>
                        <w:sz w:val="20"/>
                        <w:szCs w:val="20"/>
                      </w:rPr>
                      <m:t>BMSY</m:t>
                    </m:r>
                  </m:den>
                </m:f>
              </m:den>
            </m:f>
          </m:e>
        </m:d>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Bthresh</m:t>
            </m:r>
          </m:num>
          <m:den>
            <m:r>
              <w:rPr>
                <w:rFonts w:ascii="Cambria Math" w:eastAsiaTheme="minorEastAsia" w:hAnsi="Cambria Math"/>
                <w:sz w:val="20"/>
                <w:szCs w:val="20"/>
              </w:rPr>
              <m:t>BMSY</m:t>
            </m:r>
          </m:den>
        </m:f>
      </m:oMath>
      <w:r w:rsidRPr="009558E6">
        <w:rPr>
          <w:rFonts w:asciiTheme="majorHAnsi" w:hAnsiTheme="majorHAnsi"/>
          <w:sz w:val="20"/>
          <w:szCs w:val="20"/>
        </w:rPr>
        <w:t xml:space="preserve">= -0,367 </w:t>
      </w:r>
    </w:p>
    <w:p w14:paraId="6901C87A" w14:textId="77777777" w:rsidR="00014AA4" w:rsidRPr="009558E6" w:rsidRDefault="00014AA4" w:rsidP="0035431C">
      <w:pPr>
        <w:autoSpaceDE w:val="0"/>
        <w:autoSpaceDN w:val="0"/>
        <w:adjustRightInd w:val="0"/>
        <w:spacing w:after="0" w:line="240" w:lineRule="auto"/>
        <w:ind w:left="1440"/>
        <w:contextualSpacing/>
        <w:rPr>
          <w:rFonts w:asciiTheme="majorHAnsi" w:hAnsiTheme="majorHAnsi" w:cs="Cambria"/>
          <w:sz w:val="20"/>
          <w:szCs w:val="20"/>
        </w:rPr>
      </w:pPr>
    </w:p>
    <w:p w14:paraId="0474EF1A" w14:textId="406F2949" w:rsidR="00014AA4" w:rsidRPr="009558E6" w:rsidRDefault="00DA7810" w:rsidP="0035431C">
      <w:pPr>
        <w:autoSpaceDE w:val="0"/>
        <w:autoSpaceDN w:val="0"/>
        <w:adjustRightInd w:val="0"/>
        <w:spacing w:after="0" w:line="240" w:lineRule="auto"/>
        <w:ind w:left="2160"/>
        <w:contextualSpacing/>
        <w:rPr>
          <w:rFonts w:asciiTheme="majorHAnsi" w:hAnsiTheme="majorHAnsi" w:cs="Cambria"/>
          <w:sz w:val="20"/>
          <w:szCs w:val="20"/>
          <w:lang w:val="en-US"/>
        </w:rPr>
      </w:pPr>
      <w:r w:rsidRPr="009558E6">
        <w:rPr>
          <w:rFonts w:asciiTheme="majorHAnsi" w:hAnsiTheme="majorHAnsi"/>
          <w:i/>
          <w:iCs/>
          <w:sz w:val="20"/>
          <w:szCs w:val="20"/>
        </w:rPr>
        <w:t xml:space="preserve">   </w:t>
      </w:r>
      <w:r w:rsidR="008D0A00" w:rsidRPr="009558E6">
        <w:rPr>
          <w:rFonts w:asciiTheme="majorHAnsi" w:hAnsiTheme="majorHAnsi"/>
          <w:i/>
          <w:iCs/>
          <w:sz w:val="20"/>
          <w:szCs w:val="20"/>
        </w:rPr>
        <w:t xml:space="preserve"> </w:t>
      </w:r>
      <w:r w:rsidR="008D0A00" w:rsidRPr="009558E6">
        <w:rPr>
          <w:rFonts w:asciiTheme="majorHAnsi" w:hAnsiTheme="majorHAnsi"/>
          <w:i/>
          <w:iCs/>
          <w:sz w:val="20"/>
          <w:szCs w:val="20"/>
          <w:lang w:val="en-US"/>
        </w:rPr>
        <w:t xml:space="preserve">b </w:t>
      </w:r>
      <w:r w:rsidR="008D0A00" w:rsidRPr="009558E6">
        <w:rPr>
          <w:rFonts w:asciiTheme="majorHAnsi" w:hAnsiTheme="majorHAnsi"/>
          <w:sz w:val="20"/>
          <w:szCs w:val="20"/>
          <w:lang w:val="en-US"/>
        </w:rPr>
        <w:t xml:space="preserve">= </w:t>
      </w:r>
      <m:oMath>
        <m:d>
          <m:dPr>
            <m:begChr m:val="["/>
            <m:endChr m:val="]"/>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f>
                  <m:fPr>
                    <m:ctrlPr>
                      <w:rPr>
                        <w:rFonts w:ascii="Cambria Math" w:eastAsiaTheme="minorEastAsia" w:hAnsi="Cambria Math"/>
                        <w:i/>
                        <w:sz w:val="20"/>
                        <w:szCs w:val="20"/>
                      </w:rPr>
                    </m:ctrlPr>
                  </m:fPr>
                  <m:num>
                    <m:r>
                      <w:rPr>
                        <w:rFonts w:ascii="Cambria Math" w:eastAsiaTheme="minorEastAsia" w:hAnsi="Cambria Math"/>
                        <w:sz w:val="20"/>
                        <w:szCs w:val="20"/>
                      </w:rPr>
                      <m:t>Ftar</m:t>
                    </m:r>
                  </m:num>
                  <m:den>
                    <m:r>
                      <w:rPr>
                        <w:rFonts w:ascii="Cambria Math" w:eastAsiaTheme="minorEastAsia" w:hAnsi="Cambria Math"/>
                        <w:sz w:val="20"/>
                        <w:szCs w:val="20"/>
                      </w:rPr>
                      <m:t>FMSY</m:t>
                    </m:r>
                  </m:den>
                </m:f>
                <m:r>
                  <w:rPr>
                    <w:rFonts w:ascii="Cambria Math" w:eastAsiaTheme="minorEastAsia" w:hAnsi="Cambria Math"/>
                    <w:sz w:val="20"/>
                    <w:szCs w:val="20"/>
                    <w:lang w:val="pl-PL"/>
                  </w:rPr>
                  <m:t>-</m:t>
                </m:r>
                <m:f>
                  <m:fPr>
                    <m:ctrlPr>
                      <w:rPr>
                        <w:rFonts w:ascii="Cambria Math" w:eastAsiaTheme="minorEastAsia" w:hAnsi="Cambria Math"/>
                        <w:i/>
                        <w:sz w:val="20"/>
                        <w:szCs w:val="20"/>
                      </w:rPr>
                    </m:ctrlPr>
                  </m:fPr>
                  <m:num>
                    <m:r>
                      <w:rPr>
                        <w:rFonts w:ascii="Cambria Math" w:eastAsiaTheme="minorEastAsia" w:hAnsi="Cambria Math"/>
                        <w:sz w:val="20"/>
                        <w:szCs w:val="20"/>
                      </w:rPr>
                      <m:t>Fmin</m:t>
                    </m:r>
                  </m:num>
                  <m:den>
                    <m:r>
                      <w:rPr>
                        <w:rFonts w:ascii="Cambria Math" w:eastAsiaTheme="minorEastAsia" w:hAnsi="Cambria Math"/>
                        <w:sz w:val="20"/>
                        <w:szCs w:val="20"/>
                      </w:rPr>
                      <m:t>FMSY</m:t>
                    </m:r>
                  </m:den>
                </m:f>
              </m:num>
              <m:den>
                <m:f>
                  <m:fPr>
                    <m:ctrlPr>
                      <w:rPr>
                        <w:rFonts w:ascii="Cambria Math" w:eastAsiaTheme="minorEastAsia" w:hAnsi="Cambria Math"/>
                        <w:i/>
                        <w:sz w:val="20"/>
                        <w:szCs w:val="20"/>
                      </w:rPr>
                    </m:ctrlPr>
                  </m:fPr>
                  <m:num>
                    <m:r>
                      <w:rPr>
                        <w:rFonts w:ascii="Cambria Math" w:eastAsiaTheme="minorEastAsia" w:hAnsi="Cambria Math"/>
                        <w:sz w:val="20"/>
                        <w:szCs w:val="20"/>
                      </w:rPr>
                      <m:t>Bt</m:t>
                    </m:r>
                    <m:r>
                      <w:rPr>
                        <w:rFonts w:ascii="Cambria Math" w:eastAsiaTheme="minorEastAsia" w:hAnsi="Cambria Math"/>
                        <w:sz w:val="20"/>
                        <w:szCs w:val="20"/>
                        <w:lang w:val="pl-PL"/>
                      </w:rPr>
                      <m:t>h</m:t>
                    </m:r>
                    <m:r>
                      <w:rPr>
                        <w:rFonts w:ascii="Cambria Math" w:eastAsiaTheme="minorEastAsia" w:hAnsi="Cambria Math"/>
                        <w:sz w:val="20"/>
                        <w:szCs w:val="20"/>
                      </w:rPr>
                      <m:t>res</m:t>
                    </m:r>
                    <m:r>
                      <w:rPr>
                        <w:rFonts w:ascii="Cambria Math" w:eastAsiaTheme="minorEastAsia" w:hAnsi="Cambria Math"/>
                        <w:sz w:val="20"/>
                        <w:szCs w:val="20"/>
                        <w:lang w:val="pl-PL"/>
                      </w:rPr>
                      <m:t>h</m:t>
                    </m:r>
                  </m:num>
                  <m:den>
                    <m:r>
                      <w:rPr>
                        <w:rFonts w:ascii="Cambria Math" w:eastAsiaTheme="minorEastAsia" w:hAnsi="Cambria Math"/>
                        <w:sz w:val="20"/>
                        <w:szCs w:val="20"/>
                      </w:rPr>
                      <m:t>BMSY</m:t>
                    </m:r>
                  </m:den>
                </m:f>
                <m:r>
                  <w:rPr>
                    <w:rFonts w:ascii="Cambria Math" w:eastAsiaTheme="minorEastAsia" w:hAnsi="Cambria Math"/>
                    <w:sz w:val="20"/>
                    <w:szCs w:val="20"/>
                    <w:lang w:val="pl-PL"/>
                  </w:rPr>
                  <m:t>-</m:t>
                </m:r>
                <m:f>
                  <m:fPr>
                    <m:ctrlPr>
                      <w:rPr>
                        <w:rFonts w:ascii="Cambria Math" w:eastAsiaTheme="minorEastAsia" w:hAnsi="Cambria Math"/>
                        <w:i/>
                        <w:sz w:val="20"/>
                        <w:szCs w:val="20"/>
                      </w:rPr>
                    </m:ctrlPr>
                  </m:fPr>
                  <m:num>
                    <m:r>
                      <w:rPr>
                        <w:rFonts w:ascii="Cambria Math" w:eastAsiaTheme="minorEastAsia" w:hAnsi="Cambria Math"/>
                        <w:sz w:val="20"/>
                        <w:szCs w:val="20"/>
                      </w:rPr>
                      <m:t>Blim</m:t>
                    </m:r>
                  </m:num>
                  <m:den>
                    <m:r>
                      <w:rPr>
                        <w:rFonts w:ascii="Cambria Math" w:eastAsiaTheme="minorEastAsia" w:hAnsi="Cambria Math"/>
                        <w:sz w:val="20"/>
                        <w:szCs w:val="20"/>
                      </w:rPr>
                      <m:t>BMSY</m:t>
                    </m:r>
                  </m:den>
                </m:f>
              </m:den>
            </m:f>
          </m:e>
        </m:d>
      </m:oMath>
      <w:r w:rsidR="008D0A00" w:rsidRPr="009558E6">
        <w:rPr>
          <w:rFonts w:asciiTheme="majorHAnsi" w:hAnsiTheme="majorHAnsi"/>
          <w:sz w:val="20"/>
          <w:szCs w:val="20"/>
          <w:lang w:val="en-US"/>
        </w:rPr>
        <w:t xml:space="preserve"> = 1,167</w:t>
      </w:r>
    </w:p>
    <w:p w14:paraId="150578D0" w14:textId="37BB091D" w:rsidR="00014AA4" w:rsidRPr="009558E6" w:rsidRDefault="00014AA4" w:rsidP="0035431C">
      <w:pPr>
        <w:autoSpaceDE w:val="0"/>
        <w:autoSpaceDN w:val="0"/>
        <w:adjustRightInd w:val="0"/>
        <w:spacing w:after="0" w:line="240" w:lineRule="auto"/>
        <w:ind w:left="45"/>
        <w:contextualSpacing/>
        <w:rPr>
          <w:rFonts w:asciiTheme="majorHAnsi" w:hAnsiTheme="majorHAnsi" w:cs="Cambria"/>
          <w:sz w:val="20"/>
          <w:szCs w:val="20"/>
          <w:lang w:val="pl-PL"/>
        </w:rPr>
      </w:pPr>
    </w:p>
    <w:p w14:paraId="0DF8782A" w14:textId="77777777" w:rsidR="00014AA4" w:rsidRPr="009558E6" w:rsidRDefault="00014AA4" w:rsidP="0035431C">
      <w:pPr>
        <w:pStyle w:val="ListParagraph"/>
        <w:numPr>
          <w:ilvl w:val="1"/>
          <w:numId w:val="34"/>
        </w:numPr>
        <w:autoSpaceDE w:val="0"/>
        <w:autoSpaceDN w:val="0"/>
        <w:adjustRightInd w:val="0"/>
        <w:spacing w:after="0" w:line="240" w:lineRule="auto"/>
        <w:jc w:val="both"/>
        <w:rPr>
          <w:rFonts w:asciiTheme="majorHAnsi" w:hAnsiTheme="majorHAnsi" w:cs="Cambria"/>
          <w:sz w:val="20"/>
          <w:szCs w:val="20"/>
        </w:rPr>
      </w:pPr>
      <w:r w:rsidRPr="009558E6">
        <w:rPr>
          <w:rFonts w:asciiTheme="majorHAnsi" w:hAnsiTheme="majorHAnsi"/>
          <w:sz w:val="20"/>
          <w:szCs w:val="20"/>
        </w:rPr>
        <w:t>Si la biomasse actuelle (B</w:t>
      </w:r>
      <w:r w:rsidRPr="009558E6">
        <w:rPr>
          <w:rFonts w:asciiTheme="majorHAnsi" w:hAnsiTheme="majorHAnsi"/>
          <w:sz w:val="20"/>
          <w:szCs w:val="20"/>
          <w:vertAlign w:val="subscript"/>
        </w:rPr>
        <w:t>ACTUELLE</w:t>
      </w:r>
      <w:r w:rsidRPr="009558E6">
        <w:rPr>
          <w:rFonts w:asciiTheme="majorHAnsi" w:hAnsiTheme="majorHAnsi"/>
          <w:sz w:val="20"/>
          <w:szCs w:val="20"/>
        </w:rPr>
        <w:t>) est estimée se situer à B</w:t>
      </w:r>
      <w:r w:rsidRPr="009558E6">
        <w:rPr>
          <w:rFonts w:asciiTheme="majorHAnsi" w:hAnsiTheme="majorHAnsi"/>
          <w:sz w:val="20"/>
          <w:szCs w:val="20"/>
          <w:vertAlign w:val="subscript"/>
        </w:rPr>
        <w:t>LIM</w:t>
      </w:r>
      <w:r w:rsidRPr="009558E6">
        <w:rPr>
          <w:rFonts w:asciiTheme="majorHAnsi" w:hAnsiTheme="majorHAnsi"/>
          <w:sz w:val="20"/>
          <w:szCs w:val="20"/>
        </w:rPr>
        <w:t>, ou en dessous, la mortalité par pêche devra alors être établie à F</w:t>
      </w:r>
      <w:r w:rsidRPr="009558E6">
        <w:rPr>
          <w:rFonts w:asciiTheme="majorHAnsi" w:hAnsiTheme="majorHAnsi"/>
          <w:sz w:val="20"/>
          <w:szCs w:val="20"/>
          <w:vertAlign w:val="subscript"/>
        </w:rPr>
        <w:t>MIN</w:t>
      </w:r>
      <w:r w:rsidRPr="009558E6">
        <w:rPr>
          <w:rFonts w:asciiTheme="majorHAnsi" w:hAnsiTheme="majorHAnsi"/>
          <w:sz w:val="20"/>
          <w:szCs w:val="20"/>
        </w:rPr>
        <w:t xml:space="preserve"> afin de garantir un niveau de capture à des fins de suivi scientifique. </w:t>
      </w:r>
    </w:p>
    <w:p w14:paraId="1026AA5E" w14:textId="77777777" w:rsidR="00014AA4" w:rsidRPr="009558E6" w:rsidRDefault="00014AA4" w:rsidP="0035431C">
      <w:pPr>
        <w:pStyle w:val="ListParagraph"/>
        <w:autoSpaceDE w:val="0"/>
        <w:autoSpaceDN w:val="0"/>
        <w:adjustRightInd w:val="0"/>
        <w:spacing w:after="0" w:line="240" w:lineRule="auto"/>
        <w:ind w:left="1440"/>
        <w:rPr>
          <w:rFonts w:asciiTheme="majorHAnsi" w:hAnsiTheme="majorHAnsi" w:cs="Cambria"/>
          <w:sz w:val="8"/>
          <w:szCs w:val="8"/>
        </w:rPr>
      </w:pPr>
    </w:p>
    <w:p w14:paraId="36629A16" w14:textId="77777777" w:rsidR="00014AA4" w:rsidRPr="009558E6" w:rsidRDefault="00014AA4" w:rsidP="0035431C">
      <w:pPr>
        <w:pStyle w:val="ListParagraph"/>
        <w:numPr>
          <w:ilvl w:val="1"/>
          <w:numId w:val="34"/>
        </w:numPr>
        <w:autoSpaceDE w:val="0"/>
        <w:autoSpaceDN w:val="0"/>
        <w:adjustRightInd w:val="0"/>
        <w:spacing w:after="0" w:line="240" w:lineRule="auto"/>
        <w:jc w:val="both"/>
        <w:rPr>
          <w:rFonts w:asciiTheme="majorHAnsi" w:hAnsiTheme="majorHAnsi" w:cs="Cambria"/>
          <w:sz w:val="20"/>
          <w:szCs w:val="20"/>
        </w:rPr>
      </w:pPr>
      <w:r w:rsidRPr="009558E6">
        <w:rPr>
          <w:rFonts w:asciiTheme="majorHAnsi" w:hAnsiTheme="majorHAnsi"/>
          <w:sz w:val="20"/>
          <w:szCs w:val="20"/>
        </w:rPr>
        <w:t>La limite de capture maximale (C</w:t>
      </w:r>
      <w:r w:rsidRPr="009558E6">
        <w:rPr>
          <w:rFonts w:asciiTheme="majorHAnsi" w:hAnsiTheme="majorHAnsi"/>
          <w:sz w:val="20"/>
          <w:szCs w:val="20"/>
          <w:vertAlign w:val="subscript"/>
        </w:rPr>
        <w:t>MAX</w:t>
      </w:r>
      <w:r w:rsidRPr="009558E6">
        <w:rPr>
          <w:rFonts w:asciiTheme="majorHAnsi" w:hAnsiTheme="majorHAnsi"/>
          <w:sz w:val="20"/>
          <w:szCs w:val="20"/>
        </w:rPr>
        <w:t xml:space="preserve">) recommandée s’élève à 50.000 t afin d’éviter toute incidence négative d’évaluations des stocks potentiellement inexactes. </w:t>
      </w:r>
    </w:p>
    <w:p w14:paraId="7FBE11D5" w14:textId="77777777" w:rsidR="00014AA4" w:rsidRPr="009558E6" w:rsidRDefault="00014AA4" w:rsidP="0035431C">
      <w:pPr>
        <w:pStyle w:val="ListParagraph"/>
        <w:autoSpaceDE w:val="0"/>
        <w:autoSpaceDN w:val="0"/>
        <w:adjustRightInd w:val="0"/>
        <w:spacing w:after="0" w:line="240" w:lineRule="auto"/>
        <w:ind w:left="1440"/>
        <w:jc w:val="both"/>
        <w:rPr>
          <w:rFonts w:asciiTheme="majorHAnsi" w:hAnsiTheme="majorHAnsi" w:cs="Cambria"/>
          <w:sz w:val="8"/>
          <w:szCs w:val="8"/>
        </w:rPr>
      </w:pPr>
    </w:p>
    <w:p w14:paraId="74976D02" w14:textId="023D63B8" w:rsidR="00014AA4" w:rsidRPr="009558E6" w:rsidRDefault="00014AA4" w:rsidP="003379C1">
      <w:pPr>
        <w:pStyle w:val="ListParagraph"/>
        <w:numPr>
          <w:ilvl w:val="1"/>
          <w:numId w:val="34"/>
        </w:numPr>
        <w:autoSpaceDE w:val="0"/>
        <w:autoSpaceDN w:val="0"/>
        <w:adjustRightInd w:val="0"/>
        <w:spacing w:after="0" w:line="240" w:lineRule="auto"/>
        <w:jc w:val="both"/>
        <w:rPr>
          <w:rFonts w:asciiTheme="majorHAnsi" w:hAnsiTheme="majorHAnsi" w:cs="Cambria"/>
          <w:sz w:val="20"/>
          <w:szCs w:val="20"/>
        </w:rPr>
      </w:pPr>
      <w:r w:rsidRPr="009558E6">
        <w:rPr>
          <w:rFonts w:asciiTheme="majorHAnsi" w:hAnsiTheme="majorHAnsi"/>
          <w:sz w:val="20"/>
          <w:szCs w:val="20"/>
        </w:rPr>
        <w:t>Le changement maximum de la limite de capture (D</w:t>
      </w:r>
      <w:r w:rsidRPr="009558E6">
        <w:rPr>
          <w:rFonts w:asciiTheme="majorHAnsi" w:hAnsiTheme="majorHAnsi"/>
          <w:sz w:val="20"/>
          <w:szCs w:val="20"/>
          <w:vertAlign w:val="subscript"/>
        </w:rPr>
        <w:t>MAX</w:t>
      </w:r>
      <w:r w:rsidRPr="009558E6">
        <w:rPr>
          <w:rFonts w:asciiTheme="majorHAnsi" w:hAnsiTheme="majorHAnsi"/>
          <w:sz w:val="20"/>
          <w:szCs w:val="20"/>
        </w:rPr>
        <w:t xml:space="preserve">) </w:t>
      </w:r>
      <w:r w:rsidR="00A30A5F" w:rsidRPr="009558E6">
        <w:rPr>
          <w:rFonts w:asciiTheme="majorHAnsi" w:hAnsiTheme="majorHAnsi"/>
          <w:sz w:val="20"/>
          <w:szCs w:val="20"/>
        </w:rPr>
        <w:t>ne devra pas dépasser 25</w:t>
      </w:r>
      <w:r w:rsidR="00C146BD" w:rsidRPr="009558E6">
        <w:rPr>
          <w:rFonts w:asciiTheme="majorHAnsi" w:hAnsiTheme="majorHAnsi"/>
          <w:sz w:val="20"/>
          <w:szCs w:val="20"/>
        </w:rPr>
        <w:t> </w:t>
      </w:r>
      <w:r w:rsidR="00A30A5F" w:rsidRPr="009558E6">
        <w:rPr>
          <w:rFonts w:asciiTheme="majorHAnsi" w:hAnsiTheme="majorHAnsi"/>
          <w:sz w:val="20"/>
          <w:szCs w:val="20"/>
        </w:rPr>
        <w:t>% en cas d’augmentation ou 20% en cas de diminution</w:t>
      </w:r>
      <w:r w:rsidRPr="009558E6">
        <w:rPr>
          <w:rFonts w:asciiTheme="majorHAnsi" w:hAnsiTheme="majorHAnsi"/>
          <w:sz w:val="20"/>
          <w:szCs w:val="20"/>
        </w:rPr>
        <w:t xml:space="preserve"> par rapport à la limite de capture précédemment recommandée lorsque B</w:t>
      </w:r>
      <w:r w:rsidRPr="009558E6">
        <w:rPr>
          <w:rFonts w:asciiTheme="majorHAnsi" w:hAnsiTheme="majorHAnsi"/>
          <w:smallCaps/>
          <w:sz w:val="20"/>
          <w:szCs w:val="20"/>
          <w:vertAlign w:val="subscript"/>
        </w:rPr>
        <w:t>ACTUELLE</w:t>
      </w:r>
      <w:r w:rsidR="00DA7810" w:rsidRPr="009558E6">
        <w:rPr>
          <w:rFonts w:asciiTheme="majorHAnsi" w:hAnsiTheme="majorHAnsi"/>
          <w:sz w:val="20"/>
          <w:szCs w:val="20"/>
        </w:rPr>
        <w:t xml:space="preserve"> </w:t>
      </w:r>
      <w:r w:rsidR="00A30A5F" w:rsidRPr="009558E6">
        <w:rPr>
          <w:rFonts w:asciiTheme="majorHAnsi" w:hAnsiTheme="majorHAnsi"/>
          <w:sz w:val="20"/>
          <w:szCs w:val="20"/>
        </w:rPr>
        <w:t>≥</w:t>
      </w:r>
      <w:r w:rsidRPr="009558E6">
        <w:rPr>
          <w:rFonts w:asciiTheme="majorHAnsi" w:hAnsiTheme="majorHAnsi"/>
          <w:sz w:val="20"/>
          <w:szCs w:val="20"/>
        </w:rPr>
        <w:t>B</w:t>
      </w:r>
      <w:r w:rsidR="00E87179" w:rsidRPr="009558E6">
        <w:rPr>
          <w:rFonts w:asciiTheme="majorHAnsi" w:hAnsiTheme="majorHAnsi"/>
          <w:sz w:val="20"/>
          <w:szCs w:val="20"/>
          <w:vertAlign w:val="subscript"/>
        </w:rPr>
        <w:t>SEUIL</w:t>
      </w:r>
      <w:r w:rsidRPr="009558E6">
        <w:rPr>
          <w:rFonts w:asciiTheme="majorHAnsi" w:hAnsiTheme="majorHAnsi"/>
          <w:sz w:val="20"/>
          <w:szCs w:val="20"/>
        </w:rPr>
        <w:t>.</w:t>
      </w:r>
    </w:p>
    <w:p w14:paraId="3908C013" w14:textId="77777777" w:rsidR="006D3E16" w:rsidRPr="009558E6" w:rsidRDefault="006D3E16" w:rsidP="006D3E16">
      <w:pPr>
        <w:autoSpaceDE w:val="0"/>
        <w:autoSpaceDN w:val="0"/>
        <w:adjustRightInd w:val="0"/>
        <w:spacing w:after="0" w:line="240" w:lineRule="auto"/>
        <w:jc w:val="both"/>
        <w:rPr>
          <w:rFonts w:asciiTheme="majorHAnsi" w:hAnsiTheme="majorHAnsi" w:cs="Cambria"/>
          <w:sz w:val="20"/>
          <w:szCs w:val="20"/>
        </w:rPr>
      </w:pPr>
    </w:p>
    <w:p w14:paraId="00058F12" w14:textId="246ABB6F" w:rsidR="00014AA4" w:rsidRPr="009558E6" w:rsidRDefault="00014AA4" w:rsidP="0035431C">
      <w:pPr>
        <w:pStyle w:val="ListParagraph"/>
        <w:numPr>
          <w:ilvl w:val="0"/>
          <w:numId w:val="34"/>
        </w:numPr>
        <w:autoSpaceDE w:val="0"/>
        <w:autoSpaceDN w:val="0"/>
        <w:adjustRightInd w:val="0"/>
        <w:spacing w:after="0" w:line="240" w:lineRule="auto"/>
        <w:jc w:val="both"/>
        <w:rPr>
          <w:rFonts w:asciiTheme="majorHAnsi" w:hAnsiTheme="majorHAnsi" w:cs="Cambria"/>
          <w:sz w:val="20"/>
          <w:szCs w:val="20"/>
        </w:rPr>
      </w:pPr>
      <w:r w:rsidRPr="009558E6">
        <w:rPr>
          <w:rFonts w:asciiTheme="majorHAnsi" w:hAnsiTheme="majorHAnsi"/>
          <w:sz w:val="20"/>
          <w:szCs w:val="20"/>
        </w:rPr>
        <w:t>La HCR décrite au paragraphe 4</w:t>
      </w:r>
      <w:r w:rsidR="006E2077" w:rsidRPr="009558E6">
        <w:rPr>
          <w:rFonts w:asciiTheme="majorHAnsi" w:hAnsiTheme="majorHAnsi"/>
          <w:sz w:val="20"/>
          <w:szCs w:val="20"/>
        </w:rPr>
        <w:t>.</w:t>
      </w:r>
      <w:r w:rsidRPr="009558E6">
        <w:rPr>
          <w:rFonts w:asciiTheme="majorHAnsi" w:hAnsiTheme="majorHAnsi"/>
          <w:sz w:val="20"/>
          <w:szCs w:val="20"/>
        </w:rPr>
        <w:t>a</w:t>
      </w:r>
      <w:r w:rsidR="006E2077" w:rsidRPr="009558E6">
        <w:rPr>
          <w:rFonts w:asciiTheme="majorHAnsi" w:hAnsiTheme="majorHAnsi"/>
          <w:sz w:val="20"/>
          <w:szCs w:val="20"/>
        </w:rPr>
        <w:t>)</w:t>
      </w:r>
      <w:r w:rsidRPr="009558E6">
        <w:rPr>
          <w:rFonts w:asciiTheme="majorHAnsi" w:hAnsiTheme="majorHAnsi"/>
          <w:sz w:val="20"/>
          <w:szCs w:val="20"/>
        </w:rPr>
        <w:t>-d) permet d’obtenir un rapport entre l’état du stock et la mortalité par pêche, comme indiqué au graphique de l’</w:t>
      </w:r>
      <w:r w:rsidRPr="009558E6">
        <w:rPr>
          <w:rFonts w:asciiTheme="majorHAnsi" w:hAnsiTheme="majorHAnsi"/>
          <w:b/>
          <w:bCs/>
          <w:sz w:val="20"/>
          <w:szCs w:val="20"/>
        </w:rPr>
        <w:t>appendice B</w:t>
      </w:r>
      <w:r w:rsidRPr="009558E6">
        <w:rPr>
          <w:rFonts w:asciiTheme="majorHAnsi" w:hAnsiTheme="majorHAnsi"/>
          <w:sz w:val="20"/>
          <w:szCs w:val="20"/>
        </w:rPr>
        <w:t xml:space="preserve"> ci-dessous.</w:t>
      </w:r>
      <w:r w:rsidR="00DA7810" w:rsidRPr="009558E6">
        <w:rPr>
          <w:rFonts w:asciiTheme="majorHAnsi" w:hAnsiTheme="majorHAnsi"/>
          <w:sz w:val="20"/>
          <w:szCs w:val="20"/>
        </w:rPr>
        <w:t xml:space="preserve"> </w:t>
      </w:r>
      <w:r w:rsidRPr="009558E6">
        <w:rPr>
          <w:rFonts w:asciiTheme="majorHAnsi" w:hAnsiTheme="majorHAnsi"/>
          <w:sz w:val="20"/>
          <w:szCs w:val="20"/>
        </w:rPr>
        <w:t>Le tableau de l’</w:t>
      </w:r>
      <w:r w:rsidRPr="009558E6">
        <w:rPr>
          <w:rFonts w:asciiTheme="majorHAnsi" w:hAnsiTheme="majorHAnsi"/>
          <w:b/>
          <w:bCs/>
          <w:sz w:val="20"/>
          <w:szCs w:val="20"/>
        </w:rPr>
        <w:t xml:space="preserve">appendice C </w:t>
      </w:r>
      <w:r w:rsidRPr="009558E6">
        <w:rPr>
          <w:rFonts w:asciiTheme="majorHAnsi" w:hAnsiTheme="majorHAnsi"/>
          <w:sz w:val="20"/>
          <w:szCs w:val="20"/>
        </w:rPr>
        <w:t>répertorie les valeurs de la mortalité par pêche à appliquer (F</w:t>
      </w:r>
      <w:r w:rsidRPr="009558E6">
        <w:rPr>
          <w:rFonts w:asciiTheme="majorHAnsi" w:hAnsiTheme="majorHAnsi"/>
          <w:sz w:val="20"/>
          <w:szCs w:val="20"/>
          <w:vertAlign w:val="subscript"/>
        </w:rPr>
        <w:t>PROCHAINE</w:t>
      </w:r>
      <w:r w:rsidRPr="009558E6">
        <w:rPr>
          <w:rFonts w:asciiTheme="majorHAnsi" w:hAnsiTheme="majorHAnsi"/>
          <w:sz w:val="20"/>
          <w:szCs w:val="20"/>
        </w:rPr>
        <w:t>) pour les valeurs spécifiques de la biomasse relative (B</w:t>
      </w:r>
      <w:r w:rsidRPr="009558E6">
        <w:rPr>
          <w:rFonts w:asciiTheme="majorHAnsi" w:hAnsiTheme="majorHAnsi"/>
          <w:sz w:val="20"/>
          <w:szCs w:val="20"/>
          <w:vertAlign w:val="subscript"/>
        </w:rPr>
        <w:t>ACTUELLE</w:t>
      </w:r>
      <w:r w:rsidRPr="009558E6">
        <w:rPr>
          <w:rFonts w:asciiTheme="majorHAnsi" w:hAnsiTheme="majorHAnsi"/>
          <w:sz w:val="20"/>
          <w:szCs w:val="20"/>
        </w:rPr>
        <w:t>/B</w:t>
      </w:r>
      <w:r w:rsidRPr="009558E6">
        <w:rPr>
          <w:rFonts w:asciiTheme="majorHAnsi" w:hAnsiTheme="majorHAnsi"/>
          <w:sz w:val="20"/>
          <w:szCs w:val="20"/>
          <w:vertAlign w:val="subscript"/>
        </w:rPr>
        <w:t>PME</w:t>
      </w:r>
      <w:r w:rsidRPr="009558E6">
        <w:rPr>
          <w:rFonts w:asciiTheme="majorHAnsi" w:hAnsiTheme="majorHAnsi"/>
          <w:sz w:val="20"/>
          <w:szCs w:val="20"/>
        </w:rPr>
        <w:t xml:space="preserve">). </w:t>
      </w:r>
    </w:p>
    <w:p w14:paraId="182230E2" w14:textId="77777777" w:rsidR="008835F3" w:rsidRPr="009558E6" w:rsidRDefault="008835F3" w:rsidP="0035431C">
      <w:pPr>
        <w:spacing w:after="0" w:line="240" w:lineRule="auto"/>
        <w:contextualSpacing/>
        <w:rPr>
          <w:rFonts w:asciiTheme="majorHAnsi" w:hAnsiTheme="majorHAnsi" w:cs="Cambria-Italic"/>
          <w:sz w:val="20"/>
          <w:szCs w:val="20"/>
        </w:rPr>
        <w:sectPr w:rsidR="008835F3" w:rsidRPr="009558E6" w:rsidSect="00B046A3">
          <w:footerReference w:type="default" r:id="rId8"/>
          <w:headerReference w:type="first" r:id="rId9"/>
          <w:footnotePr>
            <w:numRestart w:val="eachSect"/>
          </w:footnotePr>
          <w:pgSz w:w="11907" w:h="16840" w:code="9"/>
          <w:pgMar w:top="1418" w:right="1418" w:bottom="1418" w:left="1418" w:header="851" w:footer="1134" w:gutter="0"/>
          <w:cols w:space="708"/>
          <w:docGrid w:linePitch="360"/>
        </w:sectPr>
      </w:pPr>
    </w:p>
    <w:p w14:paraId="35A958D0" w14:textId="53E2B0B7" w:rsidR="00323959" w:rsidRPr="009558E6" w:rsidRDefault="00323959" w:rsidP="000872AC">
      <w:pPr>
        <w:spacing w:after="0" w:line="240" w:lineRule="auto"/>
        <w:contextualSpacing/>
        <w:jc w:val="right"/>
        <w:rPr>
          <w:rFonts w:asciiTheme="majorHAnsi" w:hAnsiTheme="majorHAnsi" w:cs="Cambria-Italic"/>
          <w:b/>
          <w:bCs/>
          <w:sz w:val="20"/>
          <w:szCs w:val="20"/>
        </w:rPr>
      </w:pPr>
      <w:r w:rsidRPr="009558E6">
        <w:rPr>
          <w:rFonts w:asciiTheme="majorHAnsi" w:hAnsiTheme="majorHAnsi"/>
          <w:b/>
          <w:bCs/>
          <w:sz w:val="20"/>
          <w:szCs w:val="20"/>
        </w:rPr>
        <w:lastRenderedPageBreak/>
        <w:t xml:space="preserve">Appendice A de l’annexe </w:t>
      </w:r>
      <w:r w:rsidR="00AF73AB" w:rsidRPr="009558E6">
        <w:rPr>
          <w:rFonts w:asciiTheme="majorHAnsi" w:hAnsiTheme="majorHAnsi"/>
          <w:b/>
          <w:bCs/>
          <w:sz w:val="20"/>
          <w:szCs w:val="20"/>
        </w:rPr>
        <w:t>1</w:t>
      </w:r>
    </w:p>
    <w:p w14:paraId="33D6624E" w14:textId="77777777" w:rsidR="000872AC" w:rsidRPr="009558E6" w:rsidRDefault="000872AC" w:rsidP="0035431C">
      <w:pPr>
        <w:spacing w:after="0" w:line="240" w:lineRule="auto"/>
        <w:contextualSpacing/>
        <w:jc w:val="center"/>
        <w:rPr>
          <w:rFonts w:asciiTheme="majorHAnsi" w:hAnsiTheme="majorHAnsi"/>
          <w:b/>
          <w:bCs/>
          <w:sz w:val="20"/>
          <w:szCs w:val="20"/>
        </w:rPr>
      </w:pPr>
    </w:p>
    <w:p w14:paraId="3CC0F456" w14:textId="0F17F69E" w:rsidR="00323959" w:rsidRPr="009558E6" w:rsidRDefault="00531860" w:rsidP="0035431C">
      <w:pPr>
        <w:spacing w:after="0" w:line="240" w:lineRule="auto"/>
        <w:contextualSpacing/>
        <w:jc w:val="center"/>
        <w:rPr>
          <w:rFonts w:asciiTheme="majorHAnsi" w:hAnsiTheme="majorHAnsi"/>
          <w:b/>
          <w:bCs/>
          <w:sz w:val="20"/>
          <w:szCs w:val="20"/>
        </w:rPr>
      </w:pPr>
      <w:r w:rsidRPr="009558E6">
        <w:rPr>
          <w:rFonts w:asciiTheme="majorHAnsi" w:hAnsiTheme="majorHAnsi"/>
          <w:b/>
          <w:bCs/>
          <w:sz w:val="20"/>
          <w:szCs w:val="20"/>
        </w:rPr>
        <w:t>Spécifications des d</w:t>
      </w:r>
      <w:r w:rsidR="00BA01C9" w:rsidRPr="009558E6">
        <w:rPr>
          <w:rFonts w:asciiTheme="majorHAnsi" w:hAnsiTheme="majorHAnsi"/>
          <w:b/>
          <w:bCs/>
          <w:sz w:val="20"/>
          <w:szCs w:val="20"/>
        </w:rPr>
        <w:t>onnées et d'évaluation du stock pour la procédure de gestion du germon de l'Atlantique Nord</w:t>
      </w:r>
    </w:p>
    <w:p w14:paraId="2EB3A932" w14:textId="77777777" w:rsidR="000872AC" w:rsidRPr="009558E6" w:rsidRDefault="000872AC" w:rsidP="0035431C">
      <w:pPr>
        <w:spacing w:after="0" w:line="240" w:lineRule="auto"/>
        <w:contextualSpacing/>
        <w:jc w:val="center"/>
        <w:rPr>
          <w:rFonts w:asciiTheme="majorHAnsi" w:hAnsiTheme="majorHAnsi" w:cs="Cambria-Italic"/>
          <w:b/>
          <w:bCs/>
          <w:sz w:val="20"/>
          <w:szCs w:val="20"/>
        </w:rPr>
      </w:pPr>
    </w:p>
    <w:p w14:paraId="5B54AD8F" w14:textId="185C25E7" w:rsidR="00BA01C9" w:rsidRPr="009558E6" w:rsidRDefault="00602B38" w:rsidP="002463DB">
      <w:pPr>
        <w:pStyle w:val="ListParagraph"/>
        <w:numPr>
          <w:ilvl w:val="0"/>
          <w:numId w:val="23"/>
        </w:numPr>
        <w:spacing w:after="0" w:line="240" w:lineRule="auto"/>
        <w:ind w:left="426" w:hanging="426"/>
        <w:jc w:val="both"/>
        <w:rPr>
          <w:rFonts w:asciiTheme="majorHAnsi" w:hAnsiTheme="majorHAnsi" w:cs="Cambria-Italic"/>
          <w:sz w:val="20"/>
          <w:szCs w:val="20"/>
        </w:rPr>
      </w:pPr>
      <w:r w:rsidRPr="009558E6">
        <w:rPr>
          <w:rFonts w:asciiTheme="majorHAnsi" w:hAnsiTheme="majorHAnsi"/>
          <w:sz w:val="20"/>
          <w:szCs w:val="20"/>
        </w:rPr>
        <w:t xml:space="preserve">Indices de CPUE et leurs années de départ ; où « t » est l'année de l'itération de la procédure de gestion pour établir le TAC pour les années t+1, t+2 et t+3. </w:t>
      </w:r>
    </w:p>
    <w:p w14:paraId="2226BFD9" w14:textId="77777777" w:rsidR="002463DB" w:rsidRPr="009558E6" w:rsidRDefault="002463DB" w:rsidP="002463DB">
      <w:pPr>
        <w:pStyle w:val="ListParagraph"/>
        <w:spacing w:after="0" w:line="240" w:lineRule="auto"/>
        <w:ind w:left="426"/>
        <w:jc w:val="both"/>
        <w:rPr>
          <w:rFonts w:asciiTheme="majorHAnsi" w:hAnsiTheme="majorHAnsi" w:cs="Cambria-Italic"/>
          <w:sz w:val="20"/>
          <w:szCs w:val="20"/>
        </w:rPr>
      </w:pPr>
    </w:p>
    <w:tbl>
      <w:tblPr>
        <w:tblStyle w:val="TableGrid"/>
        <w:tblW w:w="0" w:type="auto"/>
        <w:jc w:val="center"/>
        <w:tblLook w:val="04A0" w:firstRow="1" w:lastRow="0" w:firstColumn="1" w:lastColumn="0" w:noHBand="0" w:noVBand="1"/>
      </w:tblPr>
      <w:tblGrid>
        <w:gridCol w:w="3119"/>
        <w:gridCol w:w="1843"/>
        <w:gridCol w:w="3544"/>
      </w:tblGrid>
      <w:tr w:rsidR="000A7818" w:rsidRPr="009558E6" w14:paraId="19E4C144" w14:textId="685E40F3" w:rsidTr="00381439">
        <w:trPr>
          <w:jc w:val="center"/>
        </w:trPr>
        <w:tc>
          <w:tcPr>
            <w:tcW w:w="3119" w:type="dxa"/>
          </w:tcPr>
          <w:p w14:paraId="110EFB03" w14:textId="73A20058" w:rsidR="000F2FA4"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Indice</w:t>
            </w:r>
          </w:p>
        </w:tc>
        <w:tc>
          <w:tcPr>
            <w:tcW w:w="1843" w:type="dxa"/>
          </w:tcPr>
          <w:p w14:paraId="06C04A08" w14:textId="1D19BD48" w:rsidR="000F2FA4"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Première année</w:t>
            </w:r>
          </w:p>
        </w:tc>
        <w:tc>
          <w:tcPr>
            <w:tcW w:w="3544" w:type="dxa"/>
          </w:tcPr>
          <w:p w14:paraId="02EEA9CF" w14:textId="02EAE6EE" w:rsidR="000F2FA4"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Année finale</w:t>
            </w:r>
          </w:p>
        </w:tc>
      </w:tr>
      <w:tr w:rsidR="000A7818" w:rsidRPr="009558E6" w14:paraId="1BA5F267" w14:textId="18F52386" w:rsidTr="00381439">
        <w:trPr>
          <w:jc w:val="center"/>
        </w:trPr>
        <w:tc>
          <w:tcPr>
            <w:tcW w:w="3119" w:type="dxa"/>
          </w:tcPr>
          <w:p w14:paraId="77D7158E" w14:textId="1E0E2CFC" w:rsidR="000F2FA4" w:rsidRPr="009558E6" w:rsidRDefault="000F2FA4" w:rsidP="00381439">
            <w:pPr>
              <w:pStyle w:val="Default"/>
              <w:contextualSpacing/>
              <w:jc w:val="both"/>
              <w:rPr>
                <w:rFonts w:asciiTheme="majorHAnsi" w:hAnsiTheme="majorHAnsi" w:cs="Cambria-Italic"/>
                <w:color w:val="auto"/>
                <w:sz w:val="20"/>
                <w:szCs w:val="20"/>
              </w:rPr>
            </w:pPr>
            <w:r w:rsidRPr="009558E6">
              <w:rPr>
                <w:rFonts w:asciiTheme="majorHAnsi" w:hAnsiTheme="majorHAnsi"/>
                <w:color w:val="auto"/>
                <w:sz w:val="20"/>
                <w:szCs w:val="20"/>
              </w:rPr>
              <w:t xml:space="preserve">Fin de la série LL du Taipei chinois </w:t>
            </w:r>
          </w:p>
        </w:tc>
        <w:tc>
          <w:tcPr>
            <w:tcW w:w="1843" w:type="dxa"/>
          </w:tcPr>
          <w:p w14:paraId="1162F036" w14:textId="181C3470" w:rsidR="000F2FA4"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1999</w:t>
            </w:r>
          </w:p>
        </w:tc>
        <w:tc>
          <w:tcPr>
            <w:tcW w:w="3544" w:type="dxa"/>
          </w:tcPr>
          <w:p w14:paraId="0F607D70" w14:textId="29D64B37" w:rsidR="000F2FA4"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t-1 de préférence (t-2 le cas contraire)</w:t>
            </w:r>
          </w:p>
        </w:tc>
      </w:tr>
      <w:tr w:rsidR="000A7818" w:rsidRPr="009558E6" w14:paraId="22C98B8D" w14:textId="03B8ED2F" w:rsidTr="00381439">
        <w:trPr>
          <w:jc w:val="center"/>
        </w:trPr>
        <w:tc>
          <w:tcPr>
            <w:tcW w:w="3119" w:type="dxa"/>
          </w:tcPr>
          <w:p w14:paraId="48512864" w14:textId="7C8D4570" w:rsidR="000F2FA4" w:rsidRPr="009558E6" w:rsidRDefault="000F2FA4" w:rsidP="0035431C">
            <w:pPr>
              <w:pStyle w:val="ListParagraph"/>
              <w:ind w:left="0"/>
              <w:rPr>
                <w:rFonts w:asciiTheme="majorHAnsi" w:hAnsiTheme="majorHAnsi" w:cs="Cambria-Italic"/>
                <w:sz w:val="20"/>
                <w:szCs w:val="20"/>
              </w:rPr>
            </w:pPr>
            <w:r w:rsidRPr="009558E6">
              <w:rPr>
                <w:rFonts w:asciiTheme="majorHAnsi" w:hAnsiTheme="majorHAnsi"/>
                <w:sz w:val="20"/>
                <w:szCs w:val="20"/>
              </w:rPr>
              <w:t>Prises accessoires LL Japon</w:t>
            </w:r>
          </w:p>
        </w:tc>
        <w:tc>
          <w:tcPr>
            <w:tcW w:w="1843" w:type="dxa"/>
          </w:tcPr>
          <w:p w14:paraId="6C876F66" w14:textId="267F51A4" w:rsidR="000F2FA4"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1988</w:t>
            </w:r>
          </w:p>
        </w:tc>
        <w:tc>
          <w:tcPr>
            <w:tcW w:w="3544" w:type="dxa"/>
          </w:tcPr>
          <w:p w14:paraId="686FE017" w14:textId="65F6DAB2" w:rsidR="000F2FA4"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t-1 de préférence (t-2 le cas contraire)</w:t>
            </w:r>
          </w:p>
        </w:tc>
      </w:tr>
      <w:tr w:rsidR="000A7818" w:rsidRPr="009558E6" w14:paraId="091CFBAD" w14:textId="26F4BF27" w:rsidTr="00381439">
        <w:trPr>
          <w:jc w:val="center"/>
        </w:trPr>
        <w:tc>
          <w:tcPr>
            <w:tcW w:w="3119" w:type="dxa"/>
          </w:tcPr>
          <w:p w14:paraId="28FB5E7D" w14:textId="02F92F15" w:rsidR="000F2FA4" w:rsidRPr="009558E6" w:rsidRDefault="000F2FA4" w:rsidP="0035431C">
            <w:pPr>
              <w:pStyle w:val="ListParagraph"/>
              <w:ind w:left="0"/>
              <w:rPr>
                <w:rFonts w:asciiTheme="majorHAnsi" w:hAnsiTheme="majorHAnsi" w:cs="Cambria-Italic"/>
                <w:sz w:val="20"/>
                <w:szCs w:val="20"/>
              </w:rPr>
            </w:pPr>
            <w:r w:rsidRPr="009558E6">
              <w:rPr>
                <w:rFonts w:asciiTheme="majorHAnsi" w:hAnsiTheme="majorHAnsi"/>
                <w:sz w:val="20"/>
                <w:szCs w:val="20"/>
              </w:rPr>
              <w:t>Canneurs espagnols</w:t>
            </w:r>
          </w:p>
        </w:tc>
        <w:tc>
          <w:tcPr>
            <w:tcW w:w="1843" w:type="dxa"/>
          </w:tcPr>
          <w:p w14:paraId="4E64B913" w14:textId="6AA7F30C" w:rsidR="000F2FA4"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1981</w:t>
            </w:r>
          </w:p>
        </w:tc>
        <w:tc>
          <w:tcPr>
            <w:tcW w:w="3544" w:type="dxa"/>
          </w:tcPr>
          <w:p w14:paraId="16560B1F" w14:textId="0480EF72" w:rsidR="000F2FA4"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t-1 de préférence (t-2 le cas contraire)</w:t>
            </w:r>
          </w:p>
        </w:tc>
      </w:tr>
      <w:tr w:rsidR="000A7818" w:rsidRPr="009558E6" w14:paraId="6FAF883F" w14:textId="7DF55077" w:rsidTr="00381439">
        <w:trPr>
          <w:jc w:val="center"/>
        </w:trPr>
        <w:tc>
          <w:tcPr>
            <w:tcW w:w="3119" w:type="dxa"/>
          </w:tcPr>
          <w:p w14:paraId="37EFD34C" w14:textId="62B160E1" w:rsidR="000F2FA4" w:rsidRPr="009558E6" w:rsidRDefault="000F2FA4" w:rsidP="0035431C">
            <w:pPr>
              <w:pStyle w:val="ListParagraph"/>
              <w:ind w:left="0"/>
              <w:rPr>
                <w:rFonts w:asciiTheme="majorHAnsi" w:hAnsiTheme="majorHAnsi" w:cs="Cambria-Italic"/>
                <w:sz w:val="20"/>
                <w:szCs w:val="20"/>
              </w:rPr>
            </w:pPr>
            <w:r w:rsidRPr="009558E6">
              <w:rPr>
                <w:rFonts w:asciiTheme="majorHAnsi" w:hAnsiTheme="majorHAnsi"/>
                <w:sz w:val="20"/>
                <w:szCs w:val="20"/>
              </w:rPr>
              <w:t>Palangriers États-Unis</w:t>
            </w:r>
          </w:p>
        </w:tc>
        <w:tc>
          <w:tcPr>
            <w:tcW w:w="1843" w:type="dxa"/>
          </w:tcPr>
          <w:p w14:paraId="0689CDF9" w14:textId="698D4779" w:rsidR="000F2FA4"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1987</w:t>
            </w:r>
          </w:p>
        </w:tc>
        <w:tc>
          <w:tcPr>
            <w:tcW w:w="3544" w:type="dxa"/>
          </w:tcPr>
          <w:p w14:paraId="471CEBE0" w14:textId="0B0D995F" w:rsidR="000F2FA4"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t-1 de préférence (t-2 le cas contraire)</w:t>
            </w:r>
          </w:p>
        </w:tc>
      </w:tr>
      <w:tr w:rsidR="00DF1160" w:rsidRPr="009558E6" w14:paraId="2725F906" w14:textId="3B91D9F3" w:rsidTr="00381439">
        <w:trPr>
          <w:jc w:val="center"/>
        </w:trPr>
        <w:tc>
          <w:tcPr>
            <w:tcW w:w="3119" w:type="dxa"/>
          </w:tcPr>
          <w:p w14:paraId="170B4156" w14:textId="64BFF74A" w:rsidR="000F2FA4" w:rsidRPr="009558E6" w:rsidRDefault="000F2FA4" w:rsidP="0035431C">
            <w:pPr>
              <w:pStyle w:val="ListParagraph"/>
              <w:ind w:left="0"/>
              <w:rPr>
                <w:rFonts w:asciiTheme="majorHAnsi" w:hAnsiTheme="majorHAnsi" w:cs="Cambria-Italic"/>
                <w:sz w:val="20"/>
                <w:szCs w:val="20"/>
              </w:rPr>
            </w:pPr>
            <w:r w:rsidRPr="009558E6">
              <w:rPr>
                <w:rFonts w:asciiTheme="majorHAnsi" w:hAnsiTheme="majorHAnsi"/>
                <w:sz w:val="20"/>
                <w:szCs w:val="20"/>
              </w:rPr>
              <w:t>Palangriers Venezuela</w:t>
            </w:r>
          </w:p>
        </w:tc>
        <w:tc>
          <w:tcPr>
            <w:tcW w:w="1843" w:type="dxa"/>
          </w:tcPr>
          <w:p w14:paraId="25D63E6F" w14:textId="1AAA1637" w:rsidR="000F2FA4"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1991</w:t>
            </w:r>
          </w:p>
        </w:tc>
        <w:tc>
          <w:tcPr>
            <w:tcW w:w="3544" w:type="dxa"/>
          </w:tcPr>
          <w:p w14:paraId="6563167E" w14:textId="2D7BE639" w:rsidR="000F2FA4"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t-1 de préférence (t-2 le cas contraire)</w:t>
            </w:r>
          </w:p>
        </w:tc>
      </w:tr>
    </w:tbl>
    <w:p w14:paraId="13DE87BE" w14:textId="77777777" w:rsidR="00E514EF" w:rsidRPr="009558E6" w:rsidRDefault="00E514EF" w:rsidP="0035431C">
      <w:pPr>
        <w:pStyle w:val="ListParagraph"/>
        <w:spacing w:after="0" w:line="240" w:lineRule="auto"/>
        <w:rPr>
          <w:rFonts w:asciiTheme="majorHAnsi" w:hAnsiTheme="majorHAnsi" w:cs="Cambria-Italic"/>
          <w:sz w:val="20"/>
          <w:szCs w:val="20"/>
        </w:rPr>
      </w:pPr>
    </w:p>
    <w:p w14:paraId="3969173B" w14:textId="77777777" w:rsidR="00602B38" w:rsidRPr="009558E6" w:rsidRDefault="00602B38" w:rsidP="0035431C">
      <w:pPr>
        <w:pStyle w:val="ListParagraph"/>
        <w:spacing w:after="0" w:line="240" w:lineRule="auto"/>
        <w:rPr>
          <w:rFonts w:asciiTheme="majorHAnsi" w:hAnsiTheme="majorHAnsi" w:cs="Cambria-Italic"/>
          <w:sz w:val="20"/>
          <w:szCs w:val="20"/>
        </w:rPr>
      </w:pPr>
    </w:p>
    <w:p w14:paraId="7A1EE93B" w14:textId="439AB2C3" w:rsidR="00602B38" w:rsidRPr="009558E6" w:rsidRDefault="00602B38" w:rsidP="00F03242">
      <w:pPr>
        <w:pStyle w:val="ListParagraph"/>
        <w:numPr>
          <w:ilvl w:val="0"/>
          <w:numId w:val="23"/>
        </w:numPr>
        <w:spacing w:after="0" w:line="240" w:lineRule="auto"/>
        <w:jc w:val="both"/>
        <w:rPr>
          <w:rFonts w:asciiTheme="majorHAnsi" w:hAnsiTheme="majorHAnsi" w:cs="Cambria-Italic"/>
          <w:sz w:val="20"/>
          <w:szCs w:val="20"/>
        </w:rPr>
      </w:pPr>
      <w:r w:rsidRPr="009558E6">
        <w:rPr>
          <w:rFonts w:asciiTheme="majorHAnsi" w:hAnsiTheme="majorHAnsi"/>
          <w:sz w:val="20"/>
          <w:szCs w:val="20"/>
        </w:rPr>
        <w:t>Spécifications du modèle dynamique de la biomasse ; où « t » est l'année de l'itération de la procédure de gestion pour établir le TAC pour les années t+1, t+2 et t+3.</w:t>
      </w:r>
    </w:p>
    <w:p w14:paraId="20C8AEE5" w14:textId="77777777" w:rsidR="002463DB" w:rsidRPr="009558E6" w:rsidRDefault="002463DB" w:rsidP="002463DB">
      <w:pPr>
        <w:pStyle w:val="ListParagraph"/>
        <w:spacing w:after="0" w:line="240" w:lineRule="auto"/>
        <w:rPr>
          <w:rFonts w:asciiTheme="majorHAnsi" w:hAnsiTheme="majorHAnsi" w:cs="Cambria-Italic"/>
          <w:sz w:val="20"/>
          <w:szCs w:val="20"/>
        </w:rPr>
      </w:pPr>
    </w:p>
    <w:tbl>
      <w:tblPr>
        <w:tblStyle w:val="TableGrid"/>
        <w:tblW w:w="8753" w:type="dxa"/>
        <w:tblInd w:w="421" w:type="dxa"/>
        <w:tblLook w:val="04A0" w:firstRow="1" w:lastRow="0" w:firstColumn="1" w:lastColumn="0" w:noHBand="0" w:noVBand="1"/>
      </w:tblPr>
      <w:tblGrid>
        <w:gridCol w:w="1476"/>
        <w:gridCol w:w="1253"/>
        <w:gridCol w:w="2678"/>
        <w:gridCol w:w="3346"/>
      </w:tblGrid>
      <w:tr w:rsidR="000A7818" w:rsidRPr="009558E6" w14:paraId="673CC4BA" w14:textId="54217EE7" w:rsidTr="00381439">
        <w:trPr>
          <w:trHeight w:val="405"/>
        </w:trPr>
        <w:tc>
          <w:tcPr>
            <w:tcW w:w="1476" w:type="dxa"/>
          </w:tcPr>
          <w:p w14:paraId="12159BF2" w14:textId="387C7277" w:rsidR="00602B38" w:rsidRPr="009558E6" w:rsidRDefault="00602B38"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Logiciel</w:t>
            </w:r>
          </w:p>
        </w:tc>
        <w:tc>
          <w:tcPr>
            <w:tcW w:w="1253" w:type="dxa"/>
          </w:tcPr>
          <w:p w14:paraId="620C5E24" w14:textId="341164A6" w:rsidR="00602B38" w:rsidRPr="009558E6" w:rsidRDefault="00602B38"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Mod</w:t>
            </w:r>
            <w:r w:rsidR="00F03242" w:rsidRPr="009558E6">
              <w:rPr>
                <w:rFonts w:asciiTheme="majorHAnsi" w:hAnsiTheme="majorHAnsi"/>
                <w:sz w:val="20"/>
                <w:szCs w:val="20"/>
              </w:rPr>
              <w:t>è</w:t>
            </w:r>
            <w:r w:rsidRPr="009558E6">
              <w:rPr>
                <w:rFonts w:asciiTheme="majorHAnsi" w:hAnsiTheme="majorHAnsi"/>
                <w:sz w:val="20"/>
                <w:szCs w:val="20"/>
              </w:rPr>
              <w:t>l</w:t>
            </w:r>
            <w:r w:rsidR="00F03242" w:rsidRPr="009558E6">
              <w:rPr>
                <w:rFonts w:asciiTheme="majorHAnsi" w:hAnsiTheme="majorHAnsi"/>
                <w:sz w:val="20"/>
                <w:szCs w:val="20"/>
              </w:rPr>
              <w:t>e</w:t>
            </w:r>
            <w:r w:rsidRPr="009558E6">
              <w:rPr>
                <w:rFonts w:asciiTheme="majorHAnsi" w:hAnsiTheme="majorHAnsi"/>
                <w:sz w:val="20"/>
                <w:szCs w:val="20"/>
              </w:rPr>
              <w:t xml:space="preserve"> </w:t>
            </w:r>
          </w:p>
        </w:tc>
        <w:tc>
          <w:tcPr>
            <w:tcW w:w="2678" w:type="dxa"/>
          </w:tcPr>
          <w:p w14:paraId="0F847302" w14:textId="7812721F" w:rsidR="00602B38"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Séries de capture</w:t>
            </w:r>
          </w:p>
        </w:tc>
        <w:tc>
          <w:tcPr>
            <w:tcW w:w="3346" w:type="dxa"/>
          </w:tcPr>
          <w:p w14:paraId="240E5835" w14:textId="06ADBF67" w:rsidR="00602B38"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 xml:space="preserve">Valeurs de départ </w:t>
            </w:r>
          </w:p>
        </w:tc>
      </w:tr>
      <w:tr w:rsidR="00DF1160" w:rsidRPr="009558E6" w14:paraId="62DD18F9" w14:textId="555ABF7F" w:rsidTr="00381439">
        <w:tc>
          <w:tcPr>
            <w:tcW w:w="1476" w:type="dxa"/>
          </w:tcPr>
          <w:p w14:paraId="21540BD5" w14:textId="36385966" w:rsidR="00602B38" w:rsidRPr="009558E6" w:rsidRDefault="00602B38" w:rsidP="0035431C">
            <w:pPr>
              <w:pStyle w:val="Default"/>
              <w:contextualSpacing/>
              <w:jc w:val="center"/>
              <w:rPr>
                <w:rFonts w:asciiTheme="majorHAnsi" w:hAnsiTheme="majorHAnsi" w:cs="Cambria-Italic"/>
                <w:color w:val="auto"/>
                <w:sz w:val="20"/>
                <w:szCs w:val="20"/>
              </w:rPr>
            </w:pPr>
            <w:r w:rsidRPr="009558E6">
              <w:rPr>
                <w:rFonts w:asciiTheme="majorHAnsi" w:hAnsiTheme="majorHAnsi"/>
                <w:color w:val="auto"/>
                <w:sz w:val="20"/>
                <w:szCs w:val="20"/>
              </w:rPr>
              <w:t>mpb</w:t>
            </w:r>
          </w:p>
        </w:tc>
        <w:tc>
          <w:tcPr>
            <w:tcW w:w="1253" w:type="dxa"/>
          </w:tcPr>
          <w:p w14:paraId="3056B250" w14:textId="6AA8EDEC" w:rsidR="00602B38" w:rsidRPr="009558E6" w:rsidRDefault="000F2FA4" w:rsidP="0035431C">
            <w:pPr>
              <w:pStyle w:val="ListParagraph"/>
              <w:ind w:left="0"/>
              <w:jc w:val="center"/>
              <w:rPr>
                <w:rFonts w:asciiTheme="majorHAnsi" w:hAnsiTheme="majorHAnsi" w:cs="Cambria-Italic"/>
                <w:sz w:val="20"/>
                <w:szCs w:val="20"/>
              </w:rPr>
            </w:pPr>
            <w:r w:rsidRPr="009558E6">
              <w:rPr>
                <w:rFonts w:asciiTheme="majorHAnsi" w:hAnsiTheme="majorHAnsi"/>
                <w:sz w:val="20"/>
                <w:szCs w:val="20"/>
              </w:rPr>
              <w:t>Fox (</w:t>
            </w:r>
            <w:r w:rsidR="00531860" w:rsidRPr="009558E6">
              <w:rPr>
                <w:rFonts w:asciiTheme="majorHAnsi" w:hAnsiTheme="majorHAnsi"/>
                <w:sz w:val="20"/>
                <w:szCs w:val="20"/>
              </w:rPr>
              <w:t xml:space="preserve">dynamique de </w:t>
            </w:r>
            <w:r w:rsidRPr="009558E6">
              <w:rPr>
                <w:rFonts w:asciiTheme="majorHAnsi" w:hAnsiTheme="majorHAnsi"/>
                <w:sz w:val="20"/>
                <w:szCs w:val="20"/>
              </w:rPr>
              <w:t xml:space="preserve">biomasse), </w:t>
            </w:r>
          </w:p>
        </w:tc>
        <w:tc>
          <w:tcPr>
            <w:tcW w:w="2678" w:type="dxa"/>
          </w:tcPr>
          <w:p w14:paraId="06437267" w14:textId="3A3B06F9" w:rsidR="000F2FA4" w:rsidRPr="009558E6" w:rsidRDefault="000F2FA4" w:rsidP="0035431C">
            <w:pPr>
              <w:pStyle w:val="ListParagraph"/>
              <w:ind w:left="0"/>
              <w:rPr>
                <w:rFonts w:asciiTheme="majorHAnsi" w:hAnsiTheme="majorHAnsi" w:cs="Cambria-Italic"/>
                <w:sz w:val="20"/>
                <w:szCs w:val="20"/>
              </w:rPr>
            </w:pPr>
            <w:r w:rsidRPr="009558E6">
              <w:rPr>
                <w:rFonts w:asciiTheme="majorHAnsi" w:hAnsiTheme="majorHAnsi"/>
                <w:sz w:val="20"/>
                <w:szCs w:val="20"/>
              </w:rPr>
              <w:t>Début</w:t>
            </w:r>
            <w:r w:rsidR="00F03242" w:rsidRPr="009558E6">
              <w:rPr>
                <w:rFonts w:asciiTheme="majorHAnsi" w:hAnsiTheme="majorHAnsi"/>
                <w:sz w:val="20"/>
                <w:szCs w:val="20"/>
              </w:rPr>
              <w:t>e</w:t>
            </w:r>
            <w:r w:rsidRPr="009558E6">
              <w:rPr>
                <w:rFonts w:asciiTheme="majorHAnsi" w:hAnsiTheme="majorHAnsi"/>
                <w:sz w:val="20"/>
                <w:szCs w:val="20"/>
              </w:rPr>
              <w:t xml:space="preserve"> en 1930.</w:t>
            </w:r>
          </w:p>
          <w:p w14:paraId="090368EE" w14:textId="058763C4" w:rsidR="00602B38" w:rsidRPr="009558E6" w:rsidRDefault="000F2FA4" w:rsidP="0035431C">
            <w:pPr>
              <w:pStyle w:val="Default"/>
              <w:contextualSpacing/>
              <w:rPr>
                <w:rFonts w:asciiTheme="majorHAnsi" w:hAnsiTheme="majorHAnsi" w:cs="Cambria-Italic"/>
                <w:color w:val="auto"/>
                <w:sz w:val="20"/>
                <w:szCs w:val="20"/>
              </w:rPr>
            </w:pPr>
            <w:r w:rsidRPr="009558E6">
              <w:rPr>
                <w:rFonts w:asciiTheme="majorHAnsi" w:hAnsiTheme="majorHAnsi"/>
                <w:color w:val="auto"/>
                <w:sz w:val="20"/>
                <w:szCs w:val="20"/>
              </w:rPr>
              <w:t>Année finale</w:t>
            </w:r>
            <w:r w:rsidR="00F03242" w:rsidRPr="009558E6">
              <w:rPr>
                <w:rFonts w:asciiTheme="majorHAnsi" w:hAnsiTheme="majorHAnsi"/>
                <w:color w:val="auto"/>
                <w:sz w:val="20"/>
                <w:szCs w:val="20"/>
              </w:rPr>
              <w:t xml:space="preserve"> </w:t>
            </w:r>
            <w:r w:rsidRPr="009558E6">
              <w:rPr>
                <w:rFonts w:asciiTheme="majorHAnsi" w:hAnsiTheme="majorHAnsi"/>
                <w:color w:val="auto"/>
                <w:sz w:val="20"/>
                <w:szCs w:val="20"/>
              </w:rPr>
              <w:t>:</w:t>
            </w:r>
            <w:r w:rsidR="00DA7810" w:rsidRPr="009558E6">
              <w:rPr>
                <w:rFonts w:asciiTheme="majorHAnsi" w:hAnsiTheme="majorHAnsi"/>
                <w:color w:val="auto"/>
                <w:sz w:val="20"/>
                <w:szCs w:val="20"/>
              </w:rPr>
              <w:t xml:space="preserve"> </w:t>
            </w:r>
            <w:r w:rsidRPr="009558E6">
              <w:rPr>
                <w:rFonts w:asciiTheme="majorHAnsi" w:hAnsiTheme="majorHAnsi"/>
                <w:color w:val="auto"/>
                <w:sz w:val="20"/>
                <w:szCs w:val="20"/>
              </w:rPr>
              <w:t xml:space="preserve">t-1 de préférence (t-2 le cas contraire) </w:t>
            </w:r>
          </w:p>
        </w:tc>
        <w:tc>
          <w:tcPr>
            <w:tcW w:w="3346" w:type="dxa"/>
          </w:tcPr>
          <w:p w14:paraId="13BA0593" w14:textId="7546800C" w:rsidR="00267D0F" w:rsidRPr="009558E6" w:rsidRDefault="00267D0F" w:rsidP="0035431C">
            <w:pPr>
              <w:contextualSpacing/>
              <w:jc w:val="both"/>
              <w:rPr>
                <w:rFonts w:asciiTheme="majorHAnsi" w:hAnsiTheme="majorHAnsi" w:cs="Cambria-Italic"/>
                <w:sz w:val="20"/>
                <w:szCs w:val="20"/>
              </w:rPr>
            </w:pPr>
            <w:r w:rsidRPr="009558E6">
              <w:rPr>
                <w:rFonts w:asciiTheme="majorHAnsi" w:hAnsiTheme="majorHAnsi"/>
                <w:sz w:val="20"/>
                <w:szCs w:val="20"/>
              </w:rPr>
              <w:t>Biomasse à t=0 (fixe)</w:t>
            </w:r>
            <w:r w:rsidR="00F03242" w:rsidRPr="009558E6">
              <w:rPr>
                <w:rFonts w:asciiTheme="majorHAnsi" w:hAnsiTheme="majorHAnsi"/>
                <w:sz w:val="20"/>
                <w:szCs w:val="20"/>
              </w:rPr>
              <w:t> :</w:t>
            </w:r>
            <w:r w:rsidRPr="009558E6">
              <w:rPr>
                <w:rFonts w:asciiTheme="majorHAnsi" w:hAnsiTheme="majorHAnsi"/>
                <w:sz w:val="20"/>
                <w:szCs w:val="20"/>
              </w:rPr>
              <w:t xml:space="preserve"> 1x K </w:t>
            </w:r>
          </w:p>
          <w:p w14:paraId="1571479A" w14:textId="7BEFA9EB" w:rsidR="00602B38" w:rsidRPr="009558E6" w:rsidRDefault="00267D0F" w:rsidP="0035431C">
            <w:pPr>
              <w:pStyle w:val="ListParagraph"/>
              <w:ind w:left="0"/>
              <w:jc w:val="both"/>
              <w:rPr>
                <w:rFonts w:asciiTheme="majorHAnsi" w:hAnsiTheme="majorHAnsi" w:cs="Cambria-Italic"/>
                <w:sz w:val="20"/>
                <w:szCs w:val="20"/>
              </w:rPr>
            </w:pPr>
            <w:r w:rsidRPr="009558E6">
              <w:rPr>
                <w:rFonts w:asciiTheme="majorHAnsi" w:hAnsiTheme="majorHAnsi"/>
                <w:sz w:val="20"/>
                <w:szCs w:val="20"/>
              </w:rPr>
              <w:t>Traitement de la variance pour les indices de CPUE : pondéré par le modèle</w:t>
            </w:r>
          </w:p>
        </w:tc>
      </w:tr>
    </w:tbl>
    <w:p w14:paraId="29E7C10F" w14:textId="52947482" w:rsidR="00691C03" w:rsidRPr="009558E6" w:rsidRDefault="00691C03" w:rsidP="0035431C">
      <w:pPr>
        <w:spacing w:after="0" w:line="240" w:lineRule="auto"/>
        <w:contextualSpacing/>
        <w:rPr>
          <w:rFonts w:asciiTheme="majorHAnsi" w:hAnsiTheme="majorHAnsi" w:cs="Cambria-Italic"/>
          <w:b/>
          <w:sz w:val="20"/>
          <w:szCs w:val="20"/>
        </w:rPr>
      </w:pPr>
    </w:p>
    <w:p w14:paraId="7345C4B2" w14:textId="77777777" w:rsidR="00691C03" w:rsidRPr="009558E6" w:rsidRDefault="00691C03" w:rsidP="0035431C">
      <w:pPr>
        <w:spacing w:after="0" w:line="240" w:lineRule="auto"/>
        <w:contextualSpacing/>
        <w:rPr>
          <w:rFonts w:asciiTheme="majorHAnsi" w:hAnsiTheme="majorHAnsi" w:cs="Cambria-Italic"/>
          <w:sz w:val="20"/>
          <w:szCs w:val="20"/>
        </w:rPr>
        <w:sectPr w:rsidR="00691C03" w:rsidRPr="009558E6" w:rsidSect="00B046A3">
          <w:footnotePr>
            <w:numRestart w:val="eachSect"/>
          </w:footnotePr>
          <w:pgSz w:w="11907" w:h="16840" w:code="9"/>
          <w:pgMar w:top="1418" w:right="1418" w:bottom="1418" w:left="1418" w:header="851" w:footer="1134" w:gutter="0"/>
          <w:cols w:space="708"/>
          <w:docGrid w:linePitch="360"/>
        </w:sectPr>
      </w:pPr>
    </w:p>
    <w:p w14:paraId="1113516F" w14:textId="40A83906" w:rsidR="0054057C" w:rsidRPr="009558E6" w:rsidRDefault="00141744" w:rsidP="00F85BC3">
      <w:pPr>
        <w:spacing w:after="0" w:line="240" w:lineRule="auto"/>
        <w:contextualSpacing/>
        <w:jc w:val="right"/>
        <w:rPr>
          <w:rFonts w:asciiTheme="majorHAnsi" w:hAnsiTheme="majorHAnsi" w:cs="Cambria-Italic"/>
          <w:b/>
          <w:bCs/>
          <w:sz w:val="20"/>
          <w:szCs w:val="20"/>
        </w:rPr>
      </w:pPr>
      <w:r w:rsidRPr="009558E6">
        <w:rPr>
          <w:rFonts w:asciiTheme="majorHAnsi" w:hAnsiTheme="majorHAnsi"/>
          <w:b/>
          <w:bCs/>
          <w:sz w:val="20"/>
          <w:szCs w:val="20"/>
        </w:rPr>
        <w:lastRenderedPageBreak/>
        <w:t xml:space="preserve">Appendice B de l’annexe </w:t>
      </w:r>
      <w:r w:rsidR="00F03242" w:rsidRPr="009558E6">
        <w:rPr>
          <w:rFonts w:asciiTheme="majorHAnsi" w:hAnsiTheme="majorHAnsi"/>
          <w:b/>
          <w:bCs/>
          <w:sz w:val="20"/>
          <w:szCs w:val="20"/>
        </w:rPr>
        <w:t>1</w:t>
      </w:r>
    </w:p>
    <w:p w14:paraId="1E08DAA4" w14:textId="77777777" w:rsidR="00F85BC3" w:rsidRPr="009558E6" w:rsidRDefault="00F85BC3" w:rsidP="0035431C">
      <w:pPr>
        <w:tabs>
          <w:tab w:val="left" w:pos="7371"/>
        </w:tabs>
        <w:spacing w:after="0" w:line="240" w:lineRule="auto"/>
        <w:ind w:left="720"/>
        <w:contextualSpacing/>
        <w:jc w:val="center"/>
        <w:rPr>
          <w:rFonts w:asciiTheme="majorHAnsi" w:hAnsiTheme="majorHAnsi"/>
          <w:b/>
          <w:sz w:val="20"/>
          <w:szCs w:val="20"/>
        </w:rPr>
      </w:pPr>
    </w:p>
    <w:p w14:paraId="34F35A60" w14:textId="6FB4C95C" w:rsidR="00DE6C3E" w:rsidRPr="009558E6" w:rsidRDefault="00DE6C3E" w:rsidP="0035431C">
      <w:pPr>
        <w:tabs>
          <w:tab w:val="left" w:pos="7371"/>
        </w:tabs>
        <w:spacing w:after="0" w:line="240" w:lineRule="auto"/>
        <w:ind w:left="720"/>
        <w:contextualSpacing/>
        <w:jc w:val="center"/>
        <w:rPr>
          <w:rFonts w:asciiTheme="majorHAnsi" w:hAnsiTheme="majorHAnsi"/>
          <w:b/>
          <w:sz w:val="20"/>
          <w:szCs w:val="20"/>
        </w:rPr>
      </w:pPr>
      <w:r w:rsidRPr="009558E6">
        <w:rPr>
          <w:rFonts w:asciiTheme="majorHAnsi" w:hAnsiTheme="majorHAnsi"/>
          <w:b/>
          <w:sz w:val="20"/>
          <w:szCs w:val="20"/>
        </w:rPr>
        <w:t>Graphique du format de la règle de contrôle d</w:t>
      </w:r>
      <w:r w:rsidR="00D411E2" w:rsidRPr="009558E6">
        <w:rPr>
          <w:rFonts w:asciiTheme="majorHAnsi" w:hAnsiTheme="majorHAnsi"/>
          <w:b/>
          <w:sz w:val="20"/>
          <w:szCs w:val="20"/>
        </w:rPr>
        <w:t>e l</w:t>
      </w:r>
      <w:r w:rsidRPr="009558E6">
        <w:rPr>
          <w:rFonts w:asciiTheme="majorHAnsi" w:hAnsiTheme="majorHAnsi"/>
          <w:b/>
          <w:sz w:val="20"/>
          <w:szCs w:val="20"/>
        </w:rPr>
        <w:t>’exploitation</w:t>
      </w:r>
    </w:p>
    <w:p w14:paraId="04941A23" w14:textId="40BB520F" w:rsidR="00DE6C3E" w:rsidRPr="009558E6" w:rsidRDefault="00DE6C3E" w:rsidP="0035431C">
      <w:pPr>
        <w:spacing w:after="0" w:line="240" w:lineRule="auto"/>
        <w:contextualSpacing/>
        <w:jc w:val="center"/>
        <w:rPr>
          <w:rFonts w:asciiTheme="majorHAnsi" w:hAnsiTheme="majorHAnsi" w:cs="Cambria-Italic"/>
          <w:sz w:val="20"/>
          <w:szCs w:val="20"/>
        </w:rPr>
        <w:sectPr w:rsidR="00DE6C3E" w:rsidRPr="009558E6" w:rsidSect="00B046A3">
          <w:footnotePr>
            <w:numRestart w:val="eachSect"/>
          </w:footnotePr>
          <w:pgSz w:w="11907" w:h="16840" w:code="9"/>
          <w:pgMar w:top="1418" w:right="1418" w:bottom="1418" w:left="1418" w:header="851" w:footer="1134" w:gutter="0"/>
          <w:cols w:space="708"/>
          <w:docGrid w:linePitch="360"/>
        </w:sectPr>
      </w:pPr>
      <w:r w:rsidRPr="009558E6">
        <w:rPr>
          <w:rFonts w:asciiTheme="majorHAnsi" w:hAnsiTheme="majorHAnsi"/>
          <w:b/>
          <w:noProof/>
          <w:sz w:val="20"/>
          <w:szCs w:val="20"/>
        </w:rPr>
        <w:drawing>
          <wp:inline distT="0" distB="0" distL="0" distR="0" wp14:anchorId="6D47DCC4" wp14:editId="78ED4ACE">
            <wp:extent cx="4572000" cy="4572000"/>
            <wp:effectExtent l="0" t="0" r="0" b="0"/>
            <wp:docPr id="3" name="Imagen 3" descr="C:\Users\harri\AppData\Local\Microsoft\Windows\Temporary Internet Files\Content.Outlook\I5O4DN7R\HCR proposal3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i\AppData\Local\Microsoft\Windows\Temporary Internet Files\Content.Outlook\I5O4DN7R\HCR proposal3 (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13557B63" w14:textId="0D7AB670" w:rsidR="00141744" w:rsidRPr="009558E6" w:rsidRDefault="00141744" w:rsidP="00F85BC3">
      <w:pPr>
        <w:spacing w:after="0" w:line="240" w:lineRule="auto"/>
        <w:contextualSpacing/>
        <w:jc w:val="right"/>
        <w:rPr>
          <w:rFonts w:asciiTheme="majorHAnsi" w:hAnsiTheme="majorHAnsi"/>
          <w:b/>
          <w:bCs/>
          <w:sz w:val="20"/>
          <w:szCs w:val="20"/>
        </w:rPr>
      </w:pPr>
      <w:r w:rsidRPr="009558E6">
        <w:rPr>
          <w:rFonts w:asciiTheme="majorHAnsi" w:hAnsiTheme="majorHAnsi"/>
          <w:b/>
          <w:bCs/>
          <w:sz w:val="20"/>
          <w:szCs w:val="20"/>
        </w:rPr>
        <w:lastRenderedPageBreak/>
        <w:t xml:space="preserve">Appendice C de l’annexe </w:t>
      </w:r>
      <w:r w:rsidR="00D411E2" w:rsidRPr="009558E6">
        <w:rPr>
          <w:rFonts w:asciiTheme="majorHAnsi" w:hAnsiTheme="majorHAnsi"/>
          <w:b/>
          <w:bCs/>
          <w:sz w:val="20"/>
          <w:szCs w:val="20"/>
        </w:rPr>
        <w:t>1</w:t>
      </w:r>
    </w:p>
    <w:p w14:paraId="45C682B7" w14:textId="77777777" w:rsidR="00F85BC3" w:rsidRPr="009558E6" w:rsidRDefault="00F85BC3" w:rsidP="00F85BC3">
      <w:pPr>
        <w:spacing w:after="0" w:line="240" w:lineRule="auto"/>
        <w:contextualSpacing/>
        <w:jc w:val="right"/>
        <w:rPr>
          <w:rFonts w:asciiTheme="majorHAnsi" w:hAnsiTheme="majorHAnsi" w:cs="Cambria-Italic"/>
          <w:b/>
          <w:bCs/>
          <w:sz w:val="20"/>
          <w:szCs w:val="20"/>
        </w:rPr>
      </w:pPr>
    </w:p>
    <w:p w14:paraId="7566F11A" w14:textId="6B918437" w:rsidR="007B3001" w:rsidRPr="009558E6" w:rsidRDefault="007B3001" w:rsidP="0035431C">
      <w:pPr>
        <w:spacing w:after="0" w:line="240" w:lineRule="auto"/>
        <w:contextualSpacing/>
        <w:jc w:val="center"/>
        <w:rPr>
          <w:rFonts w:asciiTheme="majorHAnsi" w:hAnsiTheme="majorHAnsi"/>
          <w:b/>
          <w:sz w:val="20"/>
          <w:szCs w:val="20"/>
        </w:rPr>
      </w:pPr>
      <w:r w:rsidRPr="009558E6">
        <w:rPr>
          <w:rFonts w:asciiTheme="majorHAnsi" w:hAnsiTheme="majorHAnsi"/>
          <w:b/>
          <w:sz w:val="20"/>
          <w:szCs w:val="20"/>
        </w:rPr>
        <w:t>Valeurs de la biomasse relative et de la mortalité par pêche</w:t>
      </w:r>
      <w:r w:rsidR="00DA7810" w:rsidRPr="009558E6">
        <w:rPr>
          <w:rFonts w:asciiTheme="majorHAnsi" w:hAnsiTheme="majorHAnsi"/>
          <w:b/>
          <w:sz w:val="20"/>
          <w:szCs w:val="20"/>
        </w:rPr>
        <w:t xml:space="preserve"> </w:t>
      </w:r>
      <w:r w:rsidRPr="009558E6">
        <w:rPr>
          <w:rFonts w:asciiTheme="majorHAnsi" w:hAnsiTheme="majorHAnsi"/>
          <w:b/>
          <w:sz w:val="20"/>
          <w:szCs w:val="20"/>
        </w:rPr>
        <w:t>correspondante basées sur un rapport linéaire dégressif entre B</w:t>
      </w:r>
      <w:r w:rsidRPr="009558E6">
        <w:rPr>
          <w:rFonts w:asciiTheme="majorHAnsi" w:hAnsiTheme="majorHAnsi"/>
          <w:b/>
          <w:smallCaps/>
          <w:sz w:val="20"/>
          <w:szCs w:val="20"/>
          <w:vertAlign w:val="subscript"/>
        </w:rPr>
        <w:t>lim</w:t>
      </w:r>
      <w:r w:rsidRPr="009558E6">
        <w:rPr>
          <w:rFonts w:asciiTheme="majorHAnsi" w:hAnsiTheme="majorHAnsi"/>
          <w:b/>
          <w:sz w:val="20"/>
          <w:szCs w:val="20"/>
        </w:rPr>
        <w:t xml:space="preserve"> et B</w:t>
      </w:r>
      <w:r w:rsidRPr="009558E6">
        <w:rPr>
          <w:rFonts w:asciiTheme="majorHAnsi" w:hAnsiTheme="majorHAnsi"/>
          <w:b/>
          <w:smallCaps/>
          <w:sz w:val="20"/>
          <w:szCs w:val="20"/>
          <w:vertAlign w:val="subscript"/>
        </w:rPr>
        <w:t>seuil</w:t>
      </w:r>
      <w:r w:rsidRPr="009558E6">
        <w:rPr>
          <w:rFonts w:asciiTheme="majorHAnsi" w:hAnsiTheme="majorHAnsi"/>
          <w:b/>
          <w:sz w:val="20"/>
          <w:szCs w:val="20"/>
        </w:rPr>
        <w:t xml:space="preserve"> obtenu par la HCR</w:t>
      </w:r>
    </w:p>
    <w:p w14:paraId="488A14BC" w14:textId="77777777" w:rsidR="00F85BC3" w:rsidRPr="009558E6" w:rsidRDefault="00F85BC3" w:rsidP="0035431C">
      <w:pPr>
        <w:spacing w:after="0" w:line="240" w:lineRule="auto"/>
        <w:contextualSpacing/>
        <w:jc w:val="center"/>
        <w:rPr>
          <w:rFonts w:asciiTheme="majorHAnsi" w:hAnsiTheme="majorHAnsi"/>
          <w:b/>
          <w:sz w:val="20"/>
          <w:szCs w:val="20"/>
        </w:rPr>
      </w:pPr>
    </w:p>
    <w:tbl>
      <w:tblPr>
        <w:tblStyle w:val="TableGrid"/>
        <w:tblW w:w="0" w:type="auto"/>
        <w:jc w:val="center"/>
        <w:tblLook w:val="04A0" w:firstRow="1" w:lastRow="0" w:firstColumn="1" w:lastColumn="0" w:noHBand="0" w:noVBand="1"/>
      </w:tblPr>
      <w:tblGrid>
        <w:gridCol w:w="2835"/>
        <w:gridCol w:w="2910"/>
      </w:tblGrid>
      <w:tr w:rsidR="000A7818" w:rsidRPr="009558E6" w14:paraId="0036D3B3" w14:textId="77777777" w:rsidTr="00B046A3">
        <w:trPr>
          <w:trHeight w:val="287"/>
          <w:jc w:val="center"/>
        </w:trPr>
        <w:tc>
          <w:tcPr>
            <w:tcW w:w="2835" w:type="dxa"/>
            <w:tcBorders>
              <w:top w:val="single" w:sz="4" w:space="0" w:color="auto"/>
              <w:left w:val="single" w:sz="4" w:space="0" w:color="auto"/>
              <w:bottom w:val="single" w:sz="4" w:space="0" w:color="auto"/>
              <w:right w:val="single" w:sz="4" w:space="0" w:color="auto"/>
            </w:tcBorders>
            <w:vAlign w:val="bottom"/>
          </w:tcPr>
          <w:p w14:paraId="6F129B88" w14:textId="77777777" w:rsidR="007B3001" w:rsidRPr="009558E6" w:rsidRDefault="007B3001" w:rsidP="0035431C">
            <w:pPr>
              <w:pStyle w:val="Title"/>
              <w:spacing w:after="0"/>
              <w:ind w:left="34"/>
              <w:jc w:val="center"/>
              <w:rPr>
                <w:rStyle w:val="BookTitle"/>
                <w:i/>
                <w:color w:val="auto"/>
                <w:sz w:val="20"/>
                <w:szCs w:val="20"/>
              </w:rPr>
            </w:pPr>
            <w:r w:rsidRPr="009558E6">
              <w:rPr>
                <w:color w:val="auto"/>
                <w:sz w:val="20"/>
                <w:szCs w:val="20"/>
              </w:rPr>
              <w:t>B</w:t>
            </w:r>
            <w:r w:rsidRPr="009558E6">
              <w:rPr>
                <w:color w:val="auto"/>
                <w:sz w:val="20"/>
                <w:szCs w:val="20"/>
                <w:vertAlign w:val="subscript"/>
              </w:rPr>
              <w:t>actuelle</w:t>
            </w:r>
            <w:r w:rsidRPr="009558E6">
              <w:rPr>
                <w:color w:val="auto"/>
                <w:sz w:val="20"/>
                <w:szCs w:val="20"/>
              </w:rPr>
              <w:t>/B</w:t>
            </w:r>
            <w:r w:rsidRPr="009558E6">
              <w:rPr>
                <w:color w:val="auto"/>
                <w:sz w:val="20"/>
                <w:szCs w:val="20"/>
                <w:vertAlign w:val="subscript"/>
              </w:rPr>
              <w:t>PME</w:t>
            </w:r>
          </w:p>
        </w:tc>
        <w:tc>
          <w:tcPr>
            <w:tcW w:w="2910" w:type="dxa"/>
            <w:tcBorders>
              <w:top w:val="single" w:sz="4" w:space="0" w:color="auto"/>
              <w:left w:val="single" w:sz="4" w:space="0" w:color="auto"/>
              <w:bottom w:val="single" w:sz="4" w:space="0" w:color="auto"/>
              <w:right w:val="single" w:sz="4" w:space="0" w:color="auto"/>
            </w:tcBorders>
            <w:vAlign w:val="bottom"/>
          </w:tcPr>
          <w:p w14:paraId="37E5A6A5" w14:textId="5E8E6464" w:rsidR="007B3001" w:rsidRPr="009558E6" w:rsidRDefault="007B3001" w:rsidP="0035431C">
            <w:pPr>
              <w:pStyle w:val="Title"/>
              <w:spacing w:after="0"/>
              <w:jc w:val="center"/>
              <w:rPr>
                <w:rStyle w:val="BookTitle"/>
                <w:i/>
                <w:color w:val="auto"/>
                <w:sz w:val="20"/>
                <w:szCs w:val="20"/>
              </w:rPr>
            </w:pPr>
            <w:r w:rsidRPr="009558E6">
              <w:rPr>
                <w:color w:val="auto"/>
                <w:sz w:val="20"/>
                <w:szCs w:val="20"/>
              </w:rPr>
              <w:t>F</w:t>
            </w:r>
            <w:r w:rsidRPr="009558E6">
              <w:rPr>
                <w:color w:val="auto"/>
                <w:sz w:val="20"/>
                <w:szCs w:val="20"/>
                <w:vertAlign w:val="subscript"/>
              </w:rPr>
              <w:t>prochaine</w:t>
            </w:r>
          </w:p>
        </w:tc>
      </w:tr>
      <w:tr w:rsidR="000A7818" w:rsidRPr="009558E6" w14:paraId="43710CC6"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52641FA4"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1 ou au-delà</w:t>
            </w:r>
          </w:p>
        </w:tc>
        <w:tc>
          <w:tcPr>
            <w:tcW w:w="2910" w:type="dxa"/>
            <w:tcBorders>
              <w:top w:val="single" w:sz="4" w:space="0" w:color="auto"/>
              <w:left w:val="single" w:sz="4" w:space="0" w:color="auto"/>
              <w:bottom w:val="single" w:sz="4" w:space="0" w:color="auto"/>
              <w:right w:val="single" w:sz="4" w:space="0" w:color="auto"/>
            </w:tcBorders>
            <w:vAlign w:val="bottom"/>
          </w:tcPr>
          <w:p w14:paraId="661EB776" w14:textId="641DA9CD"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0,80* F</w:t>
            </w:r>
            <w:r w:rsidRPr="009558E6">
              <w:rPr>
                <w:rFonts w:asciiTheme="majorHAnsi" w:hAnsiTheme="majorHAnsi"/>
                <w:sz w:val="20"/>
                <w:szCs w:val="20"/>
                <w:vertAlign w:val="subscript"/>
              </w:rPr>
              <w:t>PME</w:t>
            </w:r>
          </w:p>
        </w:tc>
      </w:tr>
      <w:tr w:rsidR="000A7818" w:rsidRPr="009558E6" w14:paraId="0B889EAC"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6303D8C7"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0,98</w:t>
            </w:r>
          </w:p>
        </w:tc>
        <w:tc>
          <w:tcPr>
            <w:tcW w:w="2910" w:type="dxa"/>
            <w:tcBorders>
              <w:top w:val="single" w:sz="4" w:space="0" w:color="auto"/>
              <w:left w:val="single" w:sz="4" w:space="0" w:color="auto"/>
              <w:bottom w:val="single" w:sz="4" w:space="0" w:color="auto"/>
              <w:right w:val="single" w:sz="4" w:space="0" w:color="auto"/>
            </w:tcBorders>
            <w:vAlign w:val="bottom"/>
          </w:tcPr>
          <w:p w14:paraId="25A023C2" w14:textId="73341C4E"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0,78*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6AB7479C"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133BF41E"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0,96</w:t>
            </w:r>
          </w:p>
        </w:tc>
        <w:tc>
          <w:tcPr>
            <w:tcW w:w="2910" w:type="dxa"/>
            <w:tcBorders>
              <w:top w:val="single" w:sz="4" w:space="0" w:color="auto"/>
              <w:left w:val="single" w:sz="4" w:space="0" w:color="auto"/>
              <w:bottom w:val="single" w:sz="4" w:space="0" w:color="auto"/>
              <w:right w:val="single" w:sz="4" w:space="0" w:color="auto"/>
            </w:tcBorders>
            <w:vAlign w:val="bottom"/>
          </w:tcPr>
          <w:p w14:paraId="7E10EF3F" w14:textId="6BBE83AC"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0,75*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4378155C"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1443121A"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0,94</w:t>
            </w:r>
          </w:p>
        </w:tc>
        <w:tc>
          <w:tcPr>
            <w:tcW w:w="2910" w:type="dxa"/>
            <w:tcBorders>
              <w:top w:val="single" w:sz="4" w:space="0" w:color="auto"/>
              <w:left w:val="single" w:sz="4" w:space="0" w:color="auto"/>
              <w:bottom w:val="single" w:sz="4" w:space="0" w:color="auto"/>
              <w:right w:val="single" w:sz="4" w:space="0" w:color="auto"/>
            </w:tcBorders>
            <w:vAlign w:val="bottom"/>
          </w:tcPr>
          <w:p w14:paraId="6C1A2E88" w14:textId="358E1F0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0,73*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4AE09574"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70D8514C"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0,92</w:t>
            </w:r>
          </w:p>
        </w:tc>
        <w:tc>
          <w:tcPr>
            <w:tcW w:w="2910" w:type="dxa"/>
            <w:tcBorders>
              <w:top w:val="single" w:sz="4" w:space="0" w:color="auto"/>
              <w:left w:val="single" w:sz="4" w:space="0" w:color="auto"/>
              <w:bottom w:val="single" w:sz="4" w:space="0" w:color="auto"/>
              <w:right w:val="single" w:sz="4" w:space="0" w:color="auto"/>
            </w:tcBorders>
            <w:vAlign w:val="bottom"/>
          </w:tcPr>
          <w:p w14:paraId="35B3B983" w14:textId="192D0D21"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0,71*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45BFD4C1"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24D26C31" w14:textId="77777777" w:rsidR="007B3001" w:rsidRPr="009558E6" w:rsidRDefault="007B3001" w:rsidP="0035431C">
            <w:pPr>
              <w:tabs>
                <w:tab w:val="left" w:pos="284"/>
              </w:tabs>
              <w:ind w:left="34"/>
              <w:contextualSpacing/>
              <w:jc w:val="center"/>
              <w:rPr>
                <w:rFonts w:asciiTheme="majorHAnsi" w:hAnsiTheme="majorHAnsi"/>
                <w:b/>
                <w:sz w:val="20"/>
                <w:szCs w:val="20"/>
              </w:rPr>
            </w:pPr>
            <w:r w:rsidRPr="009558E6">
              <w:rPr>
                <w:rFonts w:asciiTheme="majorHAnsi" w:hAnsiTheme="majorHAnsi"/>
                <w:sz w:val="20"/>
                <w:szCs w:val="20"/>
              </w:rPr>
              <w:t>0,90</w:t>
            </w:r>
          </w:p>
        </w:tc>
        <w:tc>
          <w:tcPr>
            <w:tcW w:w="2910" w:type="dxa"/>
            <w:tcBorders>
              <w:top w:val="single" w:sz="4" w:space="0" w:color="auto"/>
              <w:left w:val="single" w:sz="4" w:space="0" w:color="auto"/>
              <w:bottom w:val="single" w:sz="4" w:space="0" w:color="auto"/>
              <w:right w:val="single" w:sz="4" w:space="0" w:color="auto"/>
            </w:tcBorders>
            <w:vAlign w:val="bottom"/>
          </w:tcPr>
          <w:p w14:paraId="378D609A" w14:textId="4CE8FFC4" w:rsidR="007B3001" w:rsidRPr="009558E6" w:rsidRDefault="007B3001" w:rsidP="0035431C">
            <w:pPr>
              <w:tabs>
                <w:tab w:val="left" w:pos="284"/>
              </w:tabs>
              <w:ind w:left="34"/>
              <w:contextualSpacing/>
              <w:jc w:val="center"/>
              <w:rPr>
                <w:rFonts w:asciiTheme="majorHAnsi" w:hAnsiTheme="majorHAnsi"/>
                <w:b/>
                <w:sz w:val="20"/>
                <w:szCs w:val="20"/>
              </w:rPr>
            </w:pPr>
            <w:r w:rsidRPr="009558E6">
              <w:rPr>
                <w:rFonts w:asciiTheme="majorHAnsi" w:hAnsiTheme="majorHAnsi"/>
                <w:sz w:val="20"/>
                <w:szCs w:val="20"/>
              </w:rPr>
              <w:t xml:space="preserve">0,68*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47156B88"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6B51BDA9"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0,88</w:t>
            </w:r>
          </w:p>
        </w:tc>
        <w:tc>
          <w:tcPr>
            <w:tcW w:w="2910" w:type="dxa"/>
            <w:tcBorders>
              <w:top w:val="single" w:sz="4" w:space="0" w:color="auto"/>
              <w:left w:val="single" w:sz="4" w:space="0" w:color="auto"/>
              <w:bottom w:val="single" w:sz="4" w:space="0" w:color="auto"/>
              <w:right w:val="single" w:sz="4" w:space="0" w:color="auto"/>
            </w:tcBorders>
            <w:vAlign w:val="bottom"/>
          </w:tcPr>
          <w:p w14:paraId="39E5FC86" w14:textId="68EE428F"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0,66*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2550DFA5"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1BCB2BDB" w14:textId="77777777" w:rsidR="007B3001" w:rsidRPr="009558E6" w:rsidRDefault="007B3001" w:rsidP="0035431C">
            <w:pPr>
              <w:ind w:left="34"/>
              <w:contextualSpacing/>
              <w:jc w:val="center"/>
              <w:rPr>
                <w:rFonts w:asciiTheme="majorHAnsi" w:eastAsiaTheme="minorEastAsia" w:hAnsiTheme="majorHAnsi"/>
                <w:sz w:val="20"/>
                <w:szCs w:val="20"/>
              </w:rPr>
            </w:pPr>
            <w:r w:rsidRPr="009558E6">
              <w:rPr>
                <w:rFonts w:asciiTheme="majorHAnsi" w:hAnsiTheme="majorHAnsi"/>
                <w:sz w:val="20"/>
                <w:szCs w:val="20"/>
              </w:rPr>
              <w:t>0,86</w:t>
            </w:r>
          </w:p>
        </w:tc>
        <w:tc>
          <w:tcPr>
            <w:tcW w:w="2910" w:type="dxa"/>
            <w:tcBorders>
              <w:top w:val="single" w:sz="4" w:space="0" w:color="auto"/>
              <w:left w:val="single" w:sz="4" w:space="0" w:color="auto"/>
              <w:bottom w:val="single" w:sz="4" w:space="0" w:color="auto"/>
              <w:right w:val="single" w:sz="4" w:space="0" w:color="auto"/>
            </w:tcBorders>
            <w:vAlign w:val="bottom"/>
          </w:tcPr>
          <w:p w14:paraId="5C5E362A" w14:textId="17C353BA" w:rsidR="007B3001" w:rsidRPr="009558E6" w:rsidRDefault="007B3001" w:rsidP="0035431C">
            <w:pPr>
              <w:ind w:left="34"/>
              <w:contextualSpacing/>
              <w:jc w:val="center"/>
              <w:rPr>
                <w:rFonts w:asciiTheme="majorHAnsi" w:eastAsiaTheme="minorEastAsia" w:hAnsiTheme="majorHAnsi"/>
                <w:sz w:val="20"/>
                <w:szCs w:val="20"/>
              </w:rPr>
            </w:pPr>
            <w:r w:rsidRPr="009558E6">
              <w:rPr>
                <w:rFonts w:asciiTheme="majorHAnsi" w:hAnsiTheme="majorHAnsi"/>
                <w:sz w:val="20"/>
                <w:szCs w:val="20"/>
              </w:rPr>
              <w:t xml:space="preserve">0,64*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0B5AF059"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2AA0967B" w14:textId="77777777" w:rsidR="007B3001" w:rsidRPr="009558E6" w:rsidRDefault="007B3001" w:rsidP="0035431C">
            <w:pPr>
              <w:tabs>
                <w:tab w:val="left" w:pos="284"/>
              </w:tabs>
              <w:ind w:left="34"/>
              <w:contextualSpacing/>
              <w:jc w:val="center"/>
              <w:rPr>
                <w:rFonts w:asciiTheme="majorHAnsi" w:hAnsiTheme="majorHAnsi"/>
                <w:b/>
                <w:sz w:val="20"/>
                <w:szCs w:val="20"/>
              </w:rPr>
            </w:pPr>
            <w:r w:rsidRPr="009558E6">
              <w:rPr>
                <w:rFonts w:asciiTheme="majorHAnsi" w:hAnsiTheme="majorHAnsi"/>
                <w:sz w:val="20"/>
                <w:szCs w:val="20"/>
              </w:rPr>
              <w:t>0,84</w:t>
            </w:r>
          </w:p>
        </w:tc>
        <w:tc>
          <w:tcPr>
            <w:tcW w:w="2910" w:type="dxa"/>
            <w:tcBorders>
              <w:top w:val="single" w:sz="4" w:space="0" w:color="auto"/>
              <w:left w:val="single" w:sz="4" w:space="0" w:color="auto"/>
              <w:bottom w:val="single" w:sz="4" w:space="0" w:color="auto"/>
              <w:right w:val="single" w:sz="4" w:space="0" w:color="auto"/>
            </w:tcBorders>
            <w:vAlign w:val="bottom"/>
          </w:tcPr>
          <w:p w14:paraId="6DB9C8D8" w14:textId="4904A73D" w:rsidR="007B3001" w:rsidRPr="009558E6" w:rsidRDefault="007B3001" w:rsidP="0035431C">
            <w:pPr>
              <w:tabs>
                <w:tab w:val="left" w:pos="284"/>
              </w:tabs>
              <w:ind w:left="34"/>
              <w:contextualSpacing/>
              <w:jc w:val="center"/>
              <w:rPr>
                <w:rFonts w:asciiTheme="majorHAnsi" w:hAnsiTheme="majorHAnsi"/>
                <w:b/>
                <w:sz w:val="20"/>
                <w:szCs w:val="20"/>
              </w:rPr>
            </w:pPr>
            <w:r w:rsidRPr="009558E6">
              <w:rPr>
                <w:rFonts w:asciiTheme="majorHAnsi" w:hAnsiTheme="majorHAnsi"/>
                <w:sz w:val="20"/>
                <w:szCs w:val="20"/>
              </w:rPr>
              <w:t xml:space="preserve">0,61*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535FCA6D"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3AC32CC5"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0,82</w:t>
            </w:r>
          </w:p>
        </w:tc>
        <w:tc>
          <w:tcPr>
            <w:tcW w:w="2910" w:type="dxa"/>
            <w:tcBorders>
              <w:top w:val="single" w:sz="4" w:space="0" w:color="auto"/>
              <w:left w:val="single" w:sz="4" w:space="0" w:color="auto"/>
              <w:bottom w:val="single" w:sz="4" w:space="0" w:color="auto"/>
              <w:right w:val="single" w:sz="4" w:space="0" w:color="auto"/>
            </w:tcBorders>
            <w:vAlign w:val="bottom"/>
          </w:tcPr>
          <w:p w14:paraId="6C99625F" w14:textId="10DE8BA0"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0,59*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35036DD0"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1CE59170"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0,80</w:t>
            </w:r>
          </w:p>
        </w:tc>
        <w:tc>
          <w:tcPr>
            <w:tcW w:w="2910" w:type="dxa"/>
            <w:tcBorders>
              <w:top w:val="single" w:sz="4" w:space="0" w:color="auto"/>
              <w:left w:val="single" w:sz="4" w:space="0" w:color="auto"/>
              <w:bottom w:val="single" w:sz="4" w:space="0" w:color="auto"/>
              <w:right w:val="single" w:sz="4" w:space="0" w:color="auto"/>
            </w:tcBorders>
            <w:vAlign w:val="bottom"/>
          </w:tcPr>
          <w:p w14:paraId="2E09475C" w14:textId="2BBDC7C1"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0,57*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7ED1D9B0"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5F9892C9"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0,78</w:t>
            </w:r>
          </w:p>
        </w:tc>
        <w:tc>
          <w:tcPr>
            <w:tcW w:w="2910" w:type="dxa"/>
            <w:tcBorders>
              <w:top w:val="single" w:sz="4" w:space="0" w:color="auto"/>
              <w:left w:val="single" w:sz="4" w:space="0" w:color="auto"/>
              <w:bottom w:val="single" w:sz="4" w:space="0" w:color="auto"/>
              <w:right w:val="single" w:sz="4" w:space="0" w:color="auto"/>
            </w:tcBorders>
            <w:vAlign w:val="bottom"/>
          </w:tcPr>
          <w:p w14:paraId="7B441B22" w14:textId="5E284AF4"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0,54*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49A16F83"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53993C55" w14:textId="77777777" w:rsidR="007B3001" w:rsidRPr="009558E6" w:rsidRDefault="007B3001" w:rsidP="0035431C">
            <w:pPr>
              <w:tabs>
                <w:tab w:val="left" w:pos="284"/>
              </w:tabs>
              <w:ind w:left="34"/>
              <w:contextualSpacing/>
              <w:jc w:val="center"/>
              <w:rPr>
                <w:rFonts w:asciiTheme="majorHAnsi" w:hAnsiTheme="majorHAnsi"/>
                <w:b/>
                <w:sz w:val="20"/>
                <w:szCs w:val="20"/>
              </w:rPr>
            </w:pPr>
            <w:r w:rsidRPr="009558E6">
              <w:rPr>
                <w:rFonts w:asciiTheme="majorHAnsi" w:hAnsiTheme="majorHAnsi"/>
                <w:sz w:val="20"/>
                <w:szCs w:val="20"/>
              </w:rPr>
              <w:t>0,76</w:t>
            </w:r>
          </w:p>
        </w:tc>
        <w:tc>
          <w:tcPr>
            <w:tcW w:w="2910" w:type="dxa"/>
            <w:tcBorders>
              <w:top w:val="single" w:sz="4" w:space="0" w:color="auto"/>
              <w:left w:val="single" w:sz="4" w:space="0" w:color="auto"/>
              <w:bottom w:val="single" w:sz="4" w:space="0" w:color="auto"/>
              <w:right w:val="single" w:sz="4" w:space="0" w:color="auto"/>
            </w:tcBorders>
            <w:vAlign w:val="bottom"/>
          </w:tcPr>
          <w:p w14:paraId="38AC6B69" w14:textId="342F9B10" w:rsidR="007B3001" w:rsidRPr="009558E6" w:rsidRDefault="007B3001" w:rsidP="0035431C">
            <w:pPr>
              <w:tabs>
                <w:tab w:val="left" w:pos="284"/>
              </w:tabs>
              <w:ind w:left="34"/>
              <w:contextualSpacing/>
              <w:jc w:val="center"/>
              <w:rPr>
                <w:rFonts w:asciiTheme="majorHAnsi" w:hAnsiTheme="majorHAnsi"/>
                <w:b/>
                <w:sz w:val="20"/>
                <w:szCs w:val="20"/>
              </w:rPr>
            </w:pPr>
            <w:r w:rsidRPr="009558E6">
              <w:rPr>
                <w:rFonts w:asciiTheme="majorHAnsi" w:hAnsiTheme="majorHAnsi"/>
                <w:sz w:val="20"/>
                <w:szCs w:val="20"/>
              </w:rPr>
              <w:t xml:space="preserve">0,52*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34AA85B9"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513FE2A9"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0,74</w:t>
            </w:r>
          </w:p>
        </w:tc>
        <w:tc>
          <w:tcPr>
            <w:tcW w:w="2910" w:type="dxa"/>
            <w:tcBorders>
              <w:top w:val="single" w:sz="4" w:space="0" w:color="auto"/>
              <w:left w:val="single" w:sz="4" w:space="0" w:color="auto"/>
              <w:bottom w:val="single" w:sz="4" w:space="0" w:color="auto"/>
              <w:right w:val="single" w:sz="4" w:space="0" w:color="auto"/>
            </w:tcBorders>
            <w:vAlign w:val="bottom"/>
          </w:tcPr>
          <w:p w14:paraId="1AE740B8" w14:textId="765AF40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0,50*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09A56995"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0CD8CA80"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0,72</w:t>
            </w:r>
          </w:p>
        </w:tc>
        <w:tc>
          <w:tcPr>
            <w:tcW w:w="2910" w:type="dxa"/>
            <w:tcBorders>
              <w:top w:val="single" w:sz="4" w:space="0" w:color="auto"/>
              <w:left w:val="single" w:sz="4" w:space="0" w:color="auto"/>
              <w:bottom w:val="single" w:sz="4" w:space="0" w:color="auto"/>
              <w:right w:val="single" w:sz="4" w:space="0" w:color="auto"/>
            </w:tcBorders>
            <w:vAlign w:val="bottom"/>
          </w:tcPr>
          <w:p w14:paraId="73DD3E21" w14:textId="22F5B404"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0,47*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2590C505"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29D03AB1"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0,70</w:t>
            </w:r>
          </w:p>
        </w:tc>
        <w:tc>
          <w:tcPr>
            <w:tcW w:w="2910" w:type="dxa"/>
            <w:tcBorders>
              <w:top w:val="single" w:sz="4" w:space="0" w:color="auto"/>
              <w:left w:val="single" w:sz="4" w:space="0" w:color="auto"/>
              <w:bottom w:val="single" w:sz="4" w:space="0" w:color="auto"/>
              <w:right w:val="single" w:sz="4" w:space="0" w:color="auto"/>
            </w:tcBorders>
            <w:vAlign w:val="bottom"/>
          </w:tcPr>
          <w:p w14:paraId="34686FAB" w14:textId="1203939F"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0,45*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4B4A36E9"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3DE318BF" w14:textId="77777777" w:rsidR="007B3001" w:rsidRPr="009558E6" w:rsidRDefault="007B3001" w:rsidP="0035431C">
            <w:pPr>
              <w:ind w:left="34"/>
              <w:contextualSpacing/>
              <w:jc w:val="center"/>
              <w:rPr>
                <w:rFonts w:asciiTheme="majorHAnsi" w:eastAsiaTheme="minorEastAsia" w:hAnsiTheme="majorHAnsi"/>
                <w:sz w:val="20"/>
                <w:szCs w:val="20"/>
              </w:rPr>
            </w:pPr>
            <w:r w:rsidRPr="009558E6">
              <w:rPr>
                <w:rFonts w:asciiTheme="majorHAnsi" w:hAnsiTheme="majorHAnsi"/>
                <w:sz w:val="20"/>
                <w:szCs w:val="20"/>
              </w:rPr>
              <w:t>0,68</w:t>
            </w:r>
          </w:p>
        </w:tc>
        <w:tc>
          <w:tcPr>
            <w:tcW w:w="2910" w:type="dxa"/>
            <w:tcBorders>
              <w:top w:val="single" w:sz="4" w:space="0" w:color="auto"/>
              <w:left w:val="single" w:sz="4" w:space="0" w:color="auto"/>
              <w:bottom w:val="single" w:sz="4" w:space="0" w:color="auto"/>
              <w:right w:val="single" w:sz="4" w:space="0" w:color="auto"/>
            </w:tcBorders>
            <w:vAlign w:val="bottom"/>
          </w:tcPr>
          <w:p w14:paraId="4C393F9D" w14:textId="58FC88DB" w:rsidR="007B3001" w:rsidRPr="009558E6" w:rsidRDefault="007B3001" w:rsidP="0035431C">
            <w:pPr>
              <w:ind w:left="34"/>
              <w:contextualSpacing/>
              <w:jc w:val="center"/>
              <w:rPr>
                <w:rFonts w:asciiTheme="majorHAnsi" w:eastAsiaTheme="minorEastAsia" w:hAnsiTheme="majorHAnsi"/>
                <w:sz w:val="20"/>
                <w:szCs w:val="20"/>
              </w:rPr>
            </w:pPr>
            <w:r w:rsidRPr="009558E6">
              <w:rPr>
                <w:rFonts w:asciiTheme="majorHAnsi" w:hAnsiTheme="majorHAnsi"/>
                <w:sz w:val="20"/>
                <w:szCs w:val="20"/>
              </w:rPr>
              <w:t xml:space="preserve">0,43*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0AB55BE6"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7929706B"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0,66</w:t>
            </w:r>
          </w:p>
        </w:tc>
        <w:tc>
          <w:tcPr>
            <w:tcW w:w="2910" w:type="dxa"/>
            <w:tcBorders>
              <w:top w:val="single" w:sz="4" w:space="0" w:color="auto"/>
              <w:left w:val="single" w:sz="4" w:space="0" w:color="auto"/>
              <w:bottom w:val="single" w:sz="4" w:space="0" w:color="auto"/>
              <w:right w:val="single" w:sz="4" w:space="0" w:color="auto"/>
            </w:tcBorders>
            <w:vAlign w:val="bottom"/>
          </w:tcPr>
          <w:p w14:paraId="45CAA8AA" w14:textId="0BBDBF75"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0,40*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7393CE66"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6A934DBC"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0,64</w:t>
            </w:r>
          </w:p>
        </w:tc>
        <w:tc>
          <w:tcPr>
            <w:tcW w:w="2910" w:type="dxa"/>
            <w:tcBorders>
              <w:top w:val="single" w:sz="4" w:space="0" w:color="auto"/>
              <w:left w:val="single" w:sz="4" w:space="0" w:color="auto"/>
              <w:bottom w:val="single" w:sz="4" w:space="0" w:color="auto"/>
              <w:right w:val="single" w:sz="4" w:space="0" w:color="auto"/>
            </w:tcBorders>
            <w:vAlign w:val="bottom"/>
          </w:tcPr>
          <w:p w14:paraId="301A1491" w14:textId="43F03232"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0,38*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00C82AAE"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08620316"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0,62</w:t>
            </w:r>
          </w:p>
        </w:tc>
        <w:tc>
          <w:tcPr>
            <w:tcW w:w="2910" w:type="dxa"/>
            <w:tcBorders>
              <w:top w:val="single" w:sz="4" w:space="0" w:color="auto"/>
              <w:left w:val="single" w:sz="4" w:space="0" w:color="auto"/>
              <w:bottom w:val="single" w:sz="4" w:space="0" w:color="auto"/>
              <w:right w:val="single" w:sz="4" w:space="0" w:color="auto"/>
            </w:tcBorders>
            <w:vAlign w:val="bottom"/>
          </w:tcPr>
          <w:p w14:paraId="331D295A" w14:textId="722764D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0,36*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6071FB27"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1A1A058B"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0,60</w:t>
            </w:r>
          </w:p>
        </w:tc>
        <w:tc>
          <w:tcPr>
            <w:tcW w:w="2910" w:type="dxa"/>
            <w:tcBorders>
              <w:top w:val="single" w:sz="4" w:space="0" w:color="auto"/>
              <w:left w:val="single" w:sz="4" w:space="0" w:color="auto"/>
              <w:bottom w:val="single" w:sz="4" w:space="0" w:color="auto"/>
              <w:right w:val="single" w:sz="4" w:space="0" w:color="auto"/>
            </w:tcBorders>
            <w:vAlign w:val="bottom"/>
          </w:tcPr>
          <w:p w14:paraId="73535F0A" w14:textId="02C58261"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0,33*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3C5BFBD5"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0FBCFAC9"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0,58</w:t>
            </w:r>
          </w:p>
        </w:tc>
        <w:tc>
          <w:tcPr>
            <w:tcW w:w="2910" w:type="dxa"/>
            <w:tcBorders>
              <w:top w:val="single" w:sz="4" w:space="0" w:color="auto"/>
              <w:left w:val="single" w:sz="4" w:space="0" w:color="auto"/>
              <w:bottom w:val="single" w:sz="4" w:space="0" w:color="auto"/>
              <w:right w:val="single" w:sz="4" w:space="0" w:color="auto"/>
            </w:tcBorders>
            <w:vAlign w:val="bottom"/>
          </w:tcPr>
          <w:p w14:paraId="5FEDAEE9" w14:textId="7D9CFE26"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0,31*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5F3BA3AC"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2FD8F664"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0,56</w:t>
            </w:r>
          </w:p>
        </w:tc>
        <w:tc>
          <w:tcPr>
            <w:tcW w:w="2910" w:type="dxa"/>
            <w:tcBorders>
              <w:top w:val="single" w:sz="4" w:space="0" w:color="auto"/>
              <w:left w:val="single" w:sz="4" w:space="0" w:color="auto"/>
              <w:bottom w:val="single" w:sz="4" w:space="0" w:color="auto"/>
              <w:right w:val="single" w:sz="4" w:space="0" w:color="auto"/>
            </w:tcBorders>
            <w:vAlign w:val="bottom"/>
          </w:tcPr>
          <w:p w14:paraId="31713644" w14:textId="3F248C76"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0,29*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6634C122"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0E02D694"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0,54</w:t>
            </w:r>
          </w:p>
        </w:tc>
        <w:tc>
          <w:tcPr>
            <w:tcW w:w="2910" w:type="dxa"/>
            <w:tcBorders>
              <w:top w:val="single" w:sz="4" w:space="0" w:color="auto"/>
              <w:left w:val="single" w:sz="4" w:space="0" w:color="auto"/>
              <w:bottom w:val="single" w:sz="4" w:space="0" w:color="auto"/>
              <w:right w:val="single" w:sz="4" w:space="0" w:color="auto"/>
            </w:tcBorders>
            <w:vAlign w:val="bottom"/>
          </w:tcPr>
          <w:p w14:paraId="1DEE9E1F" w14:textId="7D38CB0E"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0,26*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0589A3C9"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10E22632"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0,52</w:t>
            </w:r>
          </w:p>
        </w:tc>
        <w:tc>
          <w:tcPr>
            <w:tcW w:w="2910" w:type="dxa"/>
            <w:tcBorders>
              <w:top w:val="single" w:sz="4" w:space="0" w:color="auto"/>
              <w:left w:val="single" w:sz="4" w:space="0" w:color="auto"/>
              <w:bottom w:val="single" w:sz="4" w:space="0" w:color="auto"/>
              <w:right w:val="single" w:sz="4" w:space="0" w:color="auto"/>
            </w:tcBorders>
            <w:vAlign w:val="bottom"/>
          </w:tcPr>
          <w:p w14:paraId="4EE014C5" w14:textId="63305013"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0,24*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18BC3DA6"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0C5CFDCF"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0,50</w:t>
            </w:r>
          </w:p>
        </w:tc>
        <w:tc>
          <w:tcPr>
            <w:tcW w:w="2910" w:type="dxa"/>
            <w:tcBorders>
              <w:top w:val="single" w:sz="4" w:space="0" w:color="auto"/>
              <w:left w:val="single" w:sz="4" w:space="0" w:color="auto"/>
              <w:bottom w:val="single" w:sz="4" w:space="0" w:color="auto"/>
              <w:right w:val="single" w:sz="4" w:space="0" w:color="auto"/>
            </w:tcBorders>
            <w:vAlign w:val="bottom"/>
          </w:tcPr>
          <w:p w14:paraId="6681B2FB" w14:textId="02B1C8E5"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0,22*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37783E2D"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0895C374"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0,48</w:t>
            </w:r>
          </w:p>
        </w:tc>
        <w:tc>
          <w:tcPr>
            <w:tcW w:w="2910" w:type="dxa"/>
            <w:tcBorders>
              <w:top w:val="single" w:sz="4" w:space="0" w:color="auto"/>
              <w:left w:val="single" w:sz="4" w:space="0" w:color="auto"/>
              <w:bottom w:val="single" w:sz="4" w:space="0" w:color="auto"/>
              <w:right w:val="single" w:sz="4" w:space="0" w:color="auto"/>
            </w:tcBorders>
            <w:vAlign w:val="bottom"/>
          </w:tcPr>
          <w:p w14:paraId="7477EAD1" w14:textId="0B72D4E9"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0,19*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66A8B09D"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1AF60DB4"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0,46</w:t>
            </w:r>
          </w:p>
        </w:tc>
        <w:tc>
          <w:tcPr>
            <w:tcW w:w="2910" w:type="dxa"/>
            <w:tcBorders>
              <w:top w:val="single" w:sz="4" w:space="0" w:color="auto"/>
              <w:left w:val="single" w:sz="4" w:space="0" w:color="auto"/>
              <w:bottom w:val="single" w:sz="4" w:space="0" w:color="auto"/>
              <w:right w:val="single" w:sz="4" w:space="0" w:color="auto"/>
            </w:tcBorders>
            <w:vAlign w:val="bottom"/>
          </w:tcPr>
          <w:p w14:paraId="6C78858F" w14:textId="7F587015"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0,17*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7C6611EA"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708C6600"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0,44</w:t>
            </w:r>
          </w:p>
        </w:tc>
        <w:tc>
          <w:tcPr>
            <w:tcW w:w="2910" w:type="dxa"/>
            <w:tcBorders>
              <w:top w:val="single" w:sz="4" w:space="0" w:color="auto"/>
              <w:left w:val="single" w:sz="4" w:space="0" w:color="auto"/>
              <w:bottom w:val="single" w:sz="4" w:space="0" w:color="auto"/>
              <w:right w:val="single" w:sz="4" w:space="0" w:color="auto"/>
            </w:tcBorders>
            <w:vAlign w:val="bottom"/>
          </w:tcPr>
          <w:p w14:paraId="55320E93" w14:textId="2AF331C9"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0,15*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0A7818" w:rsidRPr="009558E6" w14:paraId="3392C7D0"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72CA2927"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0,42</w:t>
            </w:r>
          </w:p>
        </w:tc>
        <w:tc>
          <w:tcPr>
            <w:tcW w:w="2910" w:type="dxa"/>
            <w:tcBorders>
              <w:top w:val="single" w:sz="4" w:space="0" w:color="auto"/>
              <w:left w:val="single" w:sz="4" w:space="0" w:color="auto"/>
              <w:bottom w:val="single" w:sz="4" w:space="0" w:color="auto"/>
              <w:right w:val="single" w:sz="4" w:space="0" w:color="auto"/>
            </w:tcBorders>
            <w:vAlign w:val="bottom"/>
          </w:tcPr>
          <w:p w14:paraId="5099B3C7" w14:textId="2AD87BB4"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0,12*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r w:rsidR="007B3001" w:rsidRPr="009558E6" w14:paraId="3F49C33A" w14:textId="77777777" w:rsidTr="00B046A3">
        <w:trPr>
          <w:jc w:val="center"/>
        </w:trPr>
        <w:tc>
          <w:tcPr>
            <w:tcW w:w="2835" w:type="dxa"/>
            <w:tcBorders>
              <w:top w:val="single" w:sz="4" w:space="0" w:color="auto"/>
              <w:left w:val="single" w:sz="4" w:space="0" w:color="auto"/>
              <w:bottom w:val="single" w:sz="4" w:space="0" w:color="auto"/>
              <w:right w:val="single" w:sz="4" w:space="0" w:color="auto"/>
            </w:tcBorders>
            <w:vAlign w:val="bottom"/>
          </w:tcPr>
          <w:p w14:paraId="21084D55" w14:textId="77777777"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0,40</w:t>
            </w:r>
          </w:p>
        </w:tc>
        <w:tc>
          <w:tcPr>
            <w:tcW w:w="2910" w:type="dxa"/>
            <w:tcBorders>
              <w:top w:val="single" w:sz="4" w:space="0" w:color="auto"/>
              <w:left w:val="single" w:sz="4" w:space="0" w:color="auto"/>
              <w:bottom w:val="single" w:sz="4" w:space="0" w:color="auto"/>
              <w:right w:val="single" w:sz="4" w:space="0" w:color="auto"/>
            </w:tcBorders>
            <w:vAlign w:val="bottom"/>
          </w:tcPr>
          <w:p w14:paraId="568B7664" w14:textId="1AB5C4FE" w:rsidR="007B3001" w:rsidRPr="009558E6" w:rsidRDefault="007B3001" w:rsidP="0035431C">
            <w:pPr>
              <w:ind w:left="34"/>
              <w:contextualSpacing/>
              <w:jc w:val="center"/>
              <w:rPr>
                <w:rFonts w:asciiTheme="majorHAnsi" w:hAnsiTheme="majorHAnsi"/>
                <w:sz w:val="20"/>
                <w:szCs w:val="20"/>
              </w:rPr>
            </w:pPr>
            <w:r w:rsidRPr="009558E6">
              <w:rPr>
                <w:rFonts w:asciiTheme="majorHAnsi" w:hAnsiTheme="majorHAnsi"/>
                <w:sz w:val="20"/>
                <w:szCs w:val="20"/>
              </w:rPr>
              <w:t xml:space="preserve">0,10* </w:t>
            </w:r>
            <w:r w:rsidR="00381439" w:rsidRPr="009558E6">
              <w:rPr>
                <w:rFonts w:asciiTheme="majorHAnsi" w:hAnsiTheme="majorHAnsi"/>
                <w:sz w:val="20"/>
                <w:szCs w:val="20"/>
              </w:rPr>
              <w:t>F</w:t>
            </w:r>
            <w:r w:rsidR="00381439" w:rsidRPr="009558E6">
              <w:rPr>
                <w:rFonts w:asciiTheme="majorHAnsi" w:hAnsiTheme="majorHAnsi"/>
                <w:sz w:val="20"/>
                <w:szCs w:val="20"/>
                <w:vertAlign w:val="subscript"/>
              </w:rPr>
              <w:t>PME</w:t>
            </w:r>
          </w:p>
        </w:tc>
      </w:tr>
    </w:tbl>
    <w:p w14:paraId="1DE2921A" w14:textId="77777777" w:rsidR="007B3001" w:rsidRPr="009558E6" w:rsidRDefault="007B3001" w:rsidP="0035431C">
      <w:pPr>
        <w:spacing w:after="0" w:line="240" w:lineRule="auto"/>
        <w:contextualSpacing/>
        <w:jc w:val="center"/>
        <w:rPr>
          <w:rFonts w:asciiTheme="majorHAnsi" w:hAnsiTheme="majorHAnsi" w:cs="Cambria-Italic"/>
          <w:sz w:val="20"/>
          <w:szCs w:val="20"/>
        </w:rPr>
        <w:sectPr w:rsidR="007B3001" w:rsidRPr="009558E6" w:rsidSect="00B046A3">
          <w:footnotePr>
            <w:numRestart w:val="eachSect"/>
          </w:footnotePr>
          <w:pgSz w:w="11907" w:h="16840" w:code="9"/>
          <w:pgMar w:top="1418" w:right="1418" w:bottom="1418" w:left="1418" w:header="851" w:footer="1134" w:gutter="0"/>
          <w:cols w:space="708"/>
          <w:docGrid w:linePitch="360"/>
        </w:sectPr>
      </w:pPr>
    </w:p>
    <w:p w14:paraId="7A81B26A" w14:textId="4E95F824" w:rsidR="00786DBE" w:rsidRPr="009558E6" w:rsidRDefault="00786DBE" w:rsidP="00786DBE">
      <w:pPr>
        <w:spacing w:after="0" w:line="240" w:lineRule="auto"/>
        <w:contextualSpacing/>
        <w:jc w:val="right"/>
        <w:rPr>
          <w:rFonts w:asciiTheme="majorHAnsi" w:hAnsiTheme="majorHAnsi"/>
          <w:b/>
          <w:sz w:val="20"/>
          <w:szCs w:val="20"/>
        </w:rPr>
      </w:pPr>
      <w:r w:rsidRPr="009558E6">
        <w:rPr>
          <w:rFonts w:asciiTheme="majorHAnsi" w:hAnsiTheme="majorHAnsi"/>
          <w:b/>
          <w:sz w:val="20"/>
          <w:szCs w:val="20"/>
        </w:rPr>
        <w:lastRenderedPageBreak/>
        <w:t xml:space="preserve">Annexe </w:t>
      </w:r>
      <w:r w:rsidR="00D411E2" w:rsidRPr="009558E6">
        <w:rPr>
          <w:rFonts w:asciiTheme="majorHAnsi" w:hAnsiTheme="majorHAnsi"/>
          <w:b/>
          <w:sz w:val="20"/>
          <w:szCs w:val="20"/>
        </w:rPr>
        <w:t>2</w:t>
      </w:r>
    </w:p>
    <w:p w14:paraId="78B3BF00" w14:textId="77777777" w:rsidR="00786DBE" w:rsidRPr="009558E6" w:rsidRDefault="00786DBE" w:rsidP="0035431C">
      <w:pPr>
        <w:spacing w:after="0" w:line="240" w:lineRule="auto"/>
        <w:contextualSpacing/>
        <w:rPr>
          <w:rFonts w:asciiTheme="majorHAnsi" w:hAnsiTheme="majorHAnsi"/>
          <w:b/>
          <w:sz w:val="20"/>
          <w:szCs w:val="20"/>
        </w:rPr>
      </w:pPr>
    </w:p>
    <w:p w14:paraId="3B9988A3" w14:textId="090C085A" w:rsidR="002459AB" w:rsidRPr="009558E6" w:rsidRDefault="00A458E5" w:rsidP="00786DBE">
      <w:pPr>
        <w:spacing w:after="0" w:line="240" w:lineRule="auto"/>
        <w:contextualSpacing/>
        <w:jc w:val="center"/>
        <w:rPr>
          <w:rFonts w:asciiTheme="majorHAnsi" w:eastAsia="Times New Roman" w:hAnsiTheme="majorHAnsi" w:cs="Times New Roman"/>
          <w:b/>
          <w:bCs/>
          <w:sz w:val="20"/>
          <w:szCs w:val="20"/>
        </w:rPr>
      </w:pPr>
      <w:r w:rsidRPr="009558E6">
        <w:rPr>
          <w:rFonts w:asciiTheme="majorHAnsi" w:hAnsiTheme="majorHAnsi"/>
          <w:b/>
          <w:bCs/>
          <w:sz w:val="20"/>
          <w:szCs w:val="20"/>
        </w:rPr>
        <w:t>Protocole relatif aux circonstances exceptionnelles pour le germon de l’Atlantique Nord</w:t>
      </w:r>
    </w:p>
    <w:p w14:paraId="0C1BA937" w14:textId="77777777" w:rsidR="002459AB" w:rsidRPr="009558E6" w:rsidRDefault="002459AB" w:rsidP="0035431C">
      <w:pPr>
        <w:spacing w:after="0" w:line="240" w:lineRule="auto"/>
        <w:contextualSpacing/>
        <w:jc w:val="center"/>
        <w:rPr>
          <w:rFonts w:asciiTheme="majorHAnsi" w:eastAsia="Times New Roman" w:hAnsiTheme="majorHAnsi" w:cs="Times New Roman"/>
          <w:b/>
          <w:bCs/>
          <w:sz w:val="20"/>
          <w:szCs w:val="20"/>
          <w:lang w:eastAsia="en-CA"/>
        </w:rPr>
      </w:pPr>
    </w:p>
    <w:p w14:paraId="1C3747D9" w14:textId="77777777" w:rsidR="002459AB" w:rsidRPr="009558E6" w:rsidRDefault="002459AB" w:rsidP="0035431C">
      <w:pPr>
        <w:pStyle w:val="ListParagraph"/>
        <w:numPr>
          <w:ilvl w:val="0"/>
          <w:numId w:val="20"/>
        </w:numPr>
        <w:spacing w:after="0" w:line="240" w:lineRule="auto"/>
        <w:ind w:left="426" w:hanging="426"/>
        <w:rPr>
          <w:rFonts w:asciiTheme="majorHAnsi" w:eastAsia="Times New Roman" w:hAnsiTheme="majorHAnsi" w:cs="Times New Roman"/>
          <w:b/>
          <w:bCs/>
          <w:sz w:val="20"/>
          <w:szCs w:val="20"/>
        </w:rPr>
      </w:pPr>
      <w:r w:rsidRPr="009558E6">
        <w:rPr>
          <w:rFonts w:asciiTheme="majorHAnsi" w:hAnsiTheme="majorHAnsi"/>
          <w:b/>
          <w:bCs/>
          <w:sz w:val="20"/>
          <w:szCs w:val="20"/>
        </w:rPr>
        <w:t>Principes de circonstances exceptionnelles</w:t>
      </w:r>
    </w:p>
    <w:p w14:paraId="1975EA23" w14:textId="77777777" w:rsidR="007C4D3D" w:rsidRPr="009558E6" w:rsidRDefault="007C4D3D" w:rsidP="0035431C">
      <w:pPr>
        <w:pStyle w:val="ListParagraph"/>
        <w:spacing w:after="0" w:line="240" w:lineRule="auto"/>
        <w:ind w:left="0"/>
        <w:jc w:val="both"/>
        <w:rPr>
          <w:rFonts w:asciiTheme="majorHAnsi" w:hAnsiTheme="majorHAnsi"/>
          <w:sz w:val="20"/>
          <w:szCs w:val="20"/>
        </w:rPr>
      </w:pPr>
    </w:p>
    <w:p w14:paraId="0FCC1166" w14:textId="78A9226B" w:rsidR="002459AB" w:rsidRPr="009558E6" w:rsidRDefault="002459AB" w:rsidP="0035431C">
      <w:pPr>
        <w:pStyle w:val="ListParagraph"/>
        <w:spacing w:after="0" w:line="240" w:lineRule="auto"/>
        <w:ind w:left="0"/>
        <w:jc w:val="both"/>
        <w:rPr>
          <w:rFonts w:asciiTheme="majorHAnsi" w:eastAsia="Times New Roman" w:hAnsiTheme="majorHAnsi" w:cs="Times New Roman"/>
          <w:sz w:val="20"/>
          <w:szCs w:val="20"/>
        </w:rPr>
      </w:pPr>
      <w:r w:rsidRPr="009558E6">
        <w:rPr>
          <w:rFonts w:asciiTheme="majorHAnsi" w:hAnsiTheme="majorHAnsi"/>
          <w:sz w:val="20"/>
          <w:szCs w:val="20"/>
        </w:rPr>
        <w:t>Les trois principes généraux suivants devraient être considérés comme un signal indiquant la possibilité de</w:t>
      </w:r>
      <w:r w:rsidR="00E87179" w:rsidRPr="009558E6">
        <w:rPr>
          <w:rFonts w:asciiTheme="majorHAnsi" w:hAnsiTheme="majorHAnsi"/>
          <w:sz w:val="20"/>
          <w:szCs w:val="20"/>
        </w:rPr>
        <w:t xml:space="preserve"> l’existence de</w:t>
      </w:r>
      <w:r w:rsidRPr="009558E6">
        <w:rPr>
          <w:rFonts w:asciiTheme="majorHAnsi" w:hAnsiTheme="majorHAnsi"/>
          <w:sz w:val="20"/>
          <w:szCs w:val="20"/>
        </w:rPr>
        <w:t xml:space="preserve"> circonstances exceptionnelles (EC) : </w:t>
      </w:r>
    </w:p>
    <w:p w14:paraId="22C4270F" w14:textId="77777777" w:rsidR="002459AB" w:rsidRPr="009558E6" w:rsidRDefault="002459AB" w:rsidP="0035431C">
      <w:pPr>
        <w:pStyle w:val="ListParagraph"/>
        <w:spacing w:after="0" w:line="240" w:lineRule="auto"/>
        <w:jc w:val="both"/>
        <w:rPr>
          <w:rFonts w:asciiTheme="majorHAnsi" w:eastAsia="Times New Roman" w:hAnsiTheme="majorHAnsi" w:cs="Times New Roman"/>
          <w:sz w:val="20"/>
          <w:szCs w:val="20"/>
          <w:lang w:eastAsia="en-CA"/>
        </w:rPr>
      </w:pPr>
    </w:p>
    <w:p w14:paraId="5A1B3C58" w14:textId="77777777" w:rsidR="002459AB" w:rsidRPr="009558E6" w:rsidRDefault="002459AB" w:rsidP="0035431C">
      <w:pPr>
        <w:pStyle w:val="ListParagraph"/>
        <w:numPr>
          <w:ilvl w:val="1"/>
          <w:numId w:val="31"/>
        </w:numPr>
        <w:spacing w:after="0" w:line="240" w:lineRule="auto"/>
        <w:ind w:left="426"/>
        <w:jc w:val="both"/>
        <w:rPr>
          <w:rFonts w:asciiTheme="majorHAnsi" w:eastAsia="Times New Roman" w:hAnsiTheme="majorHAnsi" w:cs="Times New Roman"/>
          <w:sz w:val="20"/>
          <w:szCs w:val="20"/>
        </w:rPr>
      </w:pPr>
      <w:r w:rsidRPr="009558E6">
        <w:rPr>
          <w:rFonts w:asciiTheme="majorHAnsi" w:hAnsiTheme="majorHAnsi"/>
          <w:sz w:val="20"/>
          <w:szCs w:val="20"/>
        </w:rPr>
        <w:t xml:space="preserve">Lorsqu'il existe des preuves que le stock se trouve dans un état non jugé précédemment plausible dans le contexte de l’évaluation de la stratégie de gestion (MSE) ; </w:t>
      </w:r>
    </w:p>
    <w:p w14:paraId="61E6EA43" w14:textId="77777777" w:rsidR="002459AB" w:rsidRPr="009558E6" w:rsidRDefault="002459AB" w:rsidP="0035431C">
      <w:pPr>
        <w:pStyle w:val="ListParagraph"/>
        <w:spacing w:after="0" w:line="240" w:lineRule="auto"/>
        <w:ind w:left="426"/>
        <w:jc w:val="both"/>
        <w:rPr>
          <w:rFonts w:asciiTheme="majorHAnsi" w:eastAsia="Times New Roman" w:hAnsiTheme="majorHAnsi" w:cs="Times New Roman"/>
          <w:sz w:val="20"/>
          <w:szCs w:val="20"/>
          <w:lang w:eastAsia="en-CA"/>
        </w:rPr>
      </w:pPr>
    </w:p>
    <w:p w14:paraId="72B5F490" w14:textId="77777777" w:rsidR="002459AB" w:rsidRPr="009558E6" w:rsidRDefault="002459AB" w:rsidP="0035431C">
      <w:pPr>
        <w:pStyle w:val="ListParagraph"/>
        <w:numPr>
          <w:ilvl w:val="1"/>
          <w:numId w:val="31"/>
        </w:numPr>
        <w:spacing w:after="0" w:line="240" w:lineRule="auto"/>
        <w:ind w:left="426"/>
        <w:jc w:val="both"/>
        <w:rPr>
          <w:rFonts w:asciiTheme="majorHAnsi" w:eastAsia="Times New Roman" w:hAnsiTheme="majorHAnsi" w:cs="Times New Roman"/>
          <w:sz w:val="20"/>
          <w:szCs w:val="20"/>
        </w:rPr>
      </w:pPr>
      <w:r w:rsidRPr="009558E6">
        <w:rPr>
          <w:rFonts w:asciiTheme="majorHAnsi" w:hAnsiTheme="majorHAnsi"/>
          <w:sz w:val="20"/>
          <w:szCs w:val="20"/>
        </w:rPr>
        <w:t>Lorsqu'il existe des preuves que les données requises pour appliquer la procédure de gestion (MP) ne sont pas disponibles ou ne sont plus appropriées ; et/ou</w:t>
      </w:r>
    </w:p>
    <w:p w14:paraId="49742B8D" w14:textId="77777777" w:rsidR="002459AB" w:rsidRPr="009558E6" w:rsidRDefault="002459AB" w:rsidP="0035431C">
      <w:pPr>
        <w:pStyle w:val="ListParagraph"/>
        <w:spacing w:after="0" w:line="240" w:lineRule="auto"/>
        <w:ind w:left="426"/>
        <w:jc w:val="both"/>
        <w:rPr>
          <w:rFonts w:asciiTheme="majorHAnsi" w:eastAsia="Times New Roman" w:hAnsiTheme="majorHAnsi" w:cs="Times New Roman"/>
          <w:sz w:val="20"/>
          <w:szCs w:val="20"/>
          <w:lang w:eastAsia="en-CA"/>
        </w:rPr>
      </w:pPr>
    </w:p>
    <w:p w14:paraId="08B7A827" w14:textId="033C6D35" w:rsidR="002459AB" w:rsidRPr="009558E6" w:rsidRDefault="002459AB" w:rsidP="0035431C">
      <w:pPr>
        <w:pStyle w:val="ListParagraph"/>
        <w:numPr>
          <w:ilvl w:val="1"/>
          <w:numId w:val="31"/>
        </w:numPr>
        <w:spacing w:after="0" w:line="240" w:lineRule="auto"/>
        <w:ind w:left="426"/>
        <w:jc w:val="both"/>
        <w:rPr>
          <w:rFonts w:asciiTheme="majorHAnsi" w:eastAsia="Times New Roman" w:hAnsiTheme="majorHAnsi" w:cs="Times New Roman"/>
          <w:sz w:val="20"/>
          <w:szCs w:val="20"/>
        </w:rPr>
      </w:pPr>
      <w:r w:rsidRPr="009558E6">
        <w:rPr>
          <w:rFonts w:asciiTheme="majorHAnsi" w:hAnsiTheme="majorHAnsi"/>
          <w:sz w:val="20"/>
          <w:szCs w:val="20"/>
        </w:rPr>
        <w:t xml:space="preserve">Lorsqu'il existe des preuves que la capture totale est supérieure au TAC fixé au moyen de la MP. </w:t>
      </w:r>
    </w:p>
    <w:p w14:paraId="08BA912D" w14:textId="77777777" w:rsidR="002459AB" w:rsidRPr="009558E6" w:rsidRDefault="002459AB" w:rsidP="0035431C">
      <w:pPr>
        <w:pStyle w:val="ListParagraph"/>
        <w:spacing w:after="0" w:line="240" w:lineRule="auto"/>
        <w:rPr>
          <w:rFonts w:asciiTheme="majorHAnsi" w:eastAsia="Times New Roman" w:hAnsiTheme="majorHAnsi" w:cs="Times New Roman"/>
          <w:sz w:val="20"/>
          <w:szCs w:val="20"/>
          <w:lang w:eastAsia="en-CA"/>
        </w:rPr>
      </w:pPr>
    </w:p>
    <w:p w14:paraId="786016E1" w14:textId="77777777" w:rsidR="002459AB" w:rsidRPr="009558E6" w:rsidRDefault="002459AB" w:rsidP="0035431C">
      <w:pPr>
        <w:pStyle w:val="ListParagraph"/>
        <w:spacing w:after="0" w:line="240" w:lineRule="auto"/>
        <w:ind w:left="426"/>
        <w:rPr>
          <w:rFonts w:asciiTheme="majorHAnsi" w:eastAsia="Times New Roman" w:hAnsiTheme="majorHAnsi" w:cs="Times New Roman"/>
          <w:b/>
          <w:bCs/>
          <w:sz w:val="20"/>
          <w:szCs w:val="20"/>
          <w:lang w:eastAsia="en-CA"/>
        </w:rPr>
      </w:pPr>
    </w:p>
    <w:p w14:paraId="195AA409" w14:textId="15385D6A" w:rsidR="002459AB" w:rsidRPr="009558E6" w:rsidRDefault="002459AB" w:rsidP="0035431C">
      <w:pPr>
        <w:pStyle w:val="ListParagraph"/>
        <w:numPr>
          <w:ilvl w:val="0"/>
          <w:numId w:val="20"/>
        </w:numPr>
        <w:spacing w:after="0" w:line="240" w:lineRule="auto"/>
        <w:ind w:left="426" w:hanging="426"/>
        <w:rPr>
          <w:rFonts w:asciiTheme="majorHAnsi" w:eastAsia="Times New Roman" w:hAnsiTheme="majorHAnsi" w:cs="Times New Roman"/>
          <w:b/>
          <w:bCs/>
          <w:sz w:val="20"/>
          <w:szCs w:val="20"/>
        </w:rPr>
      </w:pPr>
      <w:r w:rsidRPr="009558E6">
        <w:rPr>
          <w:rFonts w:asciiTheme="majorHAnsi" w:hAnsiTheme="majorHAnsi"/>
          <w:b/>
          <w:bCs/>
          <w:sz w:val="20"/>
          <w:szCs w:val="20"/>
        </w:rPr>
        <w:t>Indicateurs pour les EC</w:t>
      </w:r>
    </w:p>
    <w:p w14:paraId="0D6B5CFD" w14:textId="77777777" w:rsidR="007C4D3D" w:rsidRPr="009558E6" w:rsidRDefault="007C4D3D" w:rsidP="0035431C">
      <w:pPr>
        <w:pStyle w:val="ListParagraph"/>
        <w:spacing w:after="0" w:line="240" w:lineRule="auto"/>
        <w:ind w:left="0"/>
        <w:jc w:val="both"/>
        <w:rPr>
          <w:rFonts w:asciiTheme="majorHAnsi" w:hAnsiTheme="majorHAnsi"/>
          <w:sz w:val="20"/>
          <w:szCs w:val="20"/>
        </w:rPr>
      </w:pPr>
    </w:p>
    <w:p w14:paraId="4553AF22" w14:textId="69D2A9B5" w:rsidR="002459AB" w:rsidRPr="009558E6" w:rsidRDefault="002459AB" w:rsidP="0035431C">
      <w:pPr>
        <w:pStyle w:val="ListParagraph"/>
        <w:spacing w:after="0" w:line="240" w:lineRule="auto"/>
        <w:ind w:left="0"/>
        <w:jc w:val="both"/>
        <w:rPr>
          <w:rFonts w:asciiTheme="majorHAnsi" w:eastAsia="Times New Roman" w:hAnsiTheme="majorHAnsi" w:cs="Times New Roman"/>
          <w:sz w:val="20"/>
          <w:szCs w:val="20"/>
        </w:rPr>
      </w:pPr>
      <w:r w:rsidRPr="009558E6">
        <w:rPr>
          <w:rFonts w:asciiTheme="majorHAnsi" w:hAnsiTheme="majorHAnsi"/>
          <w:sz w:val="20"/>
          <w:szCs w:val="20"/>
        </w:rPr>
        <w:t xml:space="preserve">À la lumière des principes spécifiés à la Section 1, le SCRS devrait utiliser le tableau suivant pour juger de l'existence </w:t>
      </w:r>
      <w:r w:rsidR="001127F1" w:rsidRPr="009558E6">
        <w:rPr>
          <w:rFonts w:asciiTheme="majorHAnsi" w:hAnsiTheme="majorHAnsi"/>
          <w:sz w:val="20"/>
          <w:szCs w:val="20"/>
        </w:rPr>
        <w:t>d’</w:t>
      </w:r>
      <w:r w:rsidRPr="009558E6">
        <w:rPr>
          <w:rFonts w:asciiTheme="majorHAnsi" w:hAnsiTheme="majorHAnsi"/>
          <w:sz w:val="20"/>
          <w:szCs w:val="20"/>
        </w:rPr>
        <w:t>E</w:t>
      </w:r>
      <w:r w:rsidR="00DE41D1" w:rsidRPr="009558E6">
        <w:rPr>
          <w:rFonts w:asciiTheme="majorHAnsi" w:hAnsiTheme="majorHAnsi"/>
          <w:sz w:val="20"/>
          <w:szCs w:val="20"/>
        </w:rPr>
        <w:t>C</w:t>
      </w:r>
      <w:r w:rsidRPr="009558E6">
        <w:rPr>
          <w:rFonts w:asciiTheme="majorHAnsi" w:hAnsiTheme="majorHAnsi"/>
          <w:sz w:val="20"/>
          <w:szCs w:val="20"/>
        </w:rPr>
        <w:t>.</w:t>
      </w:r>
      <w:r w:rsidRPr="009558E6">
        <w:rPr>
          <w:rFonts w:asciiTheme="majorHAnsi" w:hAnsiTheme="majorHAnsi"/>
          <w:b/>
          <w:bCs/>
          <w:sz w:val="20"/>
          <w:szCs w:val="20"/>
        </w:rPr>
        <w:t xml:space="preserve"> </w:t>
      </w:r>
      <w:r w:rsidRPr="009558E6">
        <w:rPr>
          <w:rFonts w:asciiTheme="majorHAnsi" w:hAnsiTheme="majorHAnsi"/>
          <w:sz w:val="20"/>
          <w:szCs w:val="20"/>
        </w:rPr>
        <w:t xml:space="preserve">Le déclenchement d'une </w:t>
      </w:r>
      <w:r w:rsidR="00ED5AB4" w:rsidRPr="009558E6">
        <w:rPr>
          <w:rFonts w:asciiTheme="majorHAnsi" w:hAnsiTheme="majorHAnsi"/>
          <w:sz w:val="20"/>
          <w:szCs w:val="20"/>
        </w:rPr>
        <w:t>E</w:t>
      </w:r>
      <w:r w:rsidR="001127F1" w:rsidRPr="009558E6">
        <w:rPr>
          <w:rFonts w:asciiTheme="majorHAnsi" w:hAnsiTheme="majorHAnsi"/>
          <w:sz w:val="20"/>
          <w:szCs w:val="20"/>
        </w:rPr>
        <w:t>C</w:t>
      </w:r>
      <w:r w:rsidRPr="009558E6">
        <w:rPr>
          <w:rFonts w:asciiTheme="majorHAnsi" w:hAnsiTheme="majorHAnsi"/>
          <w:sz w:val="20"/>
          <w:szCs w:val="20"/>
        </w:rPr>
        <w:t xml:space="preserve"> n'entraîne pas immédiatement l'annulation de l'avis sur le TAC de la M</w:t>
      </w:r>
      <w:r w:rsidR="00E87179" w:rsidRPr="009558E6">
        <w:rPr>
          <w:rFonts w:asciiTheme="majorHAnsi" w:hAnsiTheme="majorHAnsi"/>
          <w:sz w:val="20"/>
          <w:szCs w:val="20"/>
        </w:rPr>
        <w:t>P ;</w:t>
      </w:r>
      <w:r w:rsidRPr="009558E6">
        <w:rPr>
          <w:rFonts w:asciiTheme="majorHAnsi" w:hAnsiTheme="majorHAnsi"/>
          <w:sz w:val="20"/>
          <w:szCs w:val="20"/>
        </w:rPr>
        <w:t xml:space="preserve"> cela signifie </w:t>
      </w:r>
      <w:r w:rsidR="00E87179" w:rsidRPr="009558E6">
        <w:rPr>
          <w:rFonts w:asciiTheme="majorHAnsi" w:hAnsiTheme="majorHAnsi"/>
          <w:sz w:val="20"/>
          <w:szCs w:val="20"/>
        </w:rPr>
        <w:t xml:space="preserve">plutôt </w:t>
      </w:r>
      <w:r w:rsidRPr="009558E6">
        <w:rPr>
          <w:rFonts w:asciiTheme="majorHAnsi" w:hAnsiTheme="majorHAnsi"/>
          <w:sz w:val="20"/>
          <w:szCs w:val="20"/>
        </w:rPr>
        <w:t xml:space="preserve">que le SCRS </w:t>
      </w:r>
      <w:r w:rsidR="007C4D3D" w:rsidRPr="009558E6">
        <w:rPr>
          <w:rFonts w:asciiTheme="majorHAnsi" w:hAnsiTheme="majorHAnsi"/>
          <w:sz w:val="20"/>
          <w:szCs w:val="20"/>
        </w:rPr>
        <w:t>doit</w:t>
      </w:r>
      <w:r w:rsidRPr="009558E6">
        <w:rPr>
          <w:rFonts w:asciiTheme="majorHAnsi" w:hAnsiTheme="majorHAnsi"/>
          <w:sz w:val="20"/>
          <w:szCs w:val="20"/>
        </w:rPr>
        <w:t xml:space="preserve"> examiner les indicateurs et déterminer si un changement d’avis est justifié.</w:t>
      </w:r>
    </w:p>
    <w:p w14:paraId="55DAAF2D" w14:textId="77777777" w:rsidR="009B40C7" w:rsidRPr="009558E6" w:rsidRDefault="009B40C7" w:rsidP="0035431C">
      <w:pPr>
        <w:spacing w:after="0" w:line="240" w:lineRule="auto"/>
        <w:contextualSpacing/>
        <w:jc w:val="both"/>
        <w:rPr>
          <w:rFonts w:asciiTheme="majorHAnsi" w:eastAsia="Times New Roman" w:hAnsiTheme="majorHAnsi" w:cs="Times New Roman"/>
          <w:sz w:val="20"/>
          <w:szCs w:val="20"/>
          <w:lang w:eastAsia="en-CA"/>
        </w:rPr>
        <w:sectPr w:rsidR="009B40C7" w:rsidRPr="009558E6" w:rsidSect="00B046A3">
          <w:footnotePr>
            <w:numRestart w:val="eachSect"/>
          </w:footnotePr>
          <w:pgSz w:w="11907" w:h="16840" w:code="9"/>
          <w:pgMar w:top="1418" w:right="1418" w:bottom="1418" w:left="1418" w:header="851" w:footer="1134" w:gutter="0"/>
          <w:cols w:space="708"/>
          <w:docGrid w:linePitch="360"/>
        </w:sectPr>
      </w:pPr>
    </w:p>
    <w:tbl>
      <w:tblPr>
        <w:tblStyle w:val="TableGrid"/>
        <w:tblW w:w="0" w:type="auto"/>
        <w:tblLook w:val="04A0" w:firstRow="1" w:lastRow="0" w:firstColumn="1" w:lastColumn="0" w:noHBand="0" w:noVBand="1"/>
      </w:tblPr>
      <w:tblGrid>
        <w:gridCol w:w="1696"/>
        <w:gridCol w:w="3240"/>
        <w:gridCol w:w="4982"/>
        <w:gridCol w:w="3076"/>
      </w:tblGrid>
      <w:tr w:rsidR="000A7818" w:rsidRPr="009558E6" w14:paraId="593B3106" w14:textId="77777777" w:rsidTr="00C645F7">
        <w:tc>
          <w:tcPr>
            <w:tcW w:w="1696" w:type="dxa"/>
          </w:tcPr>
          <w:p w14:paraId="6C7A7A68" w14:textId="77777777" w:rsidR="005F7F71" w:rsidRPr="009558E6" w:rsidRDefault="005F7F71" w:rsidP="0035431C">
            <w:pPr>
              <w:contextualSpacing/>
              <w:jc w:val="center"/>
              <w:rPr>
                <w:rFonts w:asciiTheme="majorHAnsi" w:eastAsia="Times New Roman" w:hAnsiTheme="majorHAnsi" w:cs="Times New Roman"/>
                <w:i/>
                <w:sz w:val="20"/>
                <w:szCs w:val="20"/>
              </w:rPr>
            </w:pPr>
            <w:bookmarkStart w:id="1" w:name="_Hlk72487911"/>
            <w:r w:rsidRPr="009558E6">
              <w:rPr>
                <w:rFonts w:asciiTheme="majorHAnsi" w:hAnsiTheme="majorHAnsi"/>
                <w:i/>
                <w:sz w:val="20"/>
                <w:szCs w:val="20"/>
              </w:rPr>
              <w:lastRenderedPageBreak/>
              <w:t>Principe</w:t>
            </w:r>
          </w:p>
        </w:tc>
        <w:tc>
          <w:tcPr>
            <w:tcW w:w="3240" w:type="dxa"/>
          </w:tcPr>
          <w:p w14:paraId="31B6DD7F" w14:textId="77777777" w:rsidR="005F7F71" w:rsidRPr="009558E6" w:rsidRDefault="005F7F71" w:rsidP="0035431C">
            <w:pPr>
              <w:contextualSpacing/>
              <w:jc w:val="center"/>
              <w:rPr>
                <w:rFonts w:asciiTheme="majorHAnsi" w:eastAsia="Times New Roman" w:hAnsiTheme="majorHAnsi" w:cs="Times New Roman"/>
                <w:i/>
                <w:sz w:val="20"/>
                <w:szCs w:val="20"/>
              </w:rPr>
            </w:pPr>
            <w:r w:rsidRPr="009558E6">
              <w:rPr>
                <w:rFonts w:asciiTheme="majorHAnsi" w:hAnsiTheme="majorHAnsi"/>
                <w:i/>
                <w:sz w:val="20"/>
                <w:szCs w:val="20"/>
              </w:rPr>
              <w:t>Indicateur</w:t>
            </w:r>
          </w:p>
        </w:tc>
        <w:tc>
          <w:tcPr>
            <w:tcW w:w="4982" w:type="dxa"/>
          </w:tcPr>
          <w:p w14:paraId="4F5C1266" w14:textId="77777777" w:rsidR="005F7F71" w:rsidRPr="009558E6" w:rsidRDefault="005F7F71" w:rsidP="0035431C">
            <w:pPr>
              <w:contextualSpacing/>
              <w:jc w:val="center"/>
              <w:rPr>
                <w:rFonts w:asciiTheme="majorHAnsi" w:eastAsia="Times New Roman" w:hAnsiTheme="majorHAnsi" w:cs="Times New Roman"/>
                <w:i/>
                <w:sz w:val="20"/>
                <w:szCs w:val="20"/>
              </w:rPr>
            </w:pPr>
            <w:r w:rsidRPr="009558E6">
              <w:rPr>
                <w:rFonts w:asciiTheme="majorHAnsi" w:hAnsiTheme="majorHAnsi"/>
                <w:i/>
                <w:sz w:val="20"/>
                <w:szCs w:val="20"/>
              </w:rPr>
              <w:t>Critère</w:t>
            </w:r>
          </w:p>
        </w:tc>
        <w:tc>
          <w:tcPr>
            <w:tcW w:w="3076" w:type="dxa"/>
          </w:tcPr>
          <w:p w14:paraId="1A3AB4EA" w14:textId="77777777" w:rsidR="005F7F71" w:rsidRPr="009558E6" w:rsidRDefault="005F7F71" w:rsidP="0035431C">
            <w:pPr>
              <w:contextualSpacing/>
              <w:jc w:val="center"/>
              <w:rPr>
                <w:rFonts w:asciiTheme="majorHAnsi" w:eastAsia="Times New Roman" w:hAnsiTheme="majorHAnsi" w:cs="Times New Roman"/>
                <w:i/>
                <w:sz w:val="20"/>
                <w:szCs w:val="20"/>
              </w:rPr>
            </w:pPr>
            <w:r w:rsidRPr="009558E6">
              <w:rPr>
                <w:rFonts w:asciiTheme="majorHAnsi" w:hAnsiTheme="majorHAnsi"/>
                <w:i/>
                <w:sz w:val="20"/>
                <w:szCs w:val="20"/>
              </w:rPr>
              <w:t>Fréquence d’évaluation des circonstances exceptionnelles</w:t>
            </w:r>
          </w:p>
        </w:tc>
      </w:tr>
      <w:tr w:rsidR="000A7818" w:rsidRPr="009558E6" w14:paraId="628A2EB3" w14:textId="77777777" w:rsidTr="00C645F7">
        <w:tc>
          <w:tcPr>
            <w:tcW w:w="1696" w:type="dxa"/>
            <w:vMerge w:val="restart"/>
          </w:tcPr>
          <w:p w14:paraId="72259D22"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a) Dynamique des stocks</w:t>
            </w:r>
          </w:p>
        </w:tc>
        <w:tc>
          <w:tcPr>
            <w:tcW w:w="3240" w:type="dxa"/>
          </w:tcPr>
          <w:p w14:paraId="280A2800"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Biomasse relative du stock (B/B</w:t>
            </w:r>
            <w:r w:rsidRPr="009558E6">
              <w:rPr>
                <w:rFonts w:asciiTheme="majorHAnsi" w:hAnsiTheme="majorHAnsi"/>
                <w:sz w:val="20"/>
                <w:szCs w:val="20"/>
                <w:vertAlign w:val="subscript"/>
              </w:rPr>
              <w:t>PME</w:t>
            </w:r>
            <w:r w:rsidRPr="009558E6">
              <w:rPr>
                <w:rFonts w:asciiTheme="majorHAnsi" w:hAnsiTheme="majorHAnsi"/>
                <w:sz w:val="20"/>
                <w:szCs w:val="20"/>
              </w:rPr>
              <w:t>)</w:t>
            </w:r>
            <w:r w:rsidRPr="009558E6">
              <w:rPr>
                <w:rStyle w:val="FootnoteReference"/>
                <w:rFonts w:asciiTheme="majorHAnsi" w:hAnsiTheme="majorHAnsi"/>
                <w:sz w:val="20"/>
                <w:szCs w:val="20"/>
              </w:rPr>
              <w:footnoteReference w:id="1"/>
            </w:r>
          </w:p>
        </w:tc>
        <w:tc>
          <w:tcPr>
            <w:tcW w:w="4982" w:type="dxa"/>
            <w:vMerge w:val="restart"/>
          </w:tcPr>
          <w:p w14:paraId="28AD4B36" w14:textId="7AF04362"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Se situe en dehors de la gamme des percentiles de</w:t>
            </w:r>
            <w:r w:rsidR="00116D57" w:rsidRPr="009558E6">
              <w:rPr>
                <w:rFonts w:asciiTheme="majorHAnsi" w:hAnsiTheme="majorHAnsi"/>
                <w:sz w:val="20"/>
                <w:szCs w:val="20"/>
              </w:rPr>
              <w:t>s valeurs de</w:t>
            </w:r>
            <w:r w:rsidRPr="009558E6">
              <w:rPr>
                <w:rFonts w:asciiTheme="majorHAnsi" w:hAnsiTheme="majorHAnsi"/>
                <w:sz w:val="20"/>
                <w:szCs w:val="20"/>
              </w:rPr>
              <w:t xml:space="preserve"> 2,5% et 97,5% de chaque année à partir des OM utilisés dans la MSE lorsque la MP acceptée a été testée</w:t>
            </w:r>
          </w:p>
        </w:tc>
        <w:tc>
          <w:tcPr>
            <w:tcW w:w="3076" w:type="dxa"/>
            <w:vMerge w:val="restart"/>
          </w:tcPr>
          <w:p w14:paraId="1B2B2DD6"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Chaque évaluation de stocks de référence (tous les 6-7 ans)</w:t>
            </w:r>
          </w:p>
        </w:tc>
      </w:tr>
      <w:tr w:rsidR="000A7818" w:rsidRPr="009558E6" w14:paraId="7F5C8E43" w14:textId="77777777" w:rsidTr="00C645F7">
        <w:tc>
          <w:tcPr>
            <w:tcW w:w="1696" w:type="dxa"/>
            <w:vMerge/>
          </w:tcPr>
          <w:p w14:paraId="6A2E7F90" w14:textId="77777777" w:rsidR="005F7F71" w:rsidRPr="009558E6" w:rsidRDefault="005F7F71" w:rsidP="0035431C">
            <w:pPr>
              <w:contextualSpacing/>
              <w:rPr>
                <w:rFonts w:asciiTheme="majorHAnsi" w:eastAsia="Times New Roman" w:hAnsiTheme="majorHAnsi" w:cs="Times New Roman"/>
                <w:sz w:val="20"/>
                <w:szCs w:val="20"/>
                <w:lang w:eastAsia="en-CA"/>
              </w:rPr>
            </w:pPr>
          </w:p>
        </w:tc>
        <w:tc>
          <w:tcPr>
            <w:tcW w:w="3240" w:type="dxa"/>
          </w:tcPr>
          <w:p w14:paraId="14E09ECB"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Mortalité par pêche relative (F/F</w:t>
            </w:r>
            <w:r w:rsidRPr="009558E6">
              <w:rPr>
                <w:rFonts w:asciiTheme="majorHAnsi" w:hAnsiTheme="majorHAnsi"/>
                <w:sz w:val="20"/>
                <w:szCs w:val="20"/>
                <w:vertAlign w:val="subscript"/>
              </w:rPr>
              <w:t>PME</w:t>
            </w:r>
            <w:r w:rsidRPr="009558E6">
              <w:rPr>
                <w:rFonts w:asciiTheme="majorHAnsi" w:hAnsiTheme="majorHAnsi"/>
                <w:sz w:val="20"/>
                <w:szCs w:val="20"/>
              </w:rPr>
              <w:t>)</w:t>
            </w:r>
            <w:r w:rsidRPr="009558E6">
              <w:rPr>
                <w:rFonts w:asciiTheme="majorHAnsi" w:hAnsiTheme="majorHAnsi"/>
                <w:sz w:val="20"/>
                <w:szCs w:val="20"/>
                <w:vertAlign w:val="superscript"/>
              </w:rPr>
              <w:t>1</w:t>
            </w:r>
          </w:p>
        </w:tc>
        <w:tc>
          <w:tcPr>
            <w:tcW w:w="4982" w:type="dxa"/>
            <w:vMerge/>
          </w:tcPr>
          <w:p w14:paraId="08387F4E" w14:textId="77777777" w:rsidR="005F7F71" w:rsidRPr="009558E6" w:rsidRDefault="005F7F71" w:rsidP="0035431C">
            <w:pPr>
              <w:contextualSpacing/>
              <w:rPr>
                <w:rFonts w:asciiTheme="majorHAnsi" w:eastAsia="Times New Roman" w:hAnsiTheme="majorHAnsi" w:cs="Times New Roman"/>
                <w:sz w:val="20"/>
                <w:szCs w:val="20"/>
                <w:lang w:eastAsia="en-CA"/>
              </w:rPr>
            </w:pPr>
          </w:p>
        </w:tc>
        <w:tc>
          <w:tcPr>
            <w:tcW w:w="3076" w:type="dxa"/>
            <w:vMerge/>
          </w:tcPr>
          <w:p w14:paraId="7A789798" w14:textId="77777777" w:rsidR="005F7F71" w:rsidRPr="009558E6" w:rsidRDefault="005F7F71" w:rsidP="0035431C">
            <w:pPr>
              <w:contextualSpacing/>
              <w:rPr>
                <w:rFonts w:asciiTheme="majorHAnsi" w:eastAsia="Times New Roman" w:hAnsiTheme="majorHAnsi" w:cs="Times New Roman"/>
                <w:sz w:val="20"/>
                <w:szCs w:val="20"/>
                <w:lang w:eastAsia="en-CA"/>
              </w:rPr>
            </w:pPr>
          </w:p>
        </w:tc>
      </w:tr>
      <w:tr w:rsidR="000A7818" w:rsidRPr="009558E6" w14:paraId="1BE7541A" w14:textId="77777777" w:rsidTr="00C645F7">
        <w:tc>
          <w:tcPr>
            <w:tcW w:w="1696" w:type="dxa"/>
            <w:vMerge/>
          </w:tcPr>
          <w:p w14:paraId="1CCA9DD9" w14:textId="77777777" w:rsidR="005F7F71" w:rsidRPr="009558E6" w:rsidRDefault="005F7F71" w:rsidP="0035431C">
            <w:pPr>
              <w:contextualSpacing/>
              <w:rPr>
                <w:rFonts w:asciiTheme="majorHAnsi" w:eastAsia="Times New Roman" w:hAnsiTheme="majorHAnsi" w:cs="Times New Roman"/>
                <w:sz w:val="20"/>
                <w:szCs w:val="20"/>
                <w:lang w:eastAsia="en-CA"/>
              </w:rPr>
            </w:pPr>
          </w:p>
        </w:tc>
        <w:tc>
          <w:tcPr>
            <w:tcW w:w="3240" w:type="dxa"/>
          </w:tcPr>
          <w:p w14:paraId="24164AE7"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Croissance</w:t>
            </w:r>
            <w:r w:rsidRPr="009558E6">
              <w:rPr>
                <w:rStyle w:val="FootnoteReference"/>
                <w:rFonts w:asciiTheme="majorHAnsi" w:hAnsiTheme="majorHAnsi"/>
                <w:sz w:val="20"/>
                <w:szCs w:val="20"/>
              </w:rPr>
              <w:footnoteReference w:id="2"/>
            </w:r>
          </w:p>
        </w:tc>
        <w:tc>
          <w:tcPr>
            <w:tcW w:w="4982" w:type="dxa"/>
            <w:vMerge w:val="restart"/>
          </w:tcPr>
          <w:p w14:paraId="064434D2"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Considérablement différente des valeurs des OM utilisées dans la MSE lorsque la MP acceptée a été testée.</w:t>
            </w:r>
          </w:p>
        </w:tc>
        <w:tc>
          <w:tcPr>
            <w:tcW w:w="3076" w:type="dxa"/>
            <w:vMerge w:val="restart"/>
          </w:tcPr>
          <w:p w14:paraId="01AB18E9"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Après achèvement, présentation et acceptation par le SCRS de l’étude comme nouvelle référence</w:t>
            </w:r>
          </w:p>
        </w:tc>
      </w:tr>
      <w:tr w:rsidR="000A7818" w:rsidRPr="009558E6" w14:paraId="4F92937B" w14:textId="77777777" w:rsidTr="00C645F7">
        <w:tc>
          <w:tcPr>
            <w:tcW w:w="1696" w:type="dxa"/>
            <w:vMerge/>
          </w:tcPr>
          <w:p w14:paraId="1492186E" w14:textId="77777777" w:rsidR="005F7F71" w:rsidRPr="009558E6" w:rsidRDefault="005F7F71" w:rsidP="0035431C">
            <w:pPr>
              <w:contextualSpacing/>
              <w:rPr>
                <w:rFonts w:asciiTheme="majorHAnsi" w:eastAsia="Times New Roman" w:hAnsiTheme="majorHAnsi" w:cs="Times New Roman"/>
                <w:sz w:val="20"/>
                <w:szCs w:val="20"/>
                <w:lang w:eastAsia="en-CA"/>
              </w:rPr>
            </w:pPr>
          </w:p>
        </w:tc>
        <w:tc>
          <w:tcPr>
            <w:tcW w:w="3240" w:type="dxa"/>
          </w:tcPr>
          <w:p w14:paraId="43BFFA2B"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Maturité</w:t>
            </w:r>
            <w:r w:rsidRPr="009558E6">
              <w:rPr>
                <w:rFonts w:asciiTheme="majorHAnsi" w:hAnsiTheme="majorHAnsi"/>
                <w:sz w:val="20"/>
                <w:szCs w:val="20"/>
                <w:vertAlign w:val="superscript"/>
              </w:rPr>
              <w:t>2</w:t>
            </w:r>
          </w:p>
        </w:tc>
        <w:tc>
          <w:tcPr>
            <w:tcW w:w="4982" w:type="dxa"/>
            <w:vMerge/>
          </w:tcPr>
          <w:p w14:paraId="36ED2507" w14:textId="77777777" w:rsidR="005F7F71" w:rsidRPr="009558E6" w:rsidRDefault="005F7F71" w:rsidP="0035431C">
            <w:pPr>
              <w:contextualSpacing/>
              <w:rPr>
                <w:rFonts w:asciiTheme="majorHAnsi" w:eastAsia="Times New Roman" w:hAnsiTheme="majorHAnsi" w:cs="Times New Roman"/>
                <w:sz w:val="20"/>
                <w:szCs w:val="20"/>
                <w:lang w:eastAsia="en-CA"/>
              </w:rPr>
            </w:pPr>
          </w:p>
        </w:tc>
        <w:tc>
          <w:tcPr>
            <w:tcW w:w="3076" w:type="dxa"/>
            <w:vMerge/>
          </w:tcPr>
          <w:p w14:paraId="42B25C7A" w14:textId="77777777" w:rsidR="005F7F71" w:rsidRPr="009558E6" w:rsidRDefault="005F7F71" w:rsidP="0035431C">
            <w:pPr>
              <w:contextualSpacing/>
              <w:rPr>
                <w:rFonts w:asciiTheme="majorHAnsi" w:eastAsia="Times New Roman" w:hAnsiTheme="majorHAnsi" w:cs="Times New Roman"/>
                <w:sz w:val="20"/>
                <w:szCs w:val="20"/>
                <w:lang w:eastAsia="en-CA"/>
              </w:rPr>
            </w:pPr>
          </w:p>
        </w:tc>
      </w:tr>
      <w:tr w:rsidR="000A7818" w:rsidRPr="009558E6" w14:paraId="45AD1B31" w14:textId="77777777" w:rsidTr="00C645F7">
        <w:tc>
          <w:tcPr>
            <w:tcW w:w="1696" w:type="dxa"/>
            <w:vMerge/>
          </w:tcPr>
          <w:p w14:paraId="4530A362" w14:textId="77777777" w:rsidR="005F7F71" w:rsidRPr="009558E6" w:rsidRDefault="005F7F71" w:rsidP="0035431C">
            <w:pPr>
              <w:contextualSpacing/>
              <w:rPr>
                <w:rFonts w:asciiTheme="majorHAnsi" w:eastAsia="Times New Roman" w:hAnsiTheme="majorHAnsi" w:cs="Times New Roman"/>
                <w:sz w:val="20"/>
                <w:szCs w:val="20"/>
                <w:lang w:eastAsia="en-CA"/>
              </w:rPr>
            </w:pPr>
          </w:p>
        </w:tc>
        <w:tc>
          <w:tcPr>
            <w:tcW w:w="3240" w:type="dxa"/>
          </w:tcPr>
          <w:p w14:paraId="75F8CE4D"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Mortalité naturelle</w:t>
            </w:r>
            <w:r w:rsidRPr="009558E6">
              <w:rPr>
                <w:rFonts w:asciiTheme="majorHAnsi" w:hAnsiTheme="majorHAnsi"/>
                <w:sz w:val="20"/>
                <w:szCs w:val="20"/>
                <w:vertAlign w:val="superscript"/>
              </w:rPr>
              <w:t>2</w:t>
            </w:r>
          </w:p>
        </w:tc>
        <w:tc>
          <w:tcPr>
            <w:tcW w:w="4982" w:type="dxa"/>
            <w:vMerge/>
          </w:tcPr>
          <w:p w14:paraId="650F48CC" w14:textId="77777777" w:rsidR="005F7F71" w:rsidRPr="009558E6" w:rsidRDefault="005F7F71" w:rsidP="0035431C">
            <w:pPr>
              <w:contextualSpacing/>
              <w:rPr>
                <w:rFonts w:asciiTheme="majorHAnsi" w:eastAsia="Times New Roman" w:hAnsiTheme="majorHAnsi" w:cs="Times New Roman"/>
                <w:sz w:val="20"/>
                <w:szCs w:val="20"/>
                <w:lang w:eastAsia="en-CA"/>
              </w:rPr>
            </w:pPr>
          </w:p>
        </w:tc>
        <w:tc>
          <w:tcPr>
            <w:tcW w:w="3076" w:type="dxa"/>
            <w:vMerge/>
          </w:tcPr>
          <w:p w14:paraId="16689872" w14:textId="77777777" w:rsidR="005F7F71" w:rsidRPr="009558E6" w:rsidRDefault="005F7F71" w:rsidP="0035431C">
            <w:pPr>
              <w:contextualSpacing/>
              <w:rPr>
                <w:rFonts w:asciiTheme="majorHAnsi" w:eastAsia="Times New Roman" w:hAnsiTheme="majorHAnsi" w:cs="Times New Roman"/>
                <w:sz w:val="20"/>
                <w:szCs w:val="20"/>
                <w:lang w:eastAsia="en-CA"/>
              </w:rPr>
            </w:pPr>
          </w:p>
        </w:tc>
      </w:tr>
      <w:tr w:rsidR="000A7818" w:rsidRPr="009558E6" w14:paraId="2E5AF43F" w14:textId="77777777" w:rsidTr="00C645F7">
        <w:tc>
          <w:tcPr>
            <w:tcW w:w="1696" w:type="dxa"/>
            <w:vMerge/>
          </w:tcPr>
          <w:p w14:paraId="1CF8EF1C" w14:textId="77777777" w:rsidR="005F7F71" w:rsidRPr="009558E6" w:rsidRDefault="005F7F71" w:rsidP="0035431C">
            <w:pPr>
              <w:contextualSpacing/>
              <w:rPr>
                <w:rFonts w:asciiTheme="majorHAnsi" w:eastAsia="Times New Roman" w:hAnsiTheme="majorHAnsi" w:cs="Times New Roman"/>
                <w:sz w:val="20"/>
                <w:szCs w:val="20"/>
                <w:lang w:eastAsia="en-CA"/>
              </w:rPr>
            </w:pPr>
          </w:p>
        </w:tc>
        <w:tc>
          <w:tcPr>
            <w:tcW w:w="3240" w:type="dxa"/>
          </w:tcPr>
          <w:p w14:paraId="14F9C384"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CPUE</w:t>
            </w:r>
            <w:r w:rsidRPr="009558E6">
              <w:rPr>
                <w:rStyle w:val="FootnoteReference"/>
                <w:rFonts w:asciiTheme="majorHAnsi" w:hAnsiTheme="majorHAnsi"/>
                <w:sz w:val="20"/>
                <w:szCs w:val="20"/>
                <w:lang w:eastAsia="ja-JP"/>
              </w:rPr>
              <w:footnoteReference w:id="3"/>
            </w:r>
          </w:p>
        </w:tc>
        <w:tc>
          <w:tcPr>
            <w:tcW w:w="4982" w:type="dxa"/>
          </w:tcPr>
          <w:p w14:paraId="4CCE5739" w14:textId="03E51286"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 xml:space="preserve">Se situe en dehors de la gamme </w:t>
            </w:r>
            <w:r w:rsidR="00116D57" w:rsidRPr="009558E6">
              <w:rPr>
                <w:rFonts w:asciiTheme="majorHAnsi" w:hAnsiTheme="majorHAnsi"/>
                <w:sz w:val="20"/>
                <w:szCs w:val="20"/>
              </w:rPr>
              <w:t>des percentiles des valeurs de</w:t>
            </w:r>
            <w:r w:rsidRPr="009558E6">
              <w:rPr>
                <w:rFonts w:asciiTheme="majorHAnsi" w:hAnsiTheme="majorHAnsi"/>
                <w:sz w:val="20"/>
                <w:szCs w:val="20"/>
              </w:rPr>
              <w:t xml:space="preserve"> 2,5% et 97,5% de chaque année à partir des OM utilisés dans la MSE lorsque la MP acceptée a été testée</w:t>
            </w:r>
          </w:p>
        </w:tc>
        <w:tc>
          <w:tcPr>
            <w:tcW w:w="3076" w:type="dxa"/>
          </w:tcPr>
          <w:p w14:paraId="22F50F5C"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Annuellement</w:t>
            </w:r>
          </w:p>
        </w:tc>
      </w:tr>
      <w:tr w:rsidR="000A7818" w:rsidRPr="009558E6" w14:paraId="661D2EDE" w14:textId="77777777" w:rsidTr="00C645F7">
        <w:tc>
          <w:tcPr>
            <w:tcW w:w="1696" w:type="dxa"/>
            <w:vMerge w:val="restart"/>
          </w:tcPr>
          <w:p w14:paraId="7258D4B9" w14:textId="7379D921"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b</w:t>
            </w:r>
            <w:r w:rsidR="00C645F7">
              <w:rPr>
                <w:rFonts w:asciiTheme="majorHAnsi" w:hAnsiTheme="majorHAnsi"/>
                <w:sz w:val="20"/>
                <w:szCs w:val="20"/>
              </w:rPr>
              <w:t xml:space="preserve">) </w:t>
            </w:r>
            <w:r w:rsidRPr="009558E6">
              <w:rPr>
                <w:rFonts w:asciiTheme="majorHAnsi" w:hAnsiTheme="majorHAnsi"/>
                <w:sz w:val="20"/>
                <w:szCs w:val="20"/>
              </w:rPr>
              <w:t>Application de la MP</w:t>
            </w:r>
          </w:p>
        </w:tc>
        <w:tc>
          <w:tcPr>
            <w:tcW w:w="3240" w:type="dxa"/>
          </w:tcPr>
          <w:p w14:paraId="54E5B41E"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CPUE</w:t>
            </w:r>
          </w:p>
        </w:tc>
        <w:tc>
          <w:tcPr>
            <w:tcW w:w="4982" w:type="dxa"/>
          </w:tcPr>
          <w:p w14:paraId="0B3BC6EE"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Si deux séries ou plus n'ont pas été mises à jour depuis deux ans ou plus. Si deux ou plusieurs séries sont déterminées comme ne reflétant plus l'abondance</w:t>
            </w:r>
          </w:p>
        </w:tc>
        <w:tc>
          <w:tcPr>
            <w:tcW w:w="3076" w:type="dxa"/>
          </w:tcPr>
          <w:p w14:paraId="0F4B5EBF" w14:textId="282050D6" w:rsidR="005F7F71" w:rsidRPr="009558E6" w:rsidRDefault="00F31AB0" w:rsidP="0035431C">
            <w:pPr>
              <w:pStyle w:val="Default"/>
              <w:contextualSpacing/>
              <w:jc w:val="both"/>
              <w:rPr>
                <w:rFonts w:asciiTheme="majorHAnsi" w:hAnsiTheme="majorHAnsi"/>
                <w:color w:val="auto"/>
                <w:sz w:val="20"/>
                <w:szCs w:val="20"/>
              </w:rPr>
            </w:pPr>
            <w:r w:rsidRPr="009558E6">
              <w:rPr>
                <w:rFonts w:asciiTheme="majorHAnsi" w:hAnsiTheme="majorHAnsi"/>
                <w:color w:val="auto"/>
                <w:sz w:val="20"/>
                <w:szCs w:val="20"/>
              </w:rPr>
              <w:t>I</w:t>
            </w:r>
            <w:r w:rsidR="005F7F71" w:rsidRPr="009558E6">
              <w:rPr>
                <w:rFonts w:asciiTheme="majorHAnsi" w:hAnsiTheme="majorHAnsi"/>
                <w:color w:val="auto"/>
                <w:sz w:val="20"/>
                <w:szCs w:val="20"/>
              </w:rPr>
              <w:t xml:space="preserve">tération de </w:t>
            </w:r>
            <w:r w:rsidRPr="009558E6">
              <w:rPr>
                <w:rFonts w:asciiTheme="majorHAnsi" w:hAnsiTheme="majorHAnsi"/>
                <w:color w:val="auto"/>
                <w:sz w:val="20"/>
                <w:szCs w:val="20"/>
              </w:rPr>
              <w:t xml:space="preserve">chaque </w:t>
            </w:r>
            <w:r w:rsidR="005F7F71" w:rsidRPr="009558E6">
              <w:rPr>
                <w:rFonts w:asciiTheme="majorHAnsi" w:hAnsiTheme="majorHAnsi"/>
                <w:color w:val="auto"/>
                <w:sz w:val="20"/>
                <w:szCs w:val="20"/>
              </w:rPr>
              <w:t xml:space="preserve">MP </w:t>
            </w:r>
          </w:p>
          <w:p w14:paraId="597E8766"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(Tous les 3 ans)</w:t>
            </w:r>
          </w:p>
        </w:tc>
      </w:tr>
      <w:tr w:rsidR="000A7818" w:rsidRPr="009558E6" w14:paraId="6DFD559D" w14:textId="77777777" w:rsidTr="00C645F7">
        <w:tc>
          <w:tcPr>
            <w:tcW w:w="1696" w:type="dxa"/>
            <w:vMerge/>
          </w:tcPr>
          <w:p w14:paraId="089BDA30" w14:textId="77777777" w:rsidR="005F7F71" w:rsidRPr="009558E6" w:rsidRDefault="005F7F71" w:rsidP="0035431C">
            <w:pPr>
              <w:contextualSpacing/>
              <w:rPr>
                <w:rFonts w:asciiTheme="majorHAnsi" w:eastAsia="Times New Roman" w:hAnsiTheme="majorHAnsi" w:cs="Times New Roman"/>
                <w:sz w:val="20"/>
                <w:szCs w:val="20"/>
                <w:lang w:eastAsia="en-CA"/>
              </w:rPr>
            </w:pPr>
          </w:p>
        </w:tc>
        <w:tc>
          <w:tcPr>
            <w:tcW w:w="3240" w:type="dxa"/>
          </w:tcPr>
          <w:p w14:paraId="5E0E0740"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Prise</w:t>
            </w:r>
          </w:p>
        </w:tc>
        <w:tc>
          <w:tcPr>
            <w:tcW w:w="4982" w:type="dxa"/>
          </w:tcPr>
          <w:p w14:paraId="5B391BB5" w14:textId="1E308CFF"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Les données sur les captures ne sont pas disponibles ou ne sont pas déclarées dans une large mesure.</w:t>
            </w:r>
            <w:r w:rsidR="00DA7810" w:rsidRPr="009558E6">
              <w:rPr>
                <w:rFonts w:asciiTheme="majorHAnsi" w:hAnsiTheme="majorHAnsi"/>
                <w:sz w:val="20"/>
                <w:szCs w:val="20"/>
              </w:rPr>
              <w:t xml:space="preserve"> </w:t>
            </w:r>
          </w:p>
        </w:tc>
        <w:tc>
          <w:tcPr>
            <w:tcW w:w="3076" w:type="dxa"/>
          </w:tcPr>
          <w:p w14:paraId="38E8D974" w14:textId="56D2EA95" w:rsidR="005F7F71" w:rsidRPr="009558E6" w:rsidRDefault="00F31AB0" w:rsidP="0035431C">
            <w:pPr>
              <w:pStyle w:val="Default"/>
              <w:contextualSpacing/>
              <w:jc w:val="both"/>
              <w:rPr>
                <w:rFonts w:asciiTheme="majorHAnsi" w:hAnsiTheme="majorHAnsi"/>
                <w:color w:val="auto"/>
                <w:sz w:val="20"/>
                <w:szCs w:val="20"/>
              </w:rPr>
            </w:pPr>
            <w:r w:rsidRPr="009558E6">
              <w:rPr>
                <w:rFonts w:asciiTheme="majorHAnsi" w:hAnsiTheme="majorHAnsi"/>
                <w:color w:val="auto"/>
                <w:sz w:val="20"/>
                <w:szCs w:val="20"/>
              </w:rPr>
              <w:t>I</w:t>
            </w:r>
            <w:r w:rsidR="005F7F71" w:rsidRPr="009558E6">
              <w:rPr>
                <w:rFonts w:asciiTheme="majorHAnsi" w:hAnsiTheme="majorHAnsi"/>
                <w:color w:val="auto"/>
                <w:sz w:val="20"/>
                <w:szCs w:val="20"/>
              </w:rPr>
              <w:t xml:space="preserve">tération de </w:t>
            </w:r>
            <w:r w:rsidRPr="009558E6">
              <w:rPr>
                <w:rFonts w:asciiTheme="majorHAnsi" w:hAnsiTheme="majorHAnsi"/>
                <w:color w:val="auto"/>
                <w:sz w:val="20"/>
                <w:szCs w:val="20"/>
              </w:rPr>
              <w:t xml:space="preserve">chaque </w:t>
            </w:r>
            <w:r w:rsidR="005F7F71" w:rsidRPr="009558E6">
              <w:rPr>
                <w:rFonts w:asciiTheme="majorHAnsi" w:hAnsiTheme="majorHAnsi"/>
                <w:color w:val="auto"/>
                <w:sz w:val="20"/>
                <w:szCs w:val="20"/>
              </w:rPr>
              <w:t xml:space="preserve">MP </w:t>
            </w:r>
          </w:p>
          <w:p w14:paraId="57EB03CB"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(Tous les 3 ans)</w:t>
            </w:r>
          </w:p>
        </w:tc>
      </w:tr>
      <w:tr w:rsidR="000A7818" w:rsidRPr="009558E6" w14:paraId="36CFFBE6" w14:textId="77777777" w:rsidTr="00C645F7">
        <w:tc>
          <w:tcPr>
            <w:tcW w:w="1696" w:type="dxa"/>
            <w:vMerge/>
          </w:tcPr>
          <w:p w14:paraId="2ACA6431" w14:textId="77777777" w:rsidR="005F7F71" w:rsidRPr="009558E6" w:rsidRDefault="005F7F71" w:rsidP="0035431C">
            <w:pPr>
              <w:contextualSpacing/>
              <w:rPr>
                <w:rFonts w:asciiTheme="majorHAnsi" w:eastAsia="Times New Roman" w:hAnsiTheme="majorHAnsi" w:cs="Times New Roman"/>
                <w:sz w:val="20"/>
                <w:szCs w:val="20"/>
                <w:lang w:eastAsia="en-CA"/>
              </w:rPr>
            </w:pPr>
          </w:p>
        </w:tc>
        <w:tc>
          <w:tcPr>
            <w:tcW w:w="3240" w:type="dxa"/>
          </w:tcPr>
          <w:p w14:paraId="317284E4"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Biomasse relative du stock (B/B</w:t>
            </w:r>
            <w:r w:rsidRPr="009558E6">
              <w:rPr>
                <w:rFonts w:asciiTheme="majorHAnsi" w:hAnsiTheme="majorHAnsi"/>
                <w:sz w:val="20"/>
                <w:szCs w:val="20"/>
                <w:vertAlign w:val="subscript"/>
              </w:rPr>
              <w:t>PME</w:t>
            </w:r>
            <w:r w:rsidRPr="009558E6">
              <w:rPr>
                <w:rFonts w:asciiTheme="majorHAnsi" w:hAnsiTheme="majorHAnsi"/>
                <w:sz w:val="20"/>
                <w:szCs w:val="20"/>
              </w:rPr>
              <w:t>)</w:t>
            </w:r>
            <w:r w:rsidRPr="009558E6">
              <w:rPr>
                <w:rStyle w:val="FootnoteReference"/>
                <w:rFonts w:asciiTheme="majorHAnsi" w:hAnsiTheme="majorHAnsi"/>
                <w:sz w:val="20"/>
                <w:szCs w:val="20"/>
              </w:rPr>
              <w:footnoteReference w:id="4"/>
            </w:r>
          </w:p>
        </w:tc>
        <w:tc>
          <w:tcPr>
            <w:tcW w:w="4982" w:type="dxa"/>
            <w:vMerge w:val="restart"/>
          </w:tcPr>
          <w:p w14:paraId="1160F78C" w14:textId="2CEE1851"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 xml:space="preserve">Les valeurs du modèle de production dans une itération de la MP se situent en dehors de la </w:t>
            </w:r>
            <w:r w:rsidR="00116D57" w:rsidRPr="009558E6">
              <w:rPr>
                <w:rFonts w:asciiTheme="majorHAnsi" w:hAnsiTheme="majorHAnsi"/>
                <w:sz w:val="20"/>
                <w:szCs w:val="20"/>
              </w:rPr>
              <w:t xml:space="preserve">gamme des percentiles des valeurs de </w:t>
            </w:r>
            <w:r w:rsidRPr="009558E6">
              <w:rPr>
                <w:rFonts w:asciiTheme="majorHAnsi" w:hAnsiTheme="majorHAnsi"/>
                <w:sz w:val="20"/>
                <w:szCs w:val="20"/>
              </w:rPr>
              <w:t>2,5% et 97,5% de quelconque année produites par le modèle de production de la MP acceptée lors des tests de la MSE.</w:t>
            </w:r>
          </w:p>
        </w:tc>
        <w:tc>
          <w:tcPr>
            <w:tcW w:w="3076" w:type="dxa"/>
            <w:vMerge w:val="restart"/>
          </w:tcPr>
          <w:p w14:paraId="2B5F3762" w14:textId="77777777" w:rsidR="00F31AB0" w:rsidRPr="009558E6" w:rsidRDefault="00F31AB0" w:rsidP="00F31AB0">
            <w:pPr>
              <w:pStyle w:val="Default"/>
              <w:contextualSpacing/>
              <w:jc w:val="both"/>
              <w:rPr>
                <w:rFonts w:asciiTheme="majorHAnsi" w:hAnsiTheme="majorHAnsi"/>
                <w:color w:val="auto"/>
                <w:sz w:val="20"/>
                <w:szCs w:val="20"/>
              </w:rPr>
            </w:pPr>
            <w:r w:rsidRPr="009558E6">
              <w:rPr>
                <w:rFonts w:asciiTheme="majorHAnsi" w:hAnsiTheme="majorHAnsi"/>
                <w:color w:val="auto"/>
                <w:sz w:val="20"/>
                <w:szCs w:val="20"/>
              </w:rPr>
              <w:t xml:space="preserve">Itération de chaque MP </w:t>
            </w:r>
          </w:p>
          <w:p w14:paraId="7B02D5C6"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(Tous les 3 ans)</w:t>
            </w:r>
          </w:p>
        </w:tc>
      </w:tr>
      <w:tr w:rsidR="000A7818" w:rsidRPr="009558E6" w14:paraId="6F79D05E" w14:textId="77777777" w:rsidTr="00C645F7">
        <w:tc>
          <w:tcPr>
            <w:tcW w:w="1696" w:type="dxa"/>
            <w:vMerge/>
          </w:tcPr>
          <w:p w14:paraId="63FF80D7" w14:textId="77777777" w:rsidR="005F7F71" w:rsidRPr="009558E6" w:rsidRDefault="005F7F71" w:rsidP="0035431C">
            <w:pPr>
              <w:contextualSpacing/>
              <w:rPr>
                <w:rFonts w:asciiTheme="majorHAnsi" w:eastAsia="Times New Roman" w:hAnsiTheme="majorHAnsi" w:cs="Times New Roman"/>
                <w:sz w:val="20"/>
                <w:szCs w:val="20"/>
                <w:lang w:eastAsia="en-CA"/>
              </w:rPr>
            </w:pPr>
          </w:p>
        </w:tc>
        <w:tc>
          <w:tcPr>
            <w:tcW w:w="3240" w:type="dxa"/>
          </w:tcPr>
          <w:p w14:paraId="5BFEB396"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Mortalité par pêche relative (F/F</w:t>
            </w:r>
            <w:r w:rsidRPr="009558E6">
              <w:rPr>
                <w:rFonts w:asciiTheme="majorHAnsi" w:hAnsiTheme="majorHAnsi"/>
                <w:sz w:val="20"/>
                <w:szCs w:val="20"/>
                <w:vertAlign w:val="subscript"/>
              </w:rPr>
              <w:t>PME</w:t>
            </w:r>
            <w:r w:rsidRPr="009558E6">
              <w:rPr>
                <w:rFonts w:asciiTheme="majorHAnsi" w:hAnsiTheme="majorHAnsi"/>
                <w:sz w:val="20"/>
                <w:szCs w:val="20"/>
              </w:rPr>
              <w:t>)</w:t>
            </w:r>
            <w:r w:rsidRPr="009558E6">
              <w:rPr>
                <w:rFonts w:asciiTheme="majorHAnsi" w:hAnsiTheme="majorHAnsi"/>
                <w:sz w:val="20"/>
                <w:szCs w:val="20"/>
                <w:vertAlign w:val="superscript"/>
              </w:rPr>
              <w:t>4</w:t>
            </w:r>
          </w:p>
        </w:tc>
        <w:tc>
          <w:tcPr>
            <w:tcW w:w="4982" w:type="dxa"/>
            <w:vMerge/>
          </w:tcPr>
          <w:p w14:paraId="553C6885" w14:textId="77777777" w:rsidR="005F7F71" w:rsidRPr="009558E6" w:rsidRDefault="005F7F71" w:rsidP="0035431C">
            <w:pPr>
              <w:contextualSpacing/>
              <w:rPr>
                <w:rFonts w:asciiTheme="majorHAnsi" w:eastAsia="Times New Roman" w:hAnsiTheme="majorHAnsi" w:cs="Times New Roman"/>
                <w:sz w:val="20"/>
                <w:szCs w:val="20"/>
                <w:lang w:eastAsia="en-CA"/>
              </w:rPr>
            </w:pPr>
          </w:p>
        </w:tc>
        <w:tc>
          <w:tcPr>
            <w:tcW w:w="3076" w:type="dxa"/>
            <w:vMerge/>
          </w:tcPr>
          <w:p w14:paraId="098286CB" w14:textId="77777777" w:rsidR="005F7F71" w:rsidRPr="009558E6" w:rsidRDefault="005F7F71" w:rsidP="0035431C">
            <w:pPr>
              <w:contextualSpacing/>
              <w:rPr>
                <w:rFonts w:asciiTheme="majorHAnsi" w:eastAsia="Times New Roman" w:hAnsiTheme="majorHAnsi" w:cs="Times New Roman"/>
                <w:sz w:val="20"/>
                <w:szCs w:val="20"/>
                <w:lang w:eastAsia="en-CA"/>
              </w:rPr>
            </w:pPr>
          </w:p>
        </w:tc>
      </w:tr>
      <w:tr w:rsidR="005F7F71" w:rsidRPr="009558E6" w14:paraId="5A59C8D8" w14:textId="77777777" w:rsidTr="00C645F7">
        <w:trPr>
          <w:trHeight w:val="526"/>
        </w:trPr>
        <w:tc>
          <w:tcPr>
            <w:tcW w:w="1696" w:type="dxa"/>
          </w:tcPr>
          <w:p w14:paraId="2F3B8FF3"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 xml:space="preserve">c) Mise en œuvre du TAC </w:t>
            </w:r>
          </w:p>
        </w:tc>
        <w:tc>
          <w:tcPr>
            <w:tcW w:w="3240" w:type="dxa"/>
          </w:tcPr>
          <w:p w14:paraId="1B0E230A"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Prise</w:t>
            </w:r>
          </w:p>
        </w:tc>
        <w:tc>
          <w:tcPr>
            <w:tcW w:w="4982" w:type="dxa"/>
          </w:tcPr>
          <w:p w14:paraId="0862EE3C"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Le total des captures est supérieur de plus de 20% au TAC fixé en utilisant la MP.</w:t>
            </w:r>
          </w:p>
        </w:tc>
        <w:tc>
          <w:tcPr>
            <w:tcW w:w="3076" w:type="dxa"/>
          </w:tcPr>
          <w:p w14:paraId="565A1EBB" w14:textId="77777777" w:rsidR="005F7F71" w:rsidRPr="009558E6" w:rsidRDefault="005F7F71" w:rsidP="0035431C">
            <w:pPr>
              <w:contextualSpacing/>
              <w:rPr>
                <w:rFonts w:asciiTheme="majorHAnsi" w:eastAsia="Times New Roman" w:hAnsiTheme="majorHAnsi" w:cs="Times New Roman"/>
                <w:sz w:val="20"/>
                <w:szCs w:val="20"/>
              </w:rPr>
            </w:pPr>
            <w:r w:rsidRPr="009558E6">
              <w:rPr>
                <w:rFonts w:asciiTheme="majorHAnsi" w:hAnsiTheme="majorHAnsi"/>
                <w:sz w:val="20"/>
                <w:szCs w:val="20"/>
              </w:rPr>
              <w:t>Annuellement</w:t>
            </w:r>
          </w:p>
        </w:tc>
      </w:tr>
    </w:tbl>
    <w:p w14:paraId="57BAFEE2" w14:textId="77777777" w:rsidR="00F3326E" w:rsidRPr="009558E6" w:rsidRDefault="00F3326E" w:rsidP="0035431C">
      <w:pPr>
        <w:spacing w:after="0" w:line="240" w:lineRule="auto"/>
        <w:contextualSpacing/>
        <w:rPr>
          <w:rFonts w:asciiTheme="majorHAnsi" w:hAnsiTheme="majorHAnsi" w:cs="Times New Roman"/>
          <w:sz w:val="20"/>
          <w:szCs w:val="20"/>
          <w:lang w:eastAsia="ja-JP"/>
        </w:rPr>
      </w:pPr>
    </w:p>
    <w:p w14:paraId="79E41F0D" w14:textId="77777777" w:rsidR="00BC7219" w:rsidRPr="009558E6" w:rsidRDefault="00BC7219" w:rsidP="0035431C">
      <w:pPr>
        <w:spacing w:after="0" w:line="240" w:lineRule="auto"/>
        <w:contextualSpacing/>
        <w:jc w:val="both"/>
        <w:rPr>
          <w:rFonts w:asciiTheme="majorHAnsi" w:hAnsiTheme="majorHAnsi"/>
          <w:b/>
          <w:sz w:val="20"/>
          <w:szCs w:val="20"/>
        </w:rPr>
        <w:sectPr w:rsidR="00BC7219" w:rsidRPr="009558E6" w:rsidSect="00C645F7">
          <w:headerReference w:type="default" r:id="rId11"/>
          <w:footnotePr>
            <w:numRestart w:val="eachSect"/>
          </w:footnotePr>
          <w:pgSz w:w="16838" w:h="11906" w:orient="landscape" w:code="9"/>
          <w:pgMar w:top="1418" w:right="1418" w:bottom="1418" w:left="1418" w:header="709" w:footer="709" w:gutter="0"/>
          <w:cols w:space="708"/>
          <w:docGrid w:linePitch="360"/>
        </w:sectPr>
      </w:pPr>
    </w:p>
    <w:p w14:paraId="358A8955" w14:textId="0828F859" w:rsidR="001209D9" w:rsidRPr="009558E6" w:rsidRDefault="001209D9" w:rsidP="0035431C">
      <w:pPr>
        <w:spacing w:after="0" w:line="240" w:lineRule="auto"/>
        <w:contextualSpacing/>
        <w:jc w:val="both"/>
        <w:rPr>
          <w:rFonts w:asciiTheme="majorHAnsi" w:hAnsiTheme="majorHAnsi"/>
          <w:b/>
          <w:sz w:val="20"/>
          <w:szCs w:val="20"/>
        </w:rPr>
      </w:pPr>
      <w:r w:rsidRPr="009558E6">
        <w:rPr>
          <w:rFonts w:asciiTheme="majorHAnsi" w:hAnsiTheme="majorHAnsi"/>
          <w:b/>
          <w:sz w:val="20"/>
          <w:szCs w:val="20"/>
        </w:rPr>
        <w:lastRenderedPageBreak/>
        <w:t>3</w:t>
      </w:r>
      <w:r w:rsidRPr="009558E6">
        <w:rPr>
          <w:rFonts w:asciiTheme="majorHAnsi" w:hAnsiTheme="majorHAnsi"/>
          <w:sz w:val="20"/>
          <w:szCs w:val="20"/>
        </w:rPr>
        <w:t xml:space="preserve">. </w:t>
      </w:r>
      <w:r w:rsidRPr="009558E6">
        <w:rPr>
          <w:rFonts w:asciiTheme="majorHAnsi" w:hAnsiTheme="majorHAnsi"/>
          <w:b/>
          <w:bCs/>
          <w:sz w:val="20"/>
          <w:szCs w:val="20"/>
        </w:rPr>
        <w:t>Mesures à prendre en cas de E</w:t>
      </w:r>
      <w:r w:rsidR="00EB49E5" w:rsidRPr="009558E6">
        <w:rPr>
          <w:rFonts w:asciiTheme="majorHAnsi" w:hAnsiTheme="majorHAnsi"/>
          <w:b/>
          <w:bCs/>
          <w:sz w:val="20"/>
          <w:szCs w:val="20"/>
        </w:rPr>
        <w:t>C</w:t>
      </w:r>
    </w:p>
    <w:p w14:paraId="1EC35248" w14:textId="77777777" w:rsidR="001209D9" w:rsidRPr="009558E6" w:rsidRDefault="001209D9" w:rsidP="0035431C">
      <w:pPr>
        <w:spacing w:after="0" w:line="240" w:lineRule="auto"/>
        <w:contextualSpacing/>
        <w:jc w:val="both"/>
        <w:rPr>
          <w:rFonts w:asciiTheme="majorHAnsi" w:hAnsiTheme="majorHAnsi"/>
          <w:b/>
          <w:sz w:val="20"/>
          <w:szCs w:val="20"/>
        </w:rPr>
      </w:pPr>
    </w:p>
    <w:p w14:paraId="681EB22F" w14:textId="4B99266A" w:rsidR="00BB129D" w:rsidRPr="009558E6" w:rsidRDefault="001209D9" w:rsidP="0035431C">
      <w:pPr>
        <w:spacing w:after="0" w:line="240" w:lineRule="auto"/>
        <w:contextualSpacing/>
        <w:jc w:val="both"/>
        <w:rPr>
          <w:rFonts w:asciiTheme="majorHAnsi" w:eastAsia="Cambria" w:hAnsiTheme="majorHAnsi" w:cs="Cambria"/>
          <w:sz w:val="20"/>
          <w:szCs w:val="20"/>
        </w:rPr>
      </w:pPr>
      <w:r w:rsidRPr="009558E6">
        <w:rPr>
          <w:rFonts w:asciiTheme="majorHAnsi" w:hAnsiTheme="majorHAnsi"/>
          <w:sz w:val="20"/>
          <w:szCs w:val="20"/>
        </w:rPr>
        <w:t xml:space="preserve">Si le SCRS détermine qu'il existe une </w:t>
      </w:r>
      <w:r w:rsidR="00ED5AB4" w:rsidRPr="009558E6">
        <w:rPr>
          <w:rFonts w:asciiTheme="majorHAnsi" w:hAnsiTheme="majorHAnsi"/>
          <w:sz w:val="20"/>
          <w:szCs w:val="20"/>
        </w:rPr>
        <w:t>E</w:t>
      </w:r>
      <w:r w:rsidR="00EB49E5" w:rsidRPr="009558E6">
        <w:rPr>
          <w:rFonts w:asciiTheme="majorHAnsi" w:hAnsiTheme="majorHAnsi"/>
          <w:sz w:val="20"/>
          <w:szCs w:val="20"/>
        </w:rPr>
        <w:t>C</w:t>
      </w:r>
      <w:r w:rsidRPr="009558E6">
        <w:rPr>
          <w:rFonts w:asciiTheme="majorHAnsi" w:hAnsiTheme="majorHAnsi"/>
          <w:sz w:val="20"/>
          <w:szCs w:val="20"/>
        </w:rPr>
        <w:t xml:space="preserve"> qui empêche l'application de la </w:t>
      </w:r>
      <w:r w:rsidR="00D22602" w:rsidRPr="009558E6">
        <w:rPr>
          <w:rFonts w:asciiTheme="majorHAnsi" w:hAnsiTheme="majorHAnsi"/>
          <w:sz w:val="20"/>
          <w:szCs w:val="20"/>
        </w:rPr>
        <w:t>MP</w:t>
      </w:r>
      <w:r w:rsidRPr="009558E6">
        <w:rPr>
          <w:rFonts w:asciiTheme="majorHAnsi" w:hAnsiTheme="majorHAnsi"/>
          <w:sz w:val="20"/>
          <w:szCs w:val="20"/>
        </w:rPr>
        <w:t xml:space="preserve"> ou qui rend l'application de la </w:t>
      </w:r>
      <w:r w:rsidR="00D22602" w:rsidRPr="009558E6">
        <w:rPr>
          <w:rFonts w:asciiTheme="majorHAnsi" w:hAnsiTheme="majorHAnsi"/>
          <w:sz w:val="20"/>
          <w:szCs w:val="20"/>
        </w:rPr>
        <w:t>MP</w:t>
      </w:r>
      <w:r w:rsidRPr="009558E6">
        <w:rPr>
          <w:rFonts w:asciiTheme="majorHAnsi" w:hAnsiTheme="majorHAnsi"/>
          <w:sz w:val="20"/>
          <w:szCs w:val="20"/>
        </w:rPr>
        <w:t xml:space="preserve"> ou la mise en œuvre de ses résultats déconseillée sur la base des principes décrits dans la Section 1, le SCRS devra évaluer la nature de la </w:t>
      </w:r>
      <w:r w:rsidR="00ED5AB4" w:rsidRPr="009558E6">
        <w:rPr>
          <w:rFonts w:asciiTheme="majorHAnsi" w:hAnsiTheme="majorHAnsi"/>
          <w:sz w:val="20"/>
          <w:szCs w:val="20"/>
        </w:rPr>
        <w:t>E</w:t>
      </w:r>
      <w:r w:rsidR="00EB49E5" w:rsidRPr="009558E6">
        <w:rPr>
          <w:rFonts w:asciiTheme="majorHAnsi" w:hAnsiTheme="majorHAnsi"/>
          <w:sz w:val="20"/>
          <w:szCs w:val="20"/>
        </w:rPr>
        <w:t>C</w:t>
      </w:r>
      <w:r w:rsidRPr="009558E6">
        <w:rPr>
          <w:rFonts w:asciiTheme="majorHAnsi" w:hAnsiTheme="majorHAnsi"/>
          <w:sz w:val="20"/>
          <w:szCs w:val="20"/>
        </w:rPr>
        <w:t xml:space="preserve"> et conseiller la Commission en ce qui concerne</w:t>
      </w:r>
      <w:r w:rsidR="00EB49E5" w:rsidRPr="009558E6">
        <w:rPr>
          <w:rFonts w:asciiTheme="majorHAnsi" w:hAnsiTheme="majorHAnsi"/>
          <w:sz w:val="20"/>
          <w:szCs w:val="20"/>
        </w:rPr>
        <w:t xml:space="preserve"> </w:t>
      </w:r>
      <w:r w:rsidRPr="009558E6">
        <w:rPr>
          <w:rFonts w:asciiTheme="majorHAnsi" w:hAnsiTheme="majorHAnsi"/>
          <w:sz w:val="20"/>
          <w:szCs w:val="20"/>
        </w:rPr>
        <w:t xml:space="preserve">: </w:t>
      </w:r>
    </w:p>
    <w:p w14:paraId="7CA6A65D" w14:textId="77777777" w:rsidR="00BB129D" w:rsidRPr="009558E6" w:rsidRDefault="00BB129D" w:rsidP="0035431C">
      <w:pPr>
        <w:spacing w:after="0" w:line="240" w:lineRule="auto"/>
        <w:contextualSpacing/>
        <w:jc w:val="both"/>
        <w:rPr>
          <w:rFonts w:asciiTheme="majorHAnsi" w:eastAsia="Cambria" w:hAnsiTheme="majorHAnsi" w:cs="Cambria"/>
          <w:sz w:val="20"/>
          <w:szCs w:val="20"/>
        </w:rPr>
      </w:pPr>
    </w:p>
    <w:p w14:paraId="20493034" w14:textId="4FAD3FD6" w:rsidR="00BB129D" w:rsidRPr="009558E6" w:rsidRDefault="00BB129D" w:rsidP="00EB49E5">
      <w:pPr>
        <w:spacing w:after="0" w:line="240" w:lineRule="auto"/>
        <w:ind w:left="709" w:hanging="425"/>
        <w:contextualSpacing/>
        <w:jc w:val="both"/>
        <w:rPr>
          <w:rFonts w:asciiTheme="majorHAnsi" w:eastAsia="Cambria" w:hAnsiTheme="majorHAnsi" w:cs="Cambria"/>
          <w:sz w:val="20"/>
          <w:szCs w:val="20"/>
        </w:rPr>
      </w:pPr>
      <w:r w:rsidRPr="009558E6">
        <w:rPr>
          <w:rFonts w:asciiTheme="majorHAnsi" w:hAnsiTheme="majorHAnsi"/>
          <w:sz w:val="20"/>
          <w:szCs w:val="20"/>
        </w:rPr>
        <w:t>(A)</w:t>
      </w:r>
      <w:r w:rsidR="00EB49E5" w:rsidRPr="009558E6">
        <w:rPr>
          <w:rFonts w:asciiTheme="majorHAnsi" w:hAnsiTheme="majorHAnsi"/>
          <w:sz w:val="20"/>
          <w:szCs w:val="20"/>
        </w:rPr>
        <w:tab/>
      </w:r>
      <w:r w:rsidRPr="009558E6">
        <w:rPr>
          <w:rFonts w:asciiTheme="majorHAnsi" w:hAnsiTheme="majorHAnsi"/>
          <w:sz w:val="20"/>
          <w:szCs w:val="20"/>
        </w:rPr>
        <w:t xml:space="preserve"> les options de gestion alternatives pour la prochaine année de pêche visant à assurer, au minimum, la stabilité de l'état du stock, y compris les implications : (i) du maintien du </w:t>
      </w:r>
      <w:r w:rsidR="00BE3DA2" w:rsidRPr="009558E6">
        <w:rPr>
          <w:rFonts w:asciiTheme="majorHAnsi" w:hAnsiTheme="majorHAnsi"/>
          <w:sz w:val="20"/>
          <w:szCs w:val="20"/>
        </w:rPr>
        <w:t xml:space="preserve">statu quo du </w:t>
      </w:r>
      <w:r w:rsidRPr="009558E6">
        <w:rPr>
          <w:rFonts w:asciiTheme="majorHAnsi" w:hAnsiTheme="majorHAnsi"/>
          <w:sz w:val="20"/>
          <w:szCs w:val="20"/>
        </w:rPr>
        <w:t xml:space="preserve">total des prises admissibles (TAC), (ii) de la réduction du TAC de </w:t>
      </w:r>
      <w:r w:rsidRPr="009558E6">
        <w:rPr>
          <w:rFonts w:asciiTheme="majorHAnsi" w:hAnsiTheme="majorHAnsi"/>
          <w:b/>
          <w:bCs/>
          <w:sz w:val="20"/>
          <w:szCs w:val="20"/>
        </w:rPr>
        <w:t>20%</w:t>
      </w:r>
      <w:r w:rsidRPr="009558E6">
        <w:rPr>
          <w:rFonts w:asciiTheme="majorHAnsi" w:hAnsiTheme="majorHAnsi"/>
          <w:sz w:val="20"/>
          <w:szCs w:val="20"/>
        </w:rPr>
        <w:t xml:space="preserve"> ou d'un autre pourcentage approprié, en particulier à la lumière des indications de déclin du stock, et (iii) de toute autre mesure de conservation et de gestion appropriée ; </w:t>
      </w:r>
    </w:p>
    <w:p w14:paraId="4A90B9B2" w14:textId="77777777" w:rsidR="009348C9" w:rsidRPr="009558E6" w:rsidRDefault="009348C9" w:rsidP="0035431C">
      <w:pPr>
        <w:spacing w:after="0" w:line="240" w:lineRule="auto"/>
        <w:contextualSpacing/>
        <w:jc w:val="both"/>
        <w:rPr>
          <w:rFonts w:asciiTheme="majorHAnsi" w:eastAsia="Cambria" w:hAnsiTheme="majorHAnsi" w:cs="Cambria"/>
          <w:sz w:val="20"/>
          <w:szCs w:val="20"/>
        </w:rPr>
      </w:pPr>
    </w:p>
    <w:p w14:paraId="110AB98A" w14:textId="75DB07A9" w:rsidR="00BE3DA2" w:rsidRPr="009558E6" w:rsidRDefault="00BB129D" w:rsidP="00EB49E5">
      <w:pPr>
        <w:spacing w:after="0" w:line="240" w:lineRule="auto"/>
        <w:ind w:left="709" w:hanging="425"/>
        <w:contextualSpacing/>
        <w:jc w:val="both"/>
        <w:rPr>
          <w:rFonts w:asciiTheme="majorHAnsi" w:hAnsiTheme="majorHAnsi"/>
          <w:sz w:val="20"/>
          <w:szCs w:val="20"/>
        </w:rPr>
      </w:pPr>
      <w:r w:rsidRPr="009558E6">
        <w:rPr>
          <w:rFonts w:asciiTheme="majorHAnsi" w:hAnsiTheme="majorHAnsi"/>
          <w:sz w:val="20"/>
          <w:szCs w:val="20"/>
        </w:rPr>
        <w:t>(B)</w:t>
      </w:r>
      <w:r w:rsidR="00EB49E5" w:rsidRPr="009558E6">
        <w:rPr>
          <w:rFonts w:asciiTheme="majorHAnsi" w:hAnsiTheme="majorHAnsi"/>
          <w:sz w:val="20"/>
          <w:szCs w:val="20"/>
        </w:rPr>
        <w:tab/>
      </w:r>
      <w:r w:rsidRPr="009558E6">
        <w:rPr>
          <w:rFonts w:asciiTheme="majorHAnsi" w:hAnsiTheme="majorHAnsi"/>
          <w:sz w:val="20"/>
          <w:szCs w:val="20"/>
        </w:rPr>
        <w:t xml:space="preserve">la question de savoir si la MP existante peut et devrait être ajustée ou si une nouvelle MP doit être développée ; et </w:t>
      </w:r>
    </w:p>
    <w:p w14:paraId="3E17EB6E" w14:textId="77777777" w:rsidR="00BE3DA2" w:rsidRPr="009558E6" w:rsidRDefault="00BE3DA2" w:rsidP="0035431C">
      <w:pPr>
        <w:spacing w:after="0" w:line="240" w:lineRule="auto"/>
        <w:contextualSpacing/>
        <w:jc w:val="both"/>
        <w:rPr>
          <w:rFonts w:asciiTheme="majorHAnsi" w:hAnsiTheme="majorHAnsi"/>
          <w:sz w:val="20"/>
          <w:szCs w:val="20"/>
        </w:rPr>
      </w:pPr>
    </w:p>
    <w:p w14:paraId="32CAFC74" w14:textId="21393F7F" w:rsidR="00BB129D" w:rsidRPr="009558E6" w:rsidRDefault="00BB129D" w:rsidP="00EB49E5">
      <w:pPr>
        <w:spacing w:after="0" w:line="240" w:lineRule="auto"/>
        <w:ind w:left="709" w:hanging="425"/>
        <w:contextualSpacing/>
        <w:jc w:val="both"/>
        <w:rPr>
          <w:rFonts w:asciiTheme="majorHAnsi" w:eastAsia="Cambria" w:hAnsiTheme="majorHAnsi" w:cs="Cambria"/>
          <w:sz w:val="20"/>
          <w:szCs w:val="20"/>
        </w:rPr>
      </w:pPr>
      <w:r w:rsidRPr="009558E6">
        <w:rPr>
          <w:rFonts w:asciiTheme="majorHAnsi" w:hAnsiTheme="majorHAnsi"/>
          <w:sz w:val="20"/>
          <w:szCs w:val="20"/>
        </w:rPr>
        <w:t>(C)</w:t>
      </w:r>
      <w:r w:rsidR="00EB49E5" w:rsidRPr="009558E6">
        <w:rPr>
          <w:rFonts w:asciiTheme="majorHAnsi" w:hAnsiTheme="majorHAnsi"/>
          <w:sz w:val="20"/>
          <w:szCs w:val="20"/>
        </w:rPr>
        <w:tab/>
      </w:r>
      <w:r w:rsidRPr="009558E6">
        <w:rPr>
          <w:rFonts w:asciiTheme="majorHAnsi" w:hAnsiTheme="majorHAnsi"/>
          <w:sz w:val="20"/>
          <w:szCs w:val="20"/>
        </w:rPr>
        <w:t>la nécessité d'une évaluation du stock pour fournir un avis de gestion dans l'intervalle.</w:t>
      </w:r>
      <w:r w:rsidR="00DA7810" w:rsidRPr="009558E6">
        <w:rPr>
          <w:rFonts w:asciiTheme="majorHAnsi" w:hAnsiTheme="majorHAnsi"/>
          <w:sz w:val="20"/>
          <w:szCs w:val="20"/>
        </w:rPr>
        <w:t xml:space="preserve"> </w:t>
      </w:r>
    </w:p>
    <w:p w14:paraId="3043C582" w14:textId="77777777" w:rsidR="00BB129D" w:rsidRPr="009558E6" w:rsidRDefault="00BB129D" w:rsidP="0035431C">
      <w:pPr>
        <w:spacing w:after="0" w:line="240" w:lineRule="auto"/>
        <w:contextualSpacing/>
        <w:jc w:val="both"/>
        <w:rPr>
          <w:rFonts w:asciiTheme="majorHAnsi" w:eastAsia="Cambria" w:hAnsiTheme="majorHAnsi" w:cs="Cambria"/>
          <w:sz w:val="20"/>
          <w:szCs w:val="20"/>
        </w:rPr>
      </w:pPr>
    </w:p>
    <w:p w14:paraId="32FCDE20" w14:textId="1B05FC50" w:rsidR="00BB129D" w:rsidRPr="009558E6" w:rsidRDefault="00BB129D" w:rsidP="0035431C">
      <w:pPr>
        <w:spacing w:after="0" w:line="240" w:lineRule="auto"/>
        <w:contextualSpacing/>
        <w:jc w:val="both"/>
        <w:rPr>
          <w:rFonts w:asciiTheme="majorHAnsi" w:eastAsia="Cambria" w:hAnsiTheme="majorHAnsi" w:cs="Cambria"/>
          <w:sz w:val="20"/>
          <w:szCs w:val="20"/>
        </w:rPr>
      </w:pPr>
      <w:r w:rsidRPr="009558E6">
        <w:rPr>
          <w:rFonts w:asciiTheme="majorHAnsi" w:hAnsiTheme="majorHAnsi"/>
          <w:sz w:val="20"/>
          <w:szCs w:val="20"/>
        </w:rPr>
        <w:t>Sur la base de l'avis du SCRS, la Commission devra décider de la ou des mesures de gestion alternatives à prendre.</w:t>
      </w:r>
      <w:r w:rsidR="00DA7810" w:rsidRPr="009558E6">
        <w:rPr>
          <w:rFonts w:asciiTheme="majorHAnsi" w:hAnsiTheme="majorHAnsi"/>
          <w:sz w:val="20"/>
          <w:szCs w:val="20"/>
        </w:rPr>
        <w:t xml:space="preserve"> </w:t>
      </w:r>
      <w:r w:rsidRPr="009558E6">
        <w:rPr>
          <w:rFonts w:asciiTheme="majorHAnsi" w:hAnsiTheme="majorHAnsi"/>
          <w:sz w:val="20"/>
          <w:szCs w:val="20"/>
        </w:rPr>
        <w:t xml:space="preserve">Sauf si le SCRS indique qu'il existe une base scientifique suffisante pour s'en écarter, la Commission devra réduire le TAC de germon de l'Atlantique Nord de </w:t>
      </w:r>
      <w:r w:rsidRPr="009558E6">
        <w:rPr>
          <w:rFonts w:asciiTheme="majorHAnsi" w:hAnsiTheme="majorHAnsi"/>
          <w:b/>
          <w:bCs/>
          <w:sz w:val="20"/>
          <w:szCs w:val="20"/>
        </w:rPr>
        <w:t>20%</w:t>
      </w:r>
      <w:r w:rsidRPr="009558E6">
        <w:rPr>
          <w:rFonts w:asciiTheme="majorHAnsi" w:hAnsiTheme="majorHAnsi"/>
          <w:sz w:val="20"/>
          <w:szCs w:val="20"/>
        </w:rPr>
        <w:t xml:space="preserve"> pour l'année suivante.</w:t>
      </w:r>
      <w:r w:rsidR="00DA7810" w:rsidRPr="009558E6">
        <w:rPr>
          <w:rFonts w:asciiTheme="majorHAnsi" w:hAnsiTheme="majorHAnsi"/>
          <w:sz w:val="20"/>
          <w:szCs w:val="20"/>
        </w:rPr>
        <w:t xml:space="preserve"> </w:t>
      </w:r>
      <w:r w:rsidRPr="009558E6">
        <w:rPr>
          <w:rFonts w:asciiTheme="majorHAnsi" w:hAnsiTheme="majorHAnsi"/>
          <w:sz w:val="20"/>
          <w:szCs w:val="20"/>
        </w:rPr>
        <w:t xml:space="preserve">En outre, selon les besoins et le cas, le SCRS devra réaliser une nouvelle évaluation du stock et/ou fournir un avis sur de nouvelles MP </w:t>
      </w:r>
      <w:r w:rsidR="00EB49E5" w:rsidRPr="009558E6">
        <w:rPr>
          <w:rFonts w:asciiTheme="majorHAnsi" w:hAnsiTheme="majorHAnsi"/>
          <w:sz w:val="20"/>
          <w:szCs w:val="20"/>
        </w:rPr>
        <w:t>potentielles</w:t>
      </w:r>
      <w:r w:rsidRPr="009558E6">
        <w:rPr>
          <w:rFonts w:asciiTheme="majorHAnsi" w:hAnsiTheme="majorHAnsi"/>
          <w:sz w:val="20"/>
          <w:szCs w:val="20"/>
        </w:rPr>
        <w:t>, dès que possible.</w:t>
      </w:r>
    </w:p>
    <w:p w14:paraId="29E2398F" w14:textId="77777777" w:rsidR="00BB129D" w:rsidRPr="009558E6" w:rsidRDefault="00BB129D" w:rsidP="0035431C">
      <w:pPr>
        <w:spacing w:after="0" w:line="240" w:lineRule="auto"/>
        <w:contextualSpacing/>
        <w:jc w:val="both"/>
        <w:rPr>
          <w:rFonts w:asciiTheme="majorHAnsi" w:eastAsia="Cambria" w:hAnsiTheme="majorHAnsi" w:cs="Cambria"/>
          <w:sz w:val="20"/>
          <w:szCs w:val="20"/>
        </w:rPr>
      </w:pPr>
    </w:p>
    <w:p w14:paraId="56CB475B" w14:textId="6CFCF7DE" w:rsidR="001209D9" w:rsidRPr="009558E6" w:rsidRDefault="005D6C3F" w:rsidP="0035431C">
      <w:pPr>
        <w:spacing w:after="0" w:line="240" w:lineRule="auto"/>
        <w:contextualSpacing/>
        <w:jc w:val="both"/>
        <w:rPr>
          <w:rFonts w:asciiTheme="majorHAnsi" w:eastAsia="Cambria" w:hAnsiTheme="majorHAnsi" w:cs="Cambria"/>
          <w:sz w:val="20"/>
          <w:szCs w:val="20"/>
        </w:rPr>
      </w:pPr>
      <w:sdt>
        <w:sdtPr>
          <w:rPr>
            <w:rFonts w:asciiTheme="majorHAnsi" w:hAnsiTheme="majorHAnsi"/>
            <w:sz w:val="20"/>
            <w:szCs w:val="20"/>
          </w:rPr>
          <w:tag w:val="goog_rdk_61"/>
          <w:id w:val="-1863738203"/>
        </w:sdtPr>
        <w:sdtEndPr/>
        <w:sdtContent/>
      </w:sdt>
      <w:r w:rsidR="001B30A2" w:rsidRPr="009558E6">
        <w:rPr>
          <w:rFonts w:asciiTheme="majorHAnsi" w:hAnsiTheme="majorHAnsi"/>
          <w:sz w:val="20"/>
          <w:szCs w:val="20"/>
        </w:rPr>
        <w:t>Voir l'organigramme ci-dessous pour une représentation schématique du processus ci-dessus :</w:t>
      </w:r>
    </w:p>
    <w:p w14:paraId="06BD3122" w14:textId="77777777" w:rsidR="002459AB" w:rsidRPr="009558E6" w:rsidRDefault="002459AB" w:rsidP="0035431C">
      <w:pPr>
        <w:spacing w:after="0" w:line="240" w:lineRule="auto"/>
        <w:contextualSpacing/>
        <w:rPr>
          <w:rFonts w:asciiTheme="majorHAnsi" w:eastAsia="Times New Roman" w:hAnsiTheme="majorHAnsi" w:cs="Times New Roman"/>
          <w:b/>
          <w:bCs/>
          <w:sz w:val="20"/>
          <w:szCs w:val="20"/>
          <w:lang w:eastAsia="en-CA"/>
        </w:rPr>
        <w:sectPr w:rsidR="002459AB" w:rsidRPr="009558E6" w:rsidSect="00C645F7">
          <w:headerReference w:type="default" r:id="rId12"/>
          <w:footnotePr>
            <w:numRestart w:val="eachSect"/>
          </w:footnotePr>
          <w:pgSz w:w="11906" w:h="16838" w:code="9"/>
          <w:pgMar w:top="1418" w:right="1418" w:bottom="1418" w:left="1418" w:header="850" w:footer="1134" w:gutter="0"/>
          <w:cols w:space="708"/>
          <w:docGrid w:linePitch="360"/>
        </w:sectPr>
      </w:pPr>
    </w:p>
    <w:bookmarkEnd w:id="1"/>
    <w:p w14:paraId="30C39285" w14:textId="4758E1A3" w:rsidR="001209D9" w:rsidRPr="009558E6" w:rsidRDefault="00A548BE" w:rsidP="0035431C">
      <w:pPr>
        <w:spacing w:after="0" w:line="240" w:lineRule="auto"/>
        <w:contextualSpacing/>
        <w:rPr>
          <w:rFonts w:asciiTheme="majorHAnsi" w:eastAsia="Cambria" w:hAnsiTheme="majorHAnsi" w:cs="Cambria"/>
          <w:sz w:val="20"/>
          <w:szCs w:val="20"/>
        </w:rPr>
      </w:pPr>
      <w:r w:rsidRPr="009558E6">
        <w:rPr>
          <w:rFonts w:asciiTheme="majorHAnsi" w:hAnsiTheme="majorHAnsi"/>
          <w:b/>
          <w:bCs/>
          <w:noProof/>
          <w:sz w:val="20"/>
          <w:szCs w:val="20"/>
        </w:rPr>
        <w:lastRenderedPageBreak/>
        <mc:AlternateContent>
          <mc:Choice Requires="wps">
            <w:drawing>
              <wp:anchor distT="0" distB="0" distL="114300" distR="114300" simplePos="0" relativeHeight="251657215" behindDoc="0" locked="0" layoutInCell="1" allowOverlap="1" wp14:anchorId="223ADE01" wp14:editId="642A7F50">
                <wp:simplePos x="0" y="0"/>
                <wp:positionH relativeFrom="margin">
                  <wp:posOffset>10633</wp:posOffset>
                </wp:positionH>
                <wp:positionV relativeFrom="paragraph">
                  <wp:posOffset>-125080</wp:posOffset>
                </wp:positionV>
                <wp:extent cx="6496493" cy="3021496"/>
                <wp:effectExtent l="0" t="0" r="19050" b="26670"/>
                <wp:wrapNone/>
                <wp:docPr id="5" name="Text Box 2"/>
                <wp:cNvGraphicFramePr/>
                <a:graphic xmlns:a="http://schemas.openxmlformats.org/drawingml/2006/main">
                  <a:graphicData uri="http://schemas.microsoft.com/office/word/2010/wordprocessingShape">
                    <wps:wsp>
                      <wps:cNvSpPr txBox="1"/>
                      <wps:spPr>
                        <a:xfrm>
                          <a:off x="0" y="0"/>
                          <a:ext cx="6496493" cy="3021496"/>
                        </a:xfrm>
                        <a:prstGeom prst="rect">
                          <a:avLst/>
                        </a:prstGeom>
                        <a:solidFill>
                          <a:schemeClr val="lt1"/>
                        </a:solidFill>
                        <a:ln w="6350">
                          <a:solidFill>
                            <a:prstClr val="black"/>
                          </a:solidFill>
                        </a:ln>
                      </wps:spPr>
                      <wps:txbx>
                        <w:txbxContent>
                          <w:p w14:paraId="21AB0699" w14:textId="4FEBC820" w:rsidR="00AD144B" w:rsidRPr="00061893" w:rsidRDefault="00AD144B" w:rsidP="001209D9">
                            <w:pPr>
                              <w:spacing w:after="0" w:line="240" w:lineRule="auto"/>
                              <w:rPr>
                                <w:rStyle w:val="fontstyle11"/>
                                <w:rFonts w:asciiTheme="majorHAnsi" w:hAnsiTheme="majorHAnsi"/>
                                <w:color w:val="auto"/>
                              </w:rPr>
                            </w:pPr>
                            <w:r w:rsidRPr="00061893">
                              <w:rPr>
                                <w:rStyle w:val="fontstyle11"/>
                                <w:rFonts w:asciiTheme="majorHAnsi" w:hAnsiTheme="majorHAnsi"/>
                                <w:color w:val="auto"/>
                              </w:rPr>
                              <w:t>Le SCRS devra vérifier l'existence des E</w:t>
                            </w:r>
                            <w:r w:rsidR="008353F2">
                              <w:rPr>
                                <w:rStyle w:val="fontstyle11"/>
                                <w:rFonts w:asciiTheme="majorHAnsi" w:hAnsiTheme="majorHAnsi"/>
                                <w:color w:val="auto"/>
                              </w:rPr>
                              <w:t>C</w:t>
                            </w:r>
                            <w:r w:rsidRPr="00061893">
                              <w:rPr>
                                <w:rStyle w:val="fontstyle11"/>
                                <w:rFonts w:asciiTheme="majorHAnsi" w:hAnsiTheme="majorHAnsi"/>
                                <w:color w:val="auto"/>
                              </w:rPr>
                              <w:t xml:space="preserve"> à l'aide des indicateurs spécifiés dans le tableau de la section 2 ci-dessus et selon la fréquence indiquée</w:t>
                            </w:r>
                            <w:r w:rsidR="008353F2">
                              <w:rPr>
                                <w:rStyle w:val="fontstyle11"/>
                                <w:rFonts w:asciiTheme="majorHAnsi" w:hAnsiTheme="majorHAnsi"/>
                                <w:color w:val="auto"/>
                              </w:rPr>
                              <w:t>.</w:t>
                            </w:r>
                          </w:p>
                          <w:p w14:paraId="3928DFEB" w14:textId="77777777" w:rsidR="00AD144B" w:rsidRPr="00061893" w:rsidRDefault="00AD144B" w:rsidP="001209D9">
                            <w:pPr>
                              <w:spacing w:after="0" w:line="240" w:lineRule="auto"/>
                              <w:rPr>
                                <w:rStyle w:val="fontstyle11"/>
                                <w:rFonts w:asciiTheme="majorHAnsi" w:hAnsiTheme="majorHAnsi"/>
                                <w:color w:val="auto"/>
                                <w:sz w:val="4"/>
                                <w:szCs w:val="4"/>
                              </w:rPr>
                            </w:pPr>
                          </w:p>
                          <w:p w14:paraId="70230705" w14:textId="77777777" w:rsidR="00AD144B" w:rsidRPr="00061893" w:rsidRDefault="00AD144B" w:rsidP="001209D9">
                            <w:pPr>
                              <w:spacing w:after="0" w:line="240" w:lineRule="auto"/>
                              <w:rPr>
                                <w:rStyle w:val="fontstyle11"/>
                                <w:rFonts w:asciiTheme="majorHAnsi" w:hAnsiTheme="majorHAnsi"/>
                                <w:color w:val="auto"/>
                              </w:rPr>
                            </w:pPr>
                            <w:r w:rsidRPr="00061893">
                              <w:rPr>
                                <w:rStyle w:val="fontstyle11"/>
                                <w:rFonts w:asciiTheme="majorHAnsi" w:hAnsiTheme="majorHAnsi"/>
                                <w:color w:val="auto"/>
                              </w:rPr>
                              <w:t xml:space="preserve">Année 1 et 2 : </w:t>
                            </w:r>
                          </w:p>
                          <w:p w14:paraId="0AD1440E" w14:textId="59822AA7" w:rsidR="00AD144B" w:rsidRPr="00061893" w:rsidRDefault="00AD144B" w:rsidP="001209D9">
                            <w:pPr>
                              <w:spacing w:after="0" w:line="240" w:lineRule="auto"/>
                              <w:ind w:firstLine="360"/>
                              <w:rPr>
                                <w:rStyle w:val="fontstyle11"/>
                                <w:rFonts w:asciiTheme="majorHAnsi" w:hAnsiTheme="majorHAnsi"/>
                                <w:color w:val="auto"/>
                              </w:rPr>
                            </w:pPr>
                            <w:r w:rsidRPr="00061893">
                              <w:rPr>
                                <w:rStyle w:val="fontstyle11"/>
                                <w:rFonts w:asciiTheme="majorHAnsi" w:hAnsiTheme="majorHAnsi"/>
                                <w:color w:val="auto"/>
                              </w:rPr>
                              <w:t xml:space="preserve">1. </w:t>
                            </w:r>
                            <w:r w:rsidR="00A76B45">
                              <w:rPr>
                                <w:rStyle w:val="fontstyle11"/>
                                <w:rFonts w:asciiTheme="majorHAnsi" w:hAnsiTheme="majorHAnsi"/>
                                <w:color w:val="auto"/>
                              </w:rPr>
                              <w:tab/>
                            </w:r>
                            <w:r w:rsidR="00BE3DA2" w:rsidRPr="00061893">
                              <w:rPr>
                                <w:rStyle w:val="fontstyle11"/>
                                <w:rFonts w:asciiTheme="majorHAnsi" w:hAnsiTheme="majorHAnsi"/>
                                <w:color w:val="auto"/>
                              </w:rPr>
                              <w:t>vé</w:t>
                            </w:r>
                            <w:r w:rsidR="008353F2">
                              <w:rPr>
                                <w:rStyle w:val="fontstyle11"/>
                                <w:rFonts w:asciiTheme="majorHAnsi" w:hAnsiTheme="majorHAnsi"/>
                                <w:color w:val="auto"/>
                              </w:rPr>
                              <w:t>r</w:t>
                            </w:r>
                            <w:r w:rsidR="00BE3DA2" w:rsidRPr="00061893">
                              <w:rPr>
                                <w:rStyle w:val="fontstyle11"/>
                                <w:rFonts w:asciiTheme="majorHAnsi" w:hAnsiTheme="majorHAnsi"/>
                                <w:color w:val="auto"/>
                              </w:rPr>
                              <w:t>ifier</w:t>
                            </w:r>
                            <w:r w:rsidRPr="00061893">
                              <w:rPr>
                                <w:rStyle w:val="fontstyle11"/>
                                <w:rFonts w:asciiTheme="majorHAnsi" w:hAnsiTheme="majorHAnsi"/>
                                <w:color w:val="auto"/>
                              </w:rPr>
                              <w:t xml:space="preserve"> les nouvelles études sur la croissance, la maturité et la mortalité naturelle ;</w:t>
                            </w:r>
                          </w:p>
                          <w:p w14:paraId="192C7CAB" w14:textId="71AB38C2" w:rsidR="00AD144B" w:rsidRPr="00061893" w:rsidRDefault="00AD144B" w:rsidP="001209D9">
                            <w:pPr>
                              <w:spacing w:after="0" w:line="240" w:lineRule="auto"/>
                              <w:ind w:left="360"/>
                              <w:rPr>
                                <w:rStyle w:val="fontstyle11"/>
                                <w:rFonts w:asciiTheme="majorHAnsi" w:hAnsiTheme="majorHAnsi"/>
                                <w:color w:val="auto"/>
                              </w:rPr>
                            </w:pPr>
                            <w:r w:rsidRPr="00061893">
                              <w:rPr>
                                <w:rStyle w:val="fontstyle11"/>
                                <w:rFonts w:asciiTheme="majorHAnsi" w:hAnsiTheme="majorHAnsi"/>
                                <w:color w:val="auto"/>
                              </w:rPr>
                              <w:t>2.</w:t>
                            </w:r>
                            <w:r w:rsidR="00A76B45">
                              <w:rPr>
                                <w:rStyle w:val="fontstyle11"/>
                                <w:rFonts w:asciiTheme="majorHAnsi" w:hAnsiTheme="majorHAnsi"/>
                                <w:color w:val="auto"/>
                              </w:rPr>
                              <w:tab/>
                            </w:r>
                            <w:r w:rsidRPr="00061893">
                              <w:rPr>
                                <w:rStyle w:val="fontstyle11"/>
                                <w:rFonts w:asciiTheme="majorHAnsi" w:hAnsiTheme="majorHAnsi"/>
                                <w:color w:val="auto"/>
                              </w:rPr>
                              <w:t xml:space="preserve"> mettre à jour les indices de CPUE ;</w:t>
                            </w:r>
                          </w:p>
                          <w:p w14:paraId="5AB76CB5" w14:textId="50AD607D" w:rsidR="00AD144B" w:rsidRPr="00061893" w:rsidRDefault="00AD144B" w:rsidP="001209D9">
                            <w:pPr>
                              <w:spacing w:after="0" w:line="240" w:lineRule="auto"/>
                              <w:ind w:left="360"/>
                              <w:rPr>
                                <w:rStyle w:val="fontstyle11"/>
                                <w:rFonts w:asciiTheme="majorHAnsi" w:hAnsiTheme="majorHAnsi"/>
                                <w:color w:val="auto"/>
                              </w:rPr>
                            </w:pPr>
                            <w:r w:rsidRPr="00061893">
                              <w:rPr>
                                <w:rStyle w:val="fontstyle11"/>
                                <w:rFonts w:asciiTheme="majorHAnsi" w:hAnsiTheme="majorHAnsi"/>
                                <w:color w:val="auto"/>
                              </w:rPr>
                              <w:t xml:space="preserve">3. </w:t>
                            </w:r>
                            <w:r w:rsidR="00A76B45">
                              <w:rPr>
                                <w:rStyle w:val="fontstyle11"/>
                                <w:rFonts w:asciiTheme="majorHAnsi" w:hAnsiTheme="majorHAnsi"/>
                                <w:color w:val="auto"/>
                              </w:rPr>
                              <w:tab/>
                            </w:r>
                            <w:r w:rsidRPr="00061893">
                              <w:rPr>
                                <w:rStyle w:val="fontstyle11"/>
                                <w:rFonts w:asciiTheme="majorHAnsi" w:hAnsiTheme="majorHAnsi"/>
                                <w:color w:val="auto"/>
                              </w:rPr>
                              <w:t>mettre à jour la prise.</w:t>
                            </w:r>
                          </w:p>
                          <w:p w14:paraId="49D24B9F" w14:textId="049146D8" w:rsidR="00AD144B" w:rsidRPr="00061893" w:rsidRDefault="00AD144B" w:rsidP="001209D9">
                            <w:pPr>
                              <w:pStyle w:val="ListParagraph"/>
                              <w:numPr>
                                <w:ilvl w:val="0"/>
                                <w:numId w:val="22"/>
                              </w:numPr>
                              <w:spacing w:after="0" w:line="240" w:lineRule="auto"/>
                              <w:ind w:hanging="153"/>
                              <w:jc w:val="both"/>
                              <w:rPr>
                                <w:rStyle w:val="fontstyle11"/>
                                <w:rFonts w:asciiTheme="majorHAnsi" w:hAnsiTheme="majorHAnsi"/>
                                <w:color w:val="auto"/>
                              </w:rPr>
                            </w:pPr>
                            <w:r w:rsidRPr="00061893">
                              <w:rPr>
                                <w:rFonts w:asciiTheme="majorHAnsi" w:hAnsiTheme="majorHAnsi"/>
                                <w:sz w:val="20"/>
                                <w:szCs w:val="20"/>
                              </w:rPr>
                              <w:t xml:space="preserve">en vérifiant que ces trois valeurs se situent </w:t>
                            </w:r>
                            <w:r w:rsidR="008353F2">
                              <w:rPr>
                                <w:rFonts w:asciiTheme="majorHAnsi" w:hAnsiTheme="majorHAnsi"/>
                                <w:sz w:val="20"/>
                                <w:szCs w:val="20"/>
                              </w:rPr>
                              <w:t xml:space="preserve">toutes </w:t>
                            </w:r>
                            <w:r w:rsidRPr="00061893">
                              <w:rPr>
                                <w:rFonts w:asciiTheme="majorHAnsi" w:hAnsiTheme="majorHAnsi"/>
                                <w:sz w:val="20"/>
                                <w:szCs w:val="20"/>
                              </w:rPr>
                              <w:t>dans la gamme des valeurs spécifiées dans le tableau de la section 2 ci-dessus.</w:t>
                            </w:r>
                          </w:p>
                          <w:p w14:paraId="23ABF3DF" w14:textId="77777777" w:rsidR="00AD144B" w:rsidRPr="00061893" w:rsidRDefault="00AD144B" w:rsidP="001209D9">
                            <w:pPr>
                              <w:spacing w:after="0" w:line="240" w:lineRule="auto"/>
                              <w:rPr>
                                <w:rStyle w:val="fontstyle11"/>
                                <w:rFonts w:asciiTheme="majorHAnsi" w:hAnsiTheme="majorHAnsi"/>
                                <w:color w:val="auto"/>
                                <w:sz w:val="4"/>
                                <w:szCs w:val="4"/>
                              </w:rPr>
                            </w:pPr>
                          </w:p>
                          <w:p w14:paraId="16B77513" w14:textId="77777777" w:rsidR="00AD144B" w:rsidRPr="00061893" w:rsidRDefault="00AD144B" w:rsidP="001209D9">
                            <w:pPr>
                              <w:spacing w:after="0" w:line="240" w:lineRule="auto"/>
                              <w:rPr>
                                <w:rStyle w:val="fontstyle11"/>
                                <w:rFonts w:asciiTheme="majorHAnsi" w:hAnsiTheme="majorHAnsi"/>
                                <w:color w:val="auto"/>
                              </w:rPr>
                            </w:pPr>
                            <w:r w:rsidRPr="00061893">
                              <w:rPr>
                                <w:rStyle w:val="fontstyle11"/>
                                <w:rFonts w:asciiTheme="majorHAnsi" w:hAnsiTheme="majorHAnsi"/>
                                <w:color w:val="auto"/>
                              </w:rPr>
                              <w:t xml:space="preserve">Année 3 : </w:t>
                            </w:r>
                          </w:p>
                          <w:p w14:paraId="1713232F" w14:textId="485E0211" w:rsidR="00AD144B" w:rsidRPr="00061893" w:rsidRDefault="00AD144B" w:rsidP="001209D9">
                            <w:pPr>
                              <w:spacing w:after="0" w:line="240" w:lineRule="auto"/>
                              <w:ind w:firstLine="360"/>
                              <w:rPr>
                                <w:rStyle w:val="fontstyle11"/>
                                <w:rFonts w:asciiTheme="majorHAnsi" w:hAnsiTheme="majorHAnsi"/>
                                <w:color w:val="auto"/>
                              </w:rPr>
                            </w:pPr>
                            <w:r w:rsidRPr="00061893">
                              <w:rPr>
                                <w:rStyle w:val="fontstyle11"/>
                                <w:rFonts w:asciiTheme="majorHAnsi" w:hAnsiTheme="majorHAnsi"/>
                                <w:color w:val="auto"/>
                              </w:rPr>
                              <w:t xml:space="preserve">1. </w:t>
                            </w:r>
                            <w:r w:rsidR="00A76B45">
                              <w:rPr>
                                <w:rStyle w:val="fontstyle11"/>
                                <w:rFonts w:asciiTheme="majorHAnsi" w:hAnsiTheme="majorHAnsi"/>
                                <w:color w:val="auto"/>
                              </w:rPr>
                              <w:tab/>
                            </w:r>
                            <w:r w:rsidRPr="00061893">
                              <w:rPr>
                                <w:rStyle w:val="fontstyle11"/>
                                <w:rFonts w:asciiTheme="majorHAnsi" w:hAnsiTheme="majorHAnsi"/>
                                <w:color w:val="auto"/>
                              </w:rPr>
                              <w:t>Vérifier que tous les jeux de données nécessaires au lancement de la MP sont disponibles ;</w:t>
                            </w:r>
                          </w:p>
                          <w:p w14:paraId="54398E46" w14:textId="117ECBD2" w:rsidR="00AD144B" w:rsidRPr="00061893" w:rsidRDefault="00AD144B" w:rsidP="001209D9">
                            <w:pPr>
                              <w:spacing w:after="0" w:line="240" w:lineRule="auto"/>
                              <w:ind w:leftChars="167" w:left="709" w:hangingChars="171" w:hanging="342"/>
                              <w:jc w:val="both"/>
                              <w:rPr>
                                <w:rStyle w:val="fontstyle11"/>
                                <w:rFonts w:asciiTheme="majorHAnsi" w:hAnsiTheme="majorHAnsi"/>
                                <w:color w:val="auto"/>
                              </w:rPr>
                            </w:pPr>
                            <w:r w:rsidRPr="00061893">
                              <w:rPr>
                                <w:rStyle w:val="fontstyle11"/>
                                <w:rFonts w:asciiTheme="majorHAnsi" w:hAnsiTheme="majorHAnsi"/>
                                <w:color w:val="auto"/>
                              </w:rPr>
                              <w:t xml:space="preserve">2. </w:t>
                            </w:r>
                            <w:r w:rsidR="00A76B45">
                              <w:rPr>
                                <w:rStyle w:val="fontstyle11"/>
                                <w:rFonts w:asciiTheme="majorHAnsi" w:hAnsiTheme="majorHAnsi"/>
                                <w:color w:val="auto"/>
                              </w:rPr>
                              <w:tab/>
                            </w:r>
                            <w:r w:rsidRPr="00061893">
                              <w:rPr>
                                <w:rStyle w:val="fontstyle11"/>
                                <w:rFonts w:asciiTheme="majorHAnsi" w:hAnsiTheme="majorHAnsi"/>
                                <w:color w:val="auto"/>
                              </w:rPr>
                              <w:t xml:space="preserve">Relancer la MP et vérifier que la biomasse du stock et la mortalité par pêche résultant du modèle de production de la MP se situent dans la gamme des percentiles </w:t>
                            </w:r>
                            <w:r w:rsidR="00A76B45">
                              <w:rPr>
                                <w:rStyle w:val="fontstyle11"/>
                                <w:rFonts w:asciiTheme="majorHAnsi" w:hAnsiTheme="majorHAnsi"/>
                                <w:color w:val="auto"/>
                              </w:rPr>
                              <w:t xml:space="preserve">des valeurs </w:t>
                            </w:r>
                            <w:r w:rsidRPr="00061893">
                              <w:rPr>
                                <w:rStyle w:val="fontstyle11"/>
                                <w:rFonts w:asciiTheme="majorHAnsi" w:hAnsiTheme="majorHAnsi"/>
                                <w:color w:val="auto"/>
                              </w:rPr>
                              <w:t>de 2,5% à 97,5% qui se sont produites dans les résultats du modèle de production lorsque la MP acceptée a été testée par la MSE ;</w:t>
                            </w:r>
                          </w:p>
                          <w:p w14:paraId="7EB2717F" w14:textId="265B788C" w:rsidR="00AD144B" w:rsidRPr="00061893" w:rsidRDefault="00AD144B" w:rsidP="001209D9">
                            <w:pPr>
                              <w:spacing w:after="0" w:line="240" w:lineRule="auto"/>
                              <w:ind w:firstLine="360"/>
                              <w:rPr>
                                <w:rStyle w:val="fontstyle11"/>
                                <w:rFonts w:asciiTheme="majorHAnsi" w:hAnsiTheme="majorHAnsi"/>
                                <w:color w:val="auto"/>
                              </w:rPr>
                            </w:pPr>
                            <w:r w:rsidRPr="00061893">
                              <w:rPr>
                                <w:rStyle w:val="fontstyle11"/>
                                <w:rFonts w:asciiTheme="majorHAnsi" w:hAnsiTheme="majorHAnsi"/>
                                <w:color w:val="auto"/>
                              </w:rPr>
                              <w:t xml:space="preserve">3. </w:t>
                            </w:r>
                            <w:r w:rsidR="00A76B45">
                              <w:rPr>
                                <w:rStyle w:val="fontstyle11"/>
                                <w:rFonts w:asciiTheme="majorHAnsi" w:hAnsiTheme="majorHAnsi"/>
                                <w:color w:val="auto"/>
                              </w:rPr>
                              <w:tab/>
                            </w:r>
                            <w:r w:rsidRPr="00061893">
                              <w:rPr>
                                <w:rStyle w:val="fontstyle11"/>
                                <w:rFonts w:asciiTheme="majorHAnsi" w:hAnsiTheme="majorHAnsi"/>
                                <w:color w:val="auto"/>
                              </w:rPr>
                              <w:t>Les mêmes contrôles que ceux effectués au cours des années 1 et 2.</w:t>
                            </w:r>
                          </w:p>
                          <w:p w14:paraId="7E01020B" w14:textId="77777777" w:rsidR="00AD144B" w:rsidRPr="00061893" w:rsidRDefault="00AD144B" w:rsidP="001209D9">
                            <w:pPr>
                              <w:spacing w:after="0" w:line="240" w:lineRule="auto"/>
                              <w:ind w:firstLine="360"/>
                              <w:rPr>
                                <w:rFonts w:asciiTheme="majorHAnsi" w:hAnsiTheme="majorHAnsi"/>
                                <w:sz w:val="4"/>
                                <w:szCs w:val="4"/>
                              </w:rPr>
                            </w:pPr>
                          </w:p>
                          <w:p w14:paraId="1EB91245" w14:textId="77777777" w:rsidR="00AD144B" w:rsidRPr="00061893" w:rsidRDefault="00AD144B" w:rsidP="001209D9">
                            <w:pPr>
                              <w:spacing w:after="0" w:line="240" w:lineRule="auto"/>
                              <w:rPr>
                                <w:rFonts w:asciiTheme="majorHAnsi" w:hAnsiTheme="majorHAnsi"/>
                                <w:sz w:val="20"/>
                                <w:szCs w:val="20"/>
                              </w:rPr>
                            </w:pPr>
                            <w:r w:rsidRPr="00061893">
                              <w:rPr>
                                <w:rFonts w:asciiTheme="majorHAnsi" w:hAnsiTheme="majorHAnsi"/>
                                <w:sz w:val="20"/>
                                <w:szCs w:val="20"/>
                              </w:rPr>
                              <w:t>N'importe quelle année :</w:t>
                            </w:r>
                          </w:p>
                          <w:p w14:paraId="3CFEA1BB" w14:textId="11F5080A" w:rsidR="00AD144B" w:rsidRPr="00061893" w:rsidRDefault="00AD144B" w:rsidP="00A02816">
                            <w:pPr>
                              <w:pStyle w:val="ListParagraph"/>
                              <w:numPr>
                                <w:ilvl w:val="0"/>
                                <w:numId w:val="22"/>
                              </w:numPr>
                              <w:spacing w:after="0" w:line="240" w:lineRule="auto"/>
                              <w:jc w:val="both"/>
                              <w:rPr>
                                <w:rStyle w:val="fontstyle11"/>
                                <w:rFonts w:asciiTheme="majorHAnsi" w:hAnsiTheme="majorHAnsi"/>
                                <w:color w:val="auto"/>
                              </w:rPr>
                            </w:pPr>
                            <w:r w:rsidRPr="00061893">
                              <w:rPr>
                                <w:rFonts w:asciiTheme="majorHAnsi" w:hAnsiTheme="majorHAnsi"/>
                                <w:sz w:val="20"/>
                                <w:szCs w:val="20"/>
                              </w:rPr>
                              <w:t xml:space="preserve">si une évaluation du stock a été effectuée par le SCRS, vérifier que la biomasse du stock et la mortalité par pêche résultant de </w:t>
                            </w:r>
                            <w:r w:rsidRPr="00A76B45">
                              <w:rPr>
                                <w:rFonts w:asciiTheme="majorHAnsi" w:hAnsiTheme="majorHAnsi"/>
                                <w:sz w:val="20"/>
                                <w:szCs w:val="20"/>
                              </w:rPr>
                              <w:t>l'évaluation d</w:t>
                            </w:r>
                            <w:r w:rsidRPr="00061893">
                              <w:rPr>
                                <w:rFonts w:asciiTheme="majorHAnsi" w:hAnsiTheme="majorHAnsi"/>
                                <w:sz w:val="20"/>
                                <w:szCs w:val="20"/>
                              </w:rPr>
                              <w:t xml:space="preserve">u stock se situent dans la gamme des percentiles </w:t>
                            </w:r>
                            <w:r w:rsidR="00A76B45">
                              <w:rPr>
                                <w:rFonts w:asciiTheme="majorHAnsi" w:hAnsiTheme="majorHAnsi"/>
                                <w:sz w:val="20"/>
                                <w:szCs w:val="20"/>
                              </w:rPr>
                              <w:t xml:space="preserve">des valeurs </w:t>
                            </w:r>
                            <w:r w:rsidRPr="00061893">
                              <w:rPr>
                                <w:rFonts w:asciiTheme="majorHAnsi" w:hAnsiTheme="majorHAnsi"/>
                                <w:sz w:val="20"/>
                                <w:szCs w:val="20"/>
                              </w:rPr>
                              <w:t>de 2,5% à 97,5% des OM utilisés dans la MSE lorsque la MP acceptée a été testée.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ADE01" id="_x0000_t202" coordsize="21600,21600" o:spt="202" path="m,l,21600r21600,l21600,xe">
                <v:stroke joinstyle="miter"/>
                <v:path gradientshapeok="t" o:connecttype="rect"/>
              </v:shapetype>
              <v:shape id="Text Box 2" o:spid="_x0000_s1026" type="#_x0000_t202" style="position:absolute;margin-left:.85pt;margin-top:-9.85pt;width:511.55pt;height:237.9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" fillcolor="white [3201]" strokeweight=".5pt">
                <v:textbox>
                  <w:txbxContent>
                    <w:p w14:paraId="21AB0699" w14:textId="4FEBC820" w:rsidR="00AD144B" w:rsidRPr="00061893" w:rsidRDefault="00AD144B" w:rsidP="001209D9">
                      <w:pPr>
                        <w:spacing w:after="0" w:line="240" w:lineRule="auto"/>
                        <w:rPr>
                          <w:rStyle w:val="fontstyle11"/>
                          <w:rFonts w:asciiTheme="majorHAnsi" w:hAnsiTheme="majorHAnsi"/>
                          <w:color w:val="auto"/>
                        </w:rPr>
                      </w:pPr>
                      <w:r w:rsidRPr="00061893">
                        <w:rPr>
                          <w:rStyle w:val="fontstyle11"/>
                          <w:rFonts w:asciiTheme="majorHAnsi" w:hAnsiTheme="majorHAnsi"/>
                          <w:color w:val="auto"/>
                        </w:rPr>
                        <w:t>Le SCRS devra vérifier l'existence des E</w:t>
                      </w:r>
                      <w:r w:rsidR="008353F2">
                        <w:rPr>
                          <w:rStyle w:val="fontstyle11"/>
                          <w:rFonts w:asciiTheme="majorHAnsi" w:hAnsiTheme="majorHAnsi"/>
                          <w:color w:val="auto"/>
                        </w:rPr>
                        <w:t>C</w:t>
                      </w:r>
                      <w:r w:rsidRPr="00061893">
                        <w:rPr>
                          <w:rStyle w:val="fontstyle11"/>
                          <w:rFonts w:asciiTheme="majorHAnsi" w:hAnsiTheme="majorHAnsi"/>
                          <w:color w:val="auto"/>
                        </w:rPr>
                        <w:t xml:space="preserve"> à l'aide des indicateurs spécifiés dans le tableau de la section 2 ci-dessus et selon la fréquence indiquée</w:t>
                      </w:r>
                      <w:r w:rsidR="008353F2">
                        <w:rPr>
                          <w:rStyle w:val="fontstyle11"/>
                          <w:rFonts w:asciiTheme="majorHAnsi" w:hAnsiTheme="majorHAnsi"/>
                          <w:color w:val="auto"/>
                        </w:rPr>
                        <w:t>.</w:t>
                      </w:r>
                    </w:p>
                    <w:p w14:paraId="3928DFEB" w14:textId="77777777" w:rsidR="00AD144B" w:rsidRPr="00061893" w:rsidRDefault="00AD144B" w:rsidP="001209D9">
                      <w:pPr>
                        <w:spacing w:after="0" w:line="240" w:lineRule="auto"/>
                        <w:rPr>
                          <w:rStyle w:val="fontstyle11"/>
                          <w:rFonts w:asciiTheme="majorHAnsi" w:hAnsiTheme="majorHAnsi"/>
                          <w:color w:val="auto"/>
                          <w:sz w:val="4"/>
                          <w:szCs w:val="4"/>
                        </w:rPr>
                      </w:pPr>
                    </w:p>
                    <w:p w14:paraId="70230705" w14:textId="77777777" w:rsidR="00AD144B" w:rsidRPr="00061893" w:rsidRDefault="00AD144B" w:rsidP="001209D9">
                      <w:pPr>
                        <w:spacing w:after="0" w:line="240" w:lineRule="auto"/>
                        <w:rPr>
                          <w:rStyle w:val="fontstyle11"/>
                          <w:rFonts w:asciiTheme="majorHAnsi" w:hAnsiTheme="majorHAnsi"/>
                          <w:color w:val="auto"/>
                        </w:rPr>
                      </w:pPr>
                      <w:r w:rsidRPr="00061893">
                        <w:rPr>
                          <w:rStyle w:val="fontstyle11"/>
                          <w:rFonts w:asciiTheme="majorHAnsi" w:hAnsiTheme="majorHAnsi"/>
                          <w:color w:val="auto"/>
                        </w:rPr>
                        <w:t xml:space="preserve">Année 1 et 2 : </w:t>
                      </w:r>
                    </w:p>
                    <w:p w14:paraId="0AD1440E" w14:textId="59822AA7" w:rsidR="00AD144B" w:rsidRPr="00061893" w:rsidRDefault="00AD144B" w:rsidP="001209D9">
                      <w:pPr>
                        <w:spacing w:after="0" w:line="240" w:lineRule="auto"/>
                        <w:ind w:firstLine="360"/>
                        <w:rPr>
                          <w:rStyle w:val="fontstyle11"/>
                          <w:rFonts w:asciiTheme="majorHAnsi" w:hAnsiTheme="majorHAnsi"/>
                          <w:color w:val="auto"/>
                        </w:rPr>
                      </w:pPr>
                      <w:r w:rsidRPr="00061893">
                        <w:rPr>
                          <w:rStyle w:val="fontstyle11"/>
                          <w:rFonts w:asciiTheme="majorHAnsi" w:hAnsiTheme="majorHAnsi"/>
                          <w:color w:val="auto"/>
                        </w:rPr>
                        <w:t xml:space="preserve">1. </w:t>
                      </w:r>
                      <w:r w:rsidR="00A76B45">
                        <w:rPr>
                          <w:rStyle w:val="fontstyle11"/>
                          <w:rFonts w:asciiTheme="majorHAnsi" w:hAnsiTheme="majorHAnsi"/>
                          <w:color w:val="auto"/>
                        </w:rPr>
                        <w:tab/>
                      </w:r>
                      <w:r w:rsidR="00BE3DA2" w:rsidRPr="00061893">
                        <w:rPr>
                          <w:rStyle w:val="fontstyle11"/>
                          <w:rFonts w:asciiTheme="majorHAnsi" w:hAnsiTheme="majorHAnsi"/>
                          <w:color w:val="auto"/>
                        </w:rPr>
                        <w:t>vé</w:t>
                      </w:r>
                      <w:r w:rsidR="008353F2">
                        <w:rPr>
                          <w:rStyle w:val="fontstyle11"/>
                          <w:rFonts w:asciiTheme="majorHAnsi" w:hAnsiTheme="majorHAnsi"/>
                          <w:color w:val="auto"/>
                        </w:rPr>
                        <w:t>r</w:t>
                      </w:r>
                      <w:r w:rsidR="00BE3DA2" w:rsidRPr="00061893">
                        <w:rPr>
                          <w:rStyle w:val="fontstyle11"/>
                          <w:rFonts w:asciiTheme="majorHAnsi" w:hAnsiTheme="majorHAnsi"/>
                          <w:color w:val="auto"/>
                        </w:rPr>
                        <w:t>ifier</w:t>
                      </w:r>
                      <w:r w:rsidRPr="00061893">
                        <w:rPr>
                          <w:rStyle w:val="fontstyle11"/>
                          <w:rFonts w:asciiTheme="majorHAnsi" w:hAnsiTheme="majorHAnsi"/>
                          <w:color w:val="auto"/>
                        </w:rPr>
                        <w:t xml:space="preserve"> les nouvelles études sur la croissance, la maturité et la mortalité naturelle ;</w:t>
                      </w:r>
                    </w:p>
                    <w:p w14:paraId="192C7CAB" w14:textId="71AB38C2" w:rsidR="00AD144B" w:rsidRPr="00061893" w:rsidRDefault="00AD144B" w:rsidP="001209D9">
                      <w:pPr>
                        <w:spacing w:after="0" w:line="240" w:lineRule="auto"/>
                        <w:ind w:left="360"/>
                        <w:rPr>
                          <w:rStyle w:val="fontstyle11"/>
                          <w:rFonts w:asciiTheme="majorHAnsi" w:hAnsiTheme="majorHAnsi"/>
                          <w:color w:val="auto"/>
                        </w:rPr>
                      </w:pPr>
                      <w:r w:rsidRPr="00061893">
                        <w:rPr>
                          <w:rStyle w:val="fontstyle11"/>
                          <w:rFonts w:asciiTheme="majorHAnsi" w:hAnsiTheme="majorHAnsi"/>
                          <w:color w:val="auto"/>
                        </w:rPr>
                        <w:t>2.</w:t>
                      </w:r>
                      <w:r w:rsidR="00A76B45">
                        <w:rPr>
                          <w:rStyle w:val="fontstyle11"/>
                          <w:rFonts w:asciiTheme="majorHAnsi" w:hAnsiTheme="majorHAnsi"/>
                          <w:color w:val="auto"/>
                        </w:rPr>
                        <w:tab/>
                      </w:r>
                      <w:r w:rsidRPr="00061893">
                        <w:rPr>
                          <w:rStyle w:val="fontstyle11"/>
                          <w:rFonts w:asciiTheme="majorHAnsi" w:hAnsiTheme="majorHAnsi"/>
                          <w:color w:val="auto"/>
                        </w:rPr>
                        <w:t xml:space="preserve"> mettre à jour les indices de CPUE ;</w:t>
                      </w:r>
                    </w:p>
                    <w:p w14:paraId="5AB76CB5" w14:textId="50AD607D" w:rsidR="00AD144B" w:rsidRPr="00061893" w:rsidRDefault="00AD144B" w:rsidP="001209D9">
                      <w:pPr>
                        <w:spacing w:after="0" w:line="240" w:lineRule="auto"/>
                        <w:ind w:left="360"/>
                        <w:rPr>
                          <w:rStyle w:val="fontstyle11"/>
                          <w:rFonts w:asciiTheme="majorHAnsi" w:hAnsiTheme="majorHAnsi"/>
                          <w:color w:val="auto"/>
                        </w:rPr>
                      </w:pPr>
                      <w:r w:rsidRPr="00061893">
                        <w:rPr>
                          <w:rStyle w:val="fontstyle11"/>
                          <w:rFonts w:asciiTheme="majorHAnsi" w:hAnsiTheme="majorHAnsi"/>
                          <w:color w:val="auto"/>
                        </w:rPr>
                        <w:t xml:space="preserve">3. </w:t>
                      </w:r>
                      <w:r w:rsidR="00A76B45">
                        <w:rPr>
                          <w:rStyle w:val="fontstyle11"/>
                          <w:rFonts w:asciiTheme="majorHAnsi" w:hAnsiTheme="majorHAnsi"/>
                          <w:color w:val="auto"/>
                        </w:rPr>
                        <w:tab/>
                      </w:r>
                      <w:r w:rsidRPr="00061893">
                        <w:rPr>
                          <w:rStyle w:val="fontstyle11"/>
                          <w:rFonts w:asciiTheme="majorHAnsi" w:hAnsiTheme="majorHAnsi"/>
                          <w:color w:val="auto"/>
                        </w:rPr>
                        <w:t>mettre à jour la prise.</w:t>
                      </w:r>
                    </w:p>
                    <w:p w14:paraId="49D24B9F" w14:textId="049146D8" w:rsidR="00AD144B" w:rsidRPr="00061893" w:rsidRDefault="00AD144B" w:rsidP="001209D9">
                      <w:pPr>
                        <w:pStyle w:val="ListParagraph"/>
                        <w:numPr>
                          <w:ilvl w:val="0"/>
                          <w:numId w:val="22"/>
                        </w:numPr>
                        <w:spacing w:after="0" w:line="240" w:lineRule="auto"/>
                        <w:ind w:hanging="153"/>
                        <w:jc w:val="both"/>
                        <w:rPr>
                          <w:rStyle w:val="fontstyle11"/>
                          <w:rFonts w:asciiTheme="majorHAnsi" w:hAnsiTheme="majorHAnsi"/>
                          <w:color w:val="auto"/>
                        </w:rPr>
                      </w:pPr>
                      <w:r w:rsidRPr="00061893">
                        <w:rPr>
                          <w:rFonts w:asciiTheme="majorHAnsi" w:hAnsiTheme="majorHAnsi"/>
                          <w:sz w:val="20"/>
                          <w:szCs w:val="20"/>
                        </w:rPr>
                        <w:t xml:space="preserve">en vérifiant que ces trois valeurs se situent </w:t>
                      </w:r>
                      <w:r w:rsidR="008353F2">
                        <w:rPr>
                          <w:rFonts w:asciiTheme="majorHAnsi" w:hAnsiTheme="majorHAnsi"/>
                          <w:sz w:val="20"/>
                          <w:szCs w:val="20"/>
                        </w:rPr>
                        <w:t xml:space="preserve">toutes </w:t>
                      </w:r>
                      <w:r w:rsidRPr="00061893">
                        <w:rPr>
                          <w:rFonts w:asciiTheme="majorHAnsi" w:hAnsiTheme="majorHAnsi"/>
                          <w:sz w:val="20"/>
                          <w:szCs w:val="20"/>
                        </w:rPr>
                        <w:t>dans la gamme des valeurs spécifiées dans le tableau de la section 2 ci-dessus.</w:t>
                      </w:r>
                    </w:p>
                    <w:p w14:paraId="23ABF3DF" w14:textId="77777777" w:rsidR="00AD144B" w:rsidRPr="00061893" w:rsidRDefault="00AD144B" w:rsidP="001209D9">
                      <w:pPr>
                        <w:spacing w:after="0" w:line="240" w:lineRule="auto"/>
                        <w:rPr>
                          <w:rStyle w:val="fontstyle11"/>
                          <w:rFonts w:asciiTheme="majorHAnsi" w:hAnsiTheme="majorHAnsi"/>
                          <w:color w:val="auto"/>
                          <w:sz w:val="4"/>
                          <w:szCs w:val="4"/>
                        </w:rPr>
                      </w:pPr>
                    </w:p>
                    <w:p w14:paraId="16B77513" w14:textId="77777777" w:rsidR="00AD144B" w:rsidRPr="00061893" w:rsidRDefault="00AD144B" w:rsidP="001209D9">
                      <w:pPr>
                        <w:spacing w:after="0" w:line="240" w:lineRule="auto"/>
                        <w:rPr>
                          <w:rStyle w:val="fontstyle11"/>
                          <w:rFonts w:asciiTheme="majorHAnsi" w:hAnsiTheme="majorHAnsi"/>
                          <w:color w:val="auto"/>
                        </w:rPr>
                      </w:pPr>
                      <w:r w:rsidRPr="00061893">
                        <w:rPr>
                          <w:rStyle w:val="fontstyle11"/>
                          <w:rFonts w:asciiTheme="majorHAnsi" w:hAnsiTheme="majorHAnsi"/>
                          <w:color w:val="auto"/>
                        </w:rPr>
                        <w:t xml:space="preserve">Année 3 : </w:t>
                      </w:r>
                    </w:p>
                    <w:p w14:paraId="1713232F" w14:textId="485E0211" w:rsidR="00AD144B" w:rsidRPr="00061893" w:rsidRDefault="00AD144B" w:rsidP="001209D9">
                      <w:pPr>
                        <w:spacing w:after="0" w:line="240" w:lineRule="auto"/>
                        <w:ind w:firstLine="360"/>
                        <w:rPr>
                          <w:rStyle w:val="fontstyle11"/>
                          <w:rFonts w:asciiTheme="majorHAnsi" w:hAnsiTheme="majorHAnsi"/>
                          <w:color w:val="auto"/>
                        </w:rPr>
                      </w:pPr>
                      <w:r w:rsidRPr="00061893">
                        <w:rPr>
                          <w:rStyle w:val="fontstyle11"/>
                          <w:rFonts w:asciiTheme="majorHAnsi" w:hAnsiTheme="majorHAnsi"/>
                          <w:color w:val="auto"/>
                        </w:rPr>
                        <w:t xml:space="preserve">1. </w:t>
                      </w:r>
                      <w:r w:rsidR="00A76B45">
                        <w:rPr>
                          <w:rStyle w:val="fontstyle11"/>
                          <w:rFonts w:asciiTheme="majorHAnsi" w:hAnsiTheme="majorHAnsi"/>
                          <w:color w:val="auto"/>
                        </w:rPr>
                        <w:tab/>
                      </w:r>
                      <w:r w:rsidRPr="00061893">
                        <w:rPr>
                          <w:rStyle w:val="fontstyle11"/>
                          <w:rFonts w:asciiTheme="majorHAnsi" w:hAnsiTheme="majorHAnsi"/>
                          <w:color w:val="auto"/>
                        </w:rPr>
                        <w:t>Vérifier que tous les jeux de données nécessaires au lancement de la MP sont disponibles ;</w:t>
                      </w:r>
                    </w:p>
                    <w:p w14:paraId="54398E46" w14:textId="117ECBD2" w:rsidR="00AD144B" w:rsidRPr="00061893" w:rsidRDefault="00AD144B" w:rsidP="001209D9">
                      <w:pPr>
                        <w:spacing w:after="0" w:line="240" w:lineRule="auto"/>
                        <w:ind w:leftChars="167" w:left="709" w:hangingChars="171" w:hanging="342"/>
                        <w:jc w:val="both"/>
                        <w:rPr>
                          <w:rStyle w:val="fontstyle11"/>
                          <w:rFonts w:asciiTheme="majorHAnsi" w:hAnsiTheme="majorHAnsi"/>
                          <w:color w:val="auto"/>
                        </w:rPr>
                      </w:pPr>
                      <w:r w:rsidRPr="00061893">
                        <w:rPr>
                          <w:rStyle w:val="fontstyle11"/>
                          <w:rFonts w:asciiTheme="majorHAnsi" w:hAnsiTheme="majorHAnsi"/>
                          <w:color w:val="auto"/>
                        </w:rPr>
                        <w:t xml:space="preserve">2. </w:t>
                      </w:r>
                      <w:r w:rsidR="00A76B45">
                        <w:rPr>
                          <w:rStyle w:val="fontstyle11"/>
                          <w:rFonts w:asciiTheme="majorHAnsi" w:hAnsiTheme="majorHAnsi"/>
                          <w:color w:val="auto"/>
                        </w:rPr>
                        <w:tab/>
                      </w:r>
                      <w:r w:rsidRPr="00061893">
                        <w:rPr>
                          <w:rStyle w:val="fontstyle11"/>
                          <w:rFonts w:asciiTheme="majorHAnsi" w:hAnsiTheme="majorHAnsi"/>
                          <w:color w:val="auto"/>
                        </w:rPr>
                        <w:t xml:space="preserve">Relancer la MP et vérifier que la biomasse du stock et la mortalité par pêche résultant du modèle de production de la MP se situent dans la gamme des percentiles </w:t>
                      </w:r>
                      <w:r w:rsidR="00A76B45">
                        <w:rPr>
                          <w:rStyle w:val="fontstyle11"/>
                          <w:rFonts w:asciiTheme="majorHAnsi" w:hAnsiTheme="majorHAnsi"/>
                          <w:color w:val="auto"/>
                        </w:rPr>
                        <w:t xml:space="preserve">des valeurs </w:t>
                      </w:r>
                      <w:r w:rsidRPr="00061893">
                        <w:rPr>
                          <w:rStyle w:val="fontstyle11"/>
                          <w:rFonts w:asciiTheme="majorHAnsi" w:hAnsiTheme="majorHAnsi"/>
                          <w:color w:val="auto"/>
                        </w:rPr>
                        <w:t>de 2,5% à 97,5% qui se sont produites dans les résultats du modèle de production lorsque la MP acceptée a été testée par la MSE ;</w:t>
                      </w:r>
                    </w:p>
                    <w:p w14:paraId="7EB2717F" w14:textId="265B788C" w:rsidR="00AD144B" w:rsidRPr="00061893" w:rsidRDefault="00AD144B" w:rsidP="001209D9">
                      <w:pPr>
                        <w:spacing w:after="0" w:line="240" w:lineRule="auto"/>
                        <w:ind w:firstLine="360"/>
                        <w:rPr>
                          <w:rStyle w:val="fontstyle11"/>
                          <w:rFonts w:asciiTheme="majorHAnsi" w:hAnsiTheme="majorHAnsi"/>
                          <w:color w:val="auto"/>
                        </w:rPr>
                      </w:pPr>
                      <w:r w:rsidRPr="00061893">
                        <w:rPr>
                          <w:rStyle w:val="fontstyle11"/>
                          <w:rFonts w:asciiTheme="majorHAnsi" w:hAnsiTheme="majorHAnsi"/>
                          <w:color w:val="auto"/>
                        </w:rPr>
                        <w:t xml:space="preserve">3. </w:t>
                      </w:r>
                      <w:r w:rsidR="00A76B45">
                        <w:rPr>
                          <w:rStyle w:val="fontstyle11"/>
                          <w:rFonts w:asciiTheme="majorHAnsi" w:hAnsiTheme="majorHAnsi"/>
                          <w:color w:val="auto"/>
                        </w:rPr>
                        <w:tab/>
                      </w:r>
                      <w:r w:rsidRPr="00061893">
                        <w:rPr>
                          <w:rStyle w:val="fontstyle11"/>
                          <w:rFonts w:asciiTheme="majorHAnsi" w:hAnsiTheme="majorHAnsi"/>
                          <w:color w:val="auto"/>
                        </w:rPr>
                        <w:t>Les mêmes contrôles que ceux effectués au cours des années 1 et 2.</w:t>
                      </w:r>
                    </w:p>
                    <w:p w14:paraId="7E01020B" w14:textId="77777777" w:rsidR="00AD144B" w:rsidRPr="00061893" w:rsidRDefault="00AD144B" w:rsidP="001209D9">
                      <w:pPr>
                        <w:spacing w:after="0" w:line="240" w:lineRule="auto"/>
                        <w:ind w:firstLine="360"/>
                        <w:rPr>
                          <w:rFonts w:asciiTheme="majorHAnsi" w:hAnsiTheme="majorHAnsi"/>
                          <w:sz w:val="4"/>
                          <w:szCs w:val="4"/>
                        </w:rPr>
                      </w:pPr>
                    </w:p>
                    <w:p w14:paraId="1EB91245" w14:textId="77777777" w:rsidR="00AD144B" w:rsidRPr="00061893" w:rsidRDefault="00AD144B" w:rsidP="001209D9">
                      <w:pPr>
                        <w:spacing w:after="0" w:line="240" w:lineRule="auto"/>
                        <w:rPr>
                          <w:rFonts w:asciiTheme="majorHAnsi" w:hAnsiTheme="majorHAnsi"/>
                          <w:sz w:val="20"/>
                          <w:szCs w:val="20"/>
                        </w:rPr>
                      </w:pPr>
                      <w:r w:rsidRPr="00061893">
                        <w:rPr>
                          <w:rFonts w:asciiTheme="majorHAnsi" w:hAnsiTheme="majorHAnsi"/>
                          <w:sz w:val="20"/>
                          <w:szCs w:val="20"/>
                        </w:rPr>
                        <w:t>N'importe quelle année :</w:t>
                      </w:r>
                    </w:p>
                    <w:p w14:paraId="3CFEA1BB" w14:textId="11F5080A" w:rsidR="00AD144B" w:rsidRPr="00061893" w:rsidRDefault="00AD144B" w:rsidP="00A02816">
                      <w:pPr>
                        <w:pStyle w:val="ListParagraph"/>
                        <w:numPr>
                          <w:ilvl w:val="0"/>
                          <w:numId w:val="22"/>
                        </w:numPr>
                        <w:spacing w:after="0" w:line="240" w:lineRule="auto"/>
                        <w:jc w:val="both"/>
                        <w:rPr>
                          <w:rStyle w:val="fontstyle11"/>
                          <w:rFonts w:asciiTheme="majorHAnsi" w:hAnsiTheme="majorHAnsi"/>
                          <w:color w:val="auto"/>
                        </w:rPr>
                      </w:pPr>
                      <w:r w:rsidRPr="00061893">
                        <w:rPr>
                          <w:rFonts w:asciiTheme="majorHAnsi" w:hAnsiTheme="majorHAnsi"/>
                          <w:sz w:val="20"/>
                          <w:szCs w:val="20"/>
                        </w:rPr>
                        <w:t xml:space="preserve">si une évaluation du stock a été effectuée par le SCRS, vérifier que la biomasse du stock et la mortalité par pêche résultant de </w:t>
                      </w:r>
                      <w:r w:rsidRPr="00A76B45">
                        <w:rPr>
                          <w:rFonts w:asciiTheme="majorHAnsi" w:hAnsiTheme="majorHAnsi"/>
                          <w:sz w:val="20"/>
                          <w:szCs w:val="20"/>
                        </w:rPr>
                        <w:t>l'évaluation d</w:t>
                      </w:r>
                      <w:r w:rsidRPr="00061893">
                        <w:rPr>
                          <w:rFonts w:asciiTheme="majorHAnsi" w:hAnsiTheme="majorHAnsi"/>
                          <w:sz w:val="20"/>
                          <w:szCs w:val="20"/>
                        </w:rPr>
                        <w:t xml:space="preserve">u stock se situent dans la gamme des percentiles </w:t>
                      </w:r>
                      <w:r w:rsidR="00A76B45">
                        <w:rPr>
                          <w:rFonts w:asciiTheme="majorHAnsi" w:hAnsiTheme="majorHAnsi"/>
                          <w:sz w:val="20"/>
                          <w:szCs w:val="20"/>
                        </w:rPr>
                        <w:t xml:space="preserve">des valeurs </w:t>
                      </w:r>
                      <w:r w:rsidRPr="00061893">
                        <w:rPr>
                          <w:rFonts w:asciiTheme="majorHAnsi" w:hAnsiTheme="majorHAnsi"/>
                          <w:sz w:val="20"/>
                          <w:szCs w:val="20"/>
                        </w:rPr>
                        <w:t>de 2,5% à 97,5% des OM utilisés dans la MSE lorsque la MP acceptée a été testée.</w:t>
                      </w:r>
                    </w:p>
                  </w:txbxContent>
                </v:textbox>
                <w10:wrap anchorx="margin"/>
              </v:shape>
            </w:pict>
          </mc:Fallback>
        </mc:AlternateContent>
      </w:r>
    </w:p>
    <w:p w14:paraId="59D8BED3" w14:textId="77777777" w:rsidR="001209D9" w:rsidRPr="009558E6" w:rsidRDefault="001209D9" w:rsidP="0035431C">
      <w:pPr>
        <w:spacing w:after="0" w:line="240" w:lineRule="auto"/>
        <w:ind w:firstLine="720"/>
        <w:contextualSpacing/>
        <w:rPr>
          <w:rFonts w:asciiTheme="majorHAnsi" w:eastAsia="Times New Roman" w:hAnsiTheme="majorHAnsi" w:cs="Times New Roman"/>
          <w:sz w:val="20"/>
          <w:szCs w:val="20"/>
          <w:lang w:eastAsia="en-CA"/>
        </w:rPr>
      </w:pPr>
    </w:p>
    <w:p w14:paraId="6B1D7B91" w14:textId="77777777" w:rsidR="001209D9" w:rsidRPr="009558E6" w:rsidRDefault="001209D9" w:rsidP="0035431C">
      <w:pPr>
        <w:spacing w:after="0" w:line="240" w:lineRule="auto"/>
        <w:ind w:firstLine="720"/>
        <w:contextualSpacing/>
        <w:rPr>
          <w:rFonts w:asciiTheme="majorHAnsi" w:eastAsia="Times New Roman" w:hAnsiTheme="majorHAnsi" w:cs="Times New Roman"/>
          <w:sz w:val="20"/>
          <w:szCs w:val="20"/>
          <w:lang w:eastAsia="en-CA"/>
        </w:rPr>
      </w:pPr>
    </w:p>
    <w:p w14:paraId="651A5E7D" w14:textId="77777777" w:rsidR="001209D9" w:rsidRPr="009558E6" w:rsidRDefault="001209D9" w:rsidP="0035431C">
      <w:pPr>
        <w:spacing w:after="0" w:line="240" w:lineRule="auto"/>
        <w:contextualSpacing/>
        <w:rPr>
          <w:rStyle w:val="fontstyle11"/>
          <w:rFonts w:asciiTheme="majorHAnsi" w:hAnsiTheme="majorHAnsi"/>
          <w:color w:val="auto"/>
        </w:rPr>
      </w:pPr>
      <w:r w:rsidRPr="009558E6">
        <w:rPr>
          <w:rFonts w:asciiTheme="majorHAnsi" w:hAnsiTheme="majorHAnsi"/>
          <w:b/>
          <w:bCs/>
          <w:sz w:val="20"/>
          <w:szCs w:val="20"/>
        </w:rPr>
        <w:br/>
      </w:r>
    </w:p>
    <w:p w14:paraId="3FA7C225" w14:textId="77777777" w:rsidR="001209D9" w:rsidRPr="009558E6" w:rsidRDefault="001209D9" w:rsidP="0035431C">
      <w:pPr>
        <w:spacing w:after="0" w:line="240" w:lineRule="auto"/>
        <w:contextualSpacing/>
        <w:rPr>
          <w:rStyle w:val="fontstyle11"/>
          <w:rFonts w:asciiTheme="majorHAnsi" w:hAnsiTheme="majorHAnsi"/>
          <w:color w:val="auto"/>
        </w:rPr>
      </w:pPr>
      <w:r w:rsidRPr="009558E6">
        <w:rPr>
          <w:rFonts w:asciiTheme="majorHAnsi" w:hAnsiTheme="majorHAnsi"/>
          <w:sz w:val="20"/>
          <w:szCs w:val="20"/>
        </w:rPr>
        <w:br/>
      </w:r>
    </w:p>
    <w:p w14:paraId="21CFCC07" w14:textId="77777777" w:rsidR="001209D9" w:rsidRPr="009558E6" w:rsidRDefault="001209D9" w:rsidP="0035431C">
      <w:pPr>
        <w:spacing w:after="0" w:line="240" w:lineRule="auto"/>
        <w:contextualSpacing/>
        <w:rPr>
          <w:rStyle w:val="fontstyle11"/>
          <w:rFonts w:asciiTheme="majorHAnsi" w:hAnsiTheme="majorHAnsi"/>
          <w:color w:val="auto"/>
        </w:rPr>
      </w:pPr>
    </w:p>
    <w:p w14:paraId="3BD2E011" w14:textId="77777777" w:rsidR="001209D9" w:rsidRPr="009558E6" w:rsidRDefault="001209D9" w:rsidP="0035431C">
      <w:pPr>
        <w:spacing w:after="0" w:line="240" w:lineRule="auto"/>
        <w:contextualSpacing/>
        <w:rPr>
          <w:rStyle w:val="fontstyle11"/>
          <w:rFonts w:asciiTheme="majorHAnsi" w:hAnsiTheme="majorHAnsi"/>
          <w:color w:val="auto"/>
        </w:rPr>
      </w:pPr>
    </w:p>
    <w:p w14:paraId="23EAB682" w14:textId="77777777" w:rsidR="001209D9" w:rsidRPr="009558E6" w:rsidRDefault="001209D9" w:rsidP="0035431C">
      <w:pPr>
        <w:spacing w:after="0" w:line="240" w:lineRule="auto"/>
        <w:contextualSpacing/>
        <w:rPr>
          <w:rStyle w:val="fontstyle11"/>
          <w:rFonts w:asciiTheme="majorHAnsi" w:hAnsiTheme="majorHAnsi"/>
          <w:color w:val="auto"/>
        </w:rPr>
      </w:pPr>
    </w:p>
    <w:p w14:paraId="7E6853E4" w14:textId="77777777" w:rsidR="001209D9" w:rsidRPr="009558E6" w:rsidRDefault="001209D9" w:rsidP="0035431C">
      <w:pPr>
        <w:spacing w:after="0" w:line="240" w:lineRule="auto"/>
        <w:contextualSpacing/>
        <w:rPr>
          <w:rStyle w:val="fontstyle11"/>
          <w:rFonts w:asciiTheme="majorHAnsi" w:hAnsiTheme="majorHAnsi"/>
          <w:color w:val="auto"/>
        </w:rPr>
      </w:pPr>
    </w:p>
    <w:p w14:paraId="03675AA7" w14:textId="77777777" w:rsidR="001209D9" w:rsidRPr="009558E6" w:rsidRDefault="001209D9" w:rsidP="0035431C">
      <w:pPr>
        <w:spacing w:after="0" w:line="240" w:lineRule="auto"/>
        <w:contextualSpacing/>
        <w:rPr>
          <w:rStyle w:val="fontstyle11"/>
          <w:rFonts w:asciiTheme="majorHAnsi" w:hAnsiTheme="majorHAnsi"/>
          <w:color w:val="auto"/>
        </w:rPr>
      </w:pPr>
    </w:p>
    <w:p w14:paraId="2F0D5FDB" w14:textId="77777777" w:rsidR="001209D9" w:rsidRPr="009558E6" w:rsidRDefault="001209D9" w:rsidP="0035431C">
      <w:pPr>
        <w:spacing w:after="0" w:line="240" w:lineRule="auto"/>
        <w:contextualSpacing/>
        <w:rPr>
          <w:rStyle w:val="fontstyle11"/>
          <w:rFonts w:asciiTheme="majorHAnsi" w:hAnsiTheme="majorHAnsi"/>
          <w:color w:val="auto"/>
        </w:rPr>
      </w:pPr>
    </w:p>
    <w:p w14:paraId="2F232E53" w14:textId="399FC072" w:rsidR="001209D9" w:rsidRPr="009558E6" w:rsidRDefault="001209D9" w:rsidP="0035431C">
      <w:pPr>
        <w:spacing w:after="0" w:line="240" w:lineRule="auto"/>
        <w:contextualSpacing/>
        <w:rPr>
          <w:rStyle w:val="fontstyle11"/>
          <w:rFonts w:asciiTheme="majorHAnsi" w:hAnsiTheme="majorHAnsi"/>
          <w:color w:val="auto"/>
        </w:rPr>
      </w:pPr>
    </w:p>
    <w:p w14:paraId="73B4F0DA" w14:textId="23D9D177" w:rsidR="001209D9" w:rsidRPr="009558E6" w:rsidRDefault="001209D9" w:rsidP="0035431C">
      <w:pPr>
        <w:spacing w:after="0" w:line="240" w:lineRule="auto"/>
        <w:contextualSpacing/>
        <w:rPr>
          <w:rStyle w:val="fontstyle11"/>
          <w:rFonts w:asciiTheme="majorHAnsi" w:hAnsiTheme="majorHAnsi"/>
          <w:color w:val="auto"/>
        </w:rPr>
      </w:pPr>
    </w:p>
    <w:p w14:paraId="7F88DF11" w14:textId="66FFBEEB" w:rsidR="001209D9" w:rsidRPr="009558E6" w:rsidRDefault="001209D9" w:rsidP="0035431C">
      <w:pPr>
        <w:spacing w:after="0" w:line="240" w:lineRule="auto"/>
        <w:contextualSpacing/>
        <w:rPr>
          <w:rStyle w:val="fontstyle11"/>
          <w:rFonts w:asciiTheme="majorHAnsi" w:hAnsiTheme="majorHAnsi"/>
          <w:color w:val="auto"/>
        </w:rPr>
      </w:pPr>
    </w:p>
    <w:p w14:paraId="40E28364" w14:textId="7B4846A1" w:rsidR="001209D9" w:rsidRPr="009558E6" w:rsidRDefault="001209D9" w:rsidP="0035431C">
      <w:pPr>
        <w:spacing w:after="0" w:line="240" w:lineRule="auto"/>
        <w:contextualSpacing/>
        <w:rPr>
          <w:rStyle w:val="fontstyle11"/>
          <w:rFonts w:asciiTheme="majorHAnsi" w:hAnsiTheme="majorHAnsi"/>
          <w:color w:val="auto"/>
        </w:rPr>
      </w:pPr>
    </w:p>
    <w:p w14:paraId="4CD762AD" w14:textId="25C784E8" w:rsidR="001209D9" w:rsidRPr="009558E6" w:rsidRDefault="001209D9" w:rsidP="0035431C">
      <w:pPr>
        <w:spacing w:after="0" w:line="240" w:lineRule="auto"/>
        <w:contextualSpacing/>
        <w:rPr>
          <w:rFonts w:asciiTheme="majorHAnsi" w:hAnsiTheme="majorHAnsi"/>
          <w:sz w:val="20"/>
          <w:szCs w:val="20"/>
        </w:rPr>
      </w:pPr>
      <w:r w:rsidRPr="009558E6">
        <w:rPr>
          <w:rFonts w:asciiTheme="majorHAnsi" w:hAnsiTheme="majorHAnsi"/>
          <w:sz w:val="20"/>
          <w:szCs w:val="20"/>
        </w:rPr>
        <w:br/>
      </w:r>
    </w:p>
    <w:p w14:paraId="7DF16E65" w14:textId="3E4E1C28" w:rsidR="001209D9" w:rsidRPr="009558E6" w:rsidRDefault="00E246B5" w:rsidP="0035431C">
      <w:pPr>
        <w:spacing w:after="0" w:line="240" w:lineRule="auto"/>
        <w:contextualSpacing/>
        <w:jc w:val="center"/>
        <w:rPr>
          <w:rFonts w:asciiTheme="majorHAnsi" w:hAnsiTheme="majorHAnsi" w:cs="Cambria-Italic"/>
          <w:sz w:val="20"/>
          <w:szCs w:val="20"/>
        </w:rPr>
      </w:pPr>
      <w:r w:rsidRPr="009558E6">
        <w:rPr>
          <w:rFonts w:asciiTheme="majorHAnsi" w:hAnsiTheme="majorHAnsi"/>
          <w:noProof/>
          <w:sz w:val="20"/>
          <w:szCs w:val="20"/>
        </w:rPr>
        <mc:AlternateContent>
          <mc:Choice Requires="wps">
            <w:drawing>
              <wp:anchor distT="0" distB="0" distL="114300" distR="114300" simplePos="0" relativeHeight="251668480" behindDoc="0" locked="0" layoutInCell="1" allowOverlap="1" wp14:anchorId="2C0DD404" wp14:editId="6E89E073">
                <wp:simplePos x="0" y="0"/>
                <wp:positionH relativeFrom="column">
                  <wp:posOffset>4020799</wp:posOffset>
                </wp:positionH>
                <wp:positionV relativeFrom="paragraph">
                  <wp:posOffset>73978</wp:posOffset>
                </wp:positionV>
                <wp:extent cx="109786" cy="920576"/>
                <wp:effectExtent l="0" t="157798" r="0" b="171132"/>
                <wp:wrapNone/>
                <wp:docPr id="27" name="矢印: 下 27"/>
                <wp:cNvGraphicFramePr/>
                <a:graphic xmlns:a="http://schemas.openxmlformats.org/drawingml/2006/main">
                  <a:graphicData uri="http://schemas.microsoft.com/office/word/2010/wordprocessingShape">
                    <wps:wsp>
                      <wps:cNvSpPr/>
                      <wps:spPr>
                        <a:xfrm rot="4109646">
                          <a:off x="0" y="0"/>
                          <a:ext cx="109786" cy="92057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95AF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7" o:spid="_x0000_s1026" type="#_x0000_t67" style="position:absolute;margin-left:316.6pt;margin-top:5.85pt;width:8.65pt;height:72.5pt;rotation:4488829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" adj="20312" fillcolor="#4f81bd [3204]" strokecolor="#243f60 [1604]" strokeweight="2pt"/>
            </w:pict>
          </mc:Fallback>
        </mc:AlternateContent>
      </w:r>
      <w:r w:rsidRPr="009558E6">
        <w:rPr>
          <w:rFonts w:asciiTheme="majorHAnsi" w:hAnsiTheme="majorHAnsi"/>
          <w:noProof/>
          <w:sz w:val="20"/>
          <w:szCs w:val="20"/>
        </w:rPr>
        <mc:AlternateContent>
          <mc:Choice Requires="wps">
            <w:drawing>
              <wp:anchor distT="0" distB="0" distL="114300" distR="114300" simplePos="0" relativeHeight="251673600" behindDoc="0" locked="0" layoutInCell="1" allowOverlap="1" wp14:anchorId="3590BBD0" wp14:editId="287CC37A">
                <wp:simplePos x="0" y="0"/>
                <wp:positionH relativeFrom="margin">
                  <wp:posOffset>4847044</wp:posOffset>
                </wp:positionH>
                <wp:positionV relativeFrom="paragraph">
                  <wp:posOffset>58849</wp:posOffset>
                </wp:positionV>
                <wp:extent cx="260350" cy="161925"/>
                <wp:effectExtent l="38100" t="0" r="6350" b="47625"/>
                <wp:wrapNone/>
                <wp:docPr id="15" name="矢印: 下 15"/>
                <wp:cNvGraphicFramePr/>
                <a:graphic xmlns:a="http://schemas.openxmlformats.org/drawingml/2006/main">
                  <a:graphicData uri="http://schemas.microsoft.com/office/word/2010/wordprocessingShape">
                    <wps:wsp>
                      <wps:cNvSpPr/>
                      <wps:spPr>
                        <a:xfrm>
                          <a:off x="0" y="0"/>
                          <a:ext cx="260350" cy="1619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54F67F" id="矢印: 下 15" o:spid="_x0000_s1026" type="#_x0000_t67" style="position:absolute;margin-left:381.65pt;margin-top:4.65pt;width:20.5pt;height:12.7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" adj="10800" fillcolor="#4f81bd" strokecolor="#385d8a" strokeweight="2pt">
                <w10:wrap anchorx="margin"/>
              </v:shape>
            </w:pict>
          </mc:Fallback>
        </mc:AlternateContent>
      </w:r>
      <w:r w:rsidRPr="009558E6">
        <w:rPr>
          <w:rFonts w:asciiTheme="majorHAnsi" w:hAnsiTheme="majorHAnsi"/>
          <w:noProof/>
          <w:sz w:val="20"/>
          <w:szCs w:val="20"/>
        </w:rPr>
        <mc:AlternateContent>
          <mc:Choice Requires="wps">
            <w:drawing>
              <wp:anchor distT="0" distB="0" distL="114300" distR="114300" simplePos="0" relativeHeight="251665408" behindDoc="0" locked="0" layoutInCell="1" allowOverlap="1" wp14:anchorId="64D9DC06" wp14:editId="00195329">
                <wp:simplePos x="0" y="0"/>
                <wp:positionH relativeFrom="column">
                  <wp:posOffset>492347</wp:posOffset>
                </wp:positionH>
                <wp:positionV relativeFrom="paragraph">
                  <wp:posOffset>15136</wp:posOffset>
                </wp:positionV>
                <wp:extent cx="260350" cy="152400"/>
                <wp:effectExtent l="38100" t="0" r="25400" b="38100"/>
                <wp:wrapNone/>
                <wp:docPr id="22" name="矢印: 下 22"/>
                <wp:cNvGraphicFramePr/>
                <a:graphic xmlns:a="http://schemas.openxmlformats.org/drawingml/2006/main">
                  <a:graphicData uri="http://schemas.microsoft.com/office/word/2010/wordprocessingShape">
                    <wps:wsp>
                      <wps:cNvSpPr/>
                      <wps:spPr>
                        <a:xfrm>
                          <a:off x="0" y="0"/>
                          <a:ext cx="2603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CAFB14" id="矢印: 下 22" o:spid="_x0000_s1026" type="#_x0000_t67" style="position:absolute;margin-left:38.75pt;margin-top:1.2pt;width:20.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" adj="10800" fillcolor="#4f81bd [3204]" strokecolor="#243f60 [1604]" strokeweight="2pt"/>
            </w:pict>
          </mc:Fallback>
        </mc:AlternateContent>
      </w:r>
    </w:p>
    <w:p w14:paraId="322519F2" w14:textId="64ABCA85" w:rsidR="001209D9" w:rsidRPr="009558E6" w:rsidRDefault="00E246B5" w:rsidP="0035431C">
      <w:pPr>
        <w:spacing w:after="0" w:line="240" w:lineRule="auto"/>
        <w:contextualSpacing/>
        <w:jc w:val="center"/>
        <w:rPr>
          <w:rFonts w:asciiTheme="majorHAnsi" w:hAnsiTheme="majorHAnsi" w:cs="Cambria-Italic"/>
          <w:sz w:val="20"/>
          <w:szCs w:val="20"/>
        </w:rPr>
      </w:pPr>
      <w:r w:rsidRPr="009558E6">
        <w:rPr>
          <w:rFonts w:asciiTheme="majorHAnsi" w:hAnsiTheme="majorHAnsi"/>
          <w:noProof/>
          <w:sz w:val="20"/>
          <w:szCs w:val="20"/>
        </w:rPr>
        <mc:AlternateContent>
          <mc:Choice Requires="wps">
            <w:drawing>
              <wp:anchor distT="0" distB="0" distL="114300" distR="114300" simplePos="0" relativeHeight="251675648" behindDoc="0" locked="0" layoutInCell="1" allowOverlap="1" wp14:anchorId="5B71E812" wp14:editId="3B93870B">
                <wp:simplePos x="0" y="0"/>
                <wp:positionH relativeFrom="margin">
                  <wp:posOffset>1672711</wp:posOffset>
                </wp:positionH>
                <wp:positionV relativeFrom="paragraph">
                  <wp:posOffset>13335</wp:posOffset>
                </wp:positionV>
                <wp:extent cx="1952625" cy="999460"/>
                <wp:effectExtent l="0" t="0" r="28575" b="10795"/>
                <wp:wrapNone/>
                <wp:docPr id="11" name="Text Box 11"/>
                <wp:cNvGraphicFramePr/>
                <a:graphic xmlns:a="http://schemas.openxmlformats.org/drawingml/2006/main">
                  <a:graphicData uri="http://schemas.microsoft.com/office/word/2010/wordprocessingShape">
                    <wps:wsp>
                      <wps:cNvSpPr txBox="1"/>
                      <wps:spPr>
                        <a:xfrm>
                          <a:off x="0" y="0"/>
                          <a:ext cx="1952625" cy="999460"/>
                        </a:xfrm>
                        <a:prstGeom prst="rect">
                          <a:avLst/>
                        </a:prstGeom>
                        <a:solidFill>
                          <a:sysClr val="window" lastClr="FFFFFF"/>
                        </a:solidFill>
                        <a:ln w="6350">
                          <a:solidFill>
                            <a:prstClr val="black"/>
                          </a:solidFill>
                        </a:ln>
                      </wps:spPr>
                      <wps:txbx>
                        <w:txbxContent>
                          <w:p w14:paraId="3BE0EBFB" w14:textId="39EDCE3E" w:rsidR="00AD144B" w:rsidRPr="00061893" w:rsidRDefault="00AD144B" w:rsidP="00051F43">
                            <w:r w:rsidRPr="00061893">
                              <w:rPr>
                                <w:rStyle w:val="fontstyle11"/>
                                <w:color w:val="auto"/>
                              </w:rPr>
                              <w:t>Le SCRS détermine que les E</w:t>
                            </w:r>
                            <w:r w:rsidR="00A76B45">
                              <w:rPr>
                                <w:rStyle w:val="fontstyle11"/>
                                <w:color w:val="auto"/>
                              </w:rPr>
                              <w:t>C</w:t>
                            </w:r>
                            <w:r w:rsidRPr="00061893">
                              <w:rPr>
                                <w:rStyle w:val="fontstyle11"/>
                                <w:color w:val="auto"/>
                              </w:rPr>
                              <w:t xml:space="preserve"> n'empêchent pas l'application de la </w:t>
                            </w:r>
                            <w:r w:rsidR="00D22602" w:rsidRPr="00061893">
                              <w:rPr>
                                <w:rStyle w:val="fontstyle11"/>
                                <w:color w:val="auto"/>
                              </w:rPr>
                              <w:t>MP</w:t>
                            </w:r>
                            <w:r w:rsidRPr="00061893">
                              <w:rPr>
                                <w:rStyle w:val="fontstyle11"/>
                                <w:color w:val="auto"/>
                              </w:rPr>
                              <w:t xml:space="preserve"> et la mise en œuvre de ses résultats (c'est-à-dire le TAC).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1E812" id="Text Box 11" o:spid="_x0000_s1027" type="#_x0000_t202" style="position:absolute;left:0;text-align:left;margin-left:131.7pt;margin-top:1.05pt;width:153.75pt;height:78.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" fillcolor="window" strokeweight=".5pt">
                <v:textbox>
                  <w:txbxContent>
                    <w:p w14:paraId="3BE0EBFB" w14:textId="39EDCE3E" w:rsidR="00AD144B" w:rsidRPr="00061893" w:rsidRDefault="00AD144B" w:rsidP="00051F43">
                      <w:r w:rsidRPr="00061893">
                        <w:rPr>
                          <w:rStyle w:val="fontstyle11"/>
                          <w:color w:val="auto"/>
                        </w:rPr>
                        <w:t>Le SCRS détermine que les E</w:t>
                      </w:r>
                      <w:r w:rsidR="00A76B45">
                        <w:rPr>
                          <w:rStyle w:val="fontstyle11"/>
                          <w:color w:val="auto"/>
                        </w:rPr>
                        <w:t>C</w:t>
                      </w:r>
                      <w:r w:rsidRPr="00061893">
                        <w:rPr>
                          <w:rStyle w:val="fontstyle11"/>
                          <w:color w:val="auto"/>
                        </w:rPr>
                        <w:t xml:space="preserve"> n'empêchent pas l'application de la </w:t>
                      </w:r>
                      <w:r w:rsidR="00D22602" w:rsidRPr="00061893">
                        <w:rPr>
                          <w:rStyle w:val="fontstyle11"/>
                          <w:color w:val="auto"/>
                        </w:rPr>
                        <w:t>MP</w:t>
                      </w:r>
                      <w:r w:rsidRPr="00061893">
                        <w:rPr>
                          <w:rStyle w:val="fontstyle11"/>
                          <w:color w:val="auto"/>
                        </w:rPr>
                        <w:t xml:space="preserve"> et la mise en œuvre de ses résultats (c'est-à-dire le TAC). </w:t>
                      </w:r>
                    </w:p>
                  </w:txbxContent>
                </v:textbox>
                <w10:wrap anchorx="margin"/>
              </v:shape>
            </w:pict>
          </mc:Fallback>
        </mc:AlternateContent>
      </w:r>
      <w:r w:rsidRPr="009558E6">
        <w:rPr>
          <w:rFonts w:asciiTheme="majorHAnsi" w:hAnsiTheme="majorHAnsi"/>
          <w:noProof/>
          <w:sz w:val="20"/>
          <w:szCs w:val="20"/>
        </w:rPr>
        <mc:AlternateContent>
          <mc:Choice Requires="wps">
            <w:drawing>
              <wp:anchor distT="0" distB="0" distL="114300" distR="114300" simplePos="0" relativeHeight="251661312" behindDoc="0" locked="0" layoutInCell="1" allowOverlap="1" wp14:anchorId="681E8A52" wp14:editId="20A16B85">
                <wp:simplePos x="0" y="0"/>
                <wp:positionH relativeFrom="margin">
                  <wp:align>left</wp:align>
                </wp:positionH>
                <wp:positionV relativeFrom="paragraph">
                  <wp:posOffset>63397</wp:posOffset>
                </wp:positionV>
                <wp:extent cx="1413643" cy="255181"/>
                <wp:effectExtent l="0" t="0" r="15240" b="12065"/>
                <wp:wrapNone/>
                <wp:docPr id="7" name="Text Box 7"/>
                <wp:cNvGraphicFramePr/>
                <a:graphic xmlns:a="http://schemas.openxmlformats.org/drawingml/2006/main">
                  <a:graphicData uri="http://schemas.microsoft.com/office/word/2010/wordprocessingShape">
                    <wps:wsp>
                      <wps:cNvSpPr txBox="1"/>
                      <wps:spPr>
                        <a:xfrm>
                          <a:off x="0" y="0"/>
                          <a:ext cx="1413643" cy="255181"/>
                        </a:xfrm>
                        <a:prstGeom prst="rect">
                          <a:avLst/>
                        </a:prstGeom>
                        <a:solidFill>
                          <a:schemeClr val="lt1"/>
                        </a:solidFill>
                        <a:ln w="6350">
                          <a:solidFill>
                            <a:prstClr val="black"/>
                          </a:solidFill>
                        </a:ln>
                      </wps:spPr>
                      <wps:txbx>
                        <w:txbxContent>
                          <w:p w14:paraId="1DA641DE" w14:textId="729509FC" w:rsidR="00AD144B" w:rsidRPr="00061893" w:rsidRDefault="00AD144B" w:rsidP="001209D9">
                            <w:r w:rsidRPr="00061893">
                              <w:rPr>
                                <w:rStyle w:val="fontstyle11"/>
                                <w:color w:val="auto"/>
                              </w:rPr>
                              <w:t>S'il n'existe pas d</w:t>
                            </w:r>
                            <w:r w:rsidR="00A76B45">
                              <w:rPr>
                                <w:rStyle w:val="fontstyle11"/>
                                <w:color w:val="auto"/>
                              </w:rPr>
                              <w:t>’</w:t>
                            </w:r>
                            <w:r w:rsidRPr="00061893">
                              <w:rPr>
                                <w:rStyle w:val="fontstyle11"/>
                                <w:color w:val="auto"/>
                              </w:rPr>
                              <w:t>E</w:t>
                            </w:r>
                            <w:r w:rsidR="00A76B45">
                              <w:rPr>
                                <w:rStyle w:val="fontstyle11"/>
                                <w:color w:val="auto"/>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E8A52" id="Text Box 7" o:spid="_x0000_s1028" type="#_x0000_t202" style="position:absolute;left:0;text-align:left;margin-left:0;margin-top:5pt;width:111.3pt;height:20.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" fillcolor="white [3201]" strokeweight=".5pt">
                <v:textbox>
                  <w:txbxContent>
                    <w:p w14:paraId="1DA641DE" w14:textId="729509FC" w:rsidR="00AD144B" w:rsidRPr="00061893" w:rsidRDefault="00AD144B" w:rsidP="001209D9">
                      <w:r w:rsidRPr="00061893">
                        <w:rPr>
                          <w:rStyle w:val="fontstyle11"/>
                          <w:color w:val="auto"/>
                        </w:rPr>
                        <w:t>S'il n'existe pas d</w:t>
                      </w:r>
                      <w:r w:rsidR="00A76B45">
                        <w:rPr>
                          <w:rStyle w:val="fontstyle11"/>
                          <w:color w:val="auto"/>
                        </w:rPr>
                        <w:t>’</w:t>
                      </w:r>
                      <w:r w:rsidRPr="00061893">
                        <w:rPr>
                          <w:rStyle w:val="fontstyle11"/>
                          <w:color w:val="auto"/>
                        </w:rPr>
                        <w:t>E</w:t>
                      </w:r>
                      <w:r w:rsidR="00A76B45">
                        <w:rPr>
                          <w:rStyle w:val="fontstyle11"/>
                          <w:color w:val="auto"/>
                        </w:rPr>
                        <w:t>C</w:t>
                      </w:r>
                    </w:p>
                  </w:txbxContent>
                </v:textbox>
                <w10:wrap anchorx="margin"/>
              </v:shape>
            </w:pict>
          </mc:Fallback>
        </mc:AlternateContent>
      </w:r>
    </w:p>
    <w:p w14:paraId="54611920" w14:textId="7583BD9E" w:rsidR="001209D9" w:rsidRPr="009558E6" w:rsidRDefault="00E246B5" w:rsidP="0035431C">
      <w:pPr>
        <w:spacing w:after="0" w:line="240" w:lineRule="auto"/>
        <w:contextualSpacing/>
        <w:jc w:val="center"/>
        <w:rPr>
          <w:rFonts w:asciiTheme="majorHAnsi" w:hAnsiTheme="majorHAnsi" w:cs="Cambria-Italic"/>
          <w:sz w:val="20"/>
          <w:szCs w:val="20"/>
        </w:rPr>
      </w:pPr>
      <w:r w:rsidRPr="009558E6">
        <w:rPr>
          <w:rFonts w:asciiTheme="majorHAnsi" w:hAnsiTheme="majorHAnsi"/>
          <w:noProof/>
          <w:sz w:val="20"/>
          <w:szCs w:val="20"/>
        </w:rPr>
        <mc:AlternateContent>
          <mc:Choice Requires="wps">
            <w:drawing>
              <wp:anchor distT="0" distB="0" distL="114300" distR="114300" simplePos="0" relativeHeight="251660288" behindDoc="0" locked="0" layoutInCell="1" allowOverlap="1" wp14:anchorId="4721E289" wp14:editId="41BFFA9C">
                <wp:simplePos x="0" y="0"/>
                <wp:positionH relativeFrom="margin">
                  <wp:posOffset>4588747</wp:posOffset>
                </wp:positionH>
                <wp:positionV relativeFrom="paragraph">
                  <wp:posOffset>5715</wp:posOffset>
                </wp:positionV>
                <wp:extent cx="1319530" cy="318977"/>
                <wp:effectExtent l="0" t="0" r="13970" b="24130"/>
                <wp:wrapNone/>
                <wp:docPr id="6" name="Text Box 6"/>
                <wp:cNvGraphicFramePr/>
                <a:graphic xmlns:a="http://schemas.openxmlformats.org/drawingml/2006/main">
                  <a:graphicData uri="http://schemas.microsoft.com/office/word/2010/wordprocessingShape">
                    <wps:wsp>
                      <wps:cNvSpPr txBox="1"/>
                      <wps:spPr>
                        <a:xfrm>
                          <a:off x="0" y="0"/>
                          <a:ext cx="1319530" cy="318977"/>
                        </a:xfrm>
                        <a:prstGeom prst="rect">
                          <a:avLst/>
                        </a:prstGeom>
                        <a:solidFill>
                          <a:schemeClr val="lt1"/>
                        </a:solidFill>
                        <a:ln w="6350">
                          <a:solidFill>
                            <a:prstClr val="black"/>
                          </a:solidFill>
                        </a:ln>
                      </wps:spPr>
                      <wps:txbx>
                        <w:txbxContent>
                          <w:p w14:paraId="6826314D" w14:textId="5D93FABC" w:rsidR="00AD144B" w:rsidRPr="00061893" w:rsidRDefault="00AD144B" w:rsidP="001209D9">
                            <w:r w:rsidRPr="00061893">
                              <w:rPr>
                                <w:rStyle w:val="fontstyle11"/>
                                <w:color w:val="auto"/>
                              </w:rPr>
                              <w:t>Si des E</w:t>
                            </w:r>
                            <w:r w:rsidR="00A76B45">
                              <w:rPr>
                                <w:rStyle w:val="fontstyle11"/>
                                <w:color w:val="auto"/>
                              </w:rPr>
                              <w:t>C</w:t>
                            </w:r>
                            <w:r w:rsidRPr="00061893">
                              <w:rPr>
                                <w:rStyle w:val="fontstyle11"/>
                                <w:color w:val="auto"/>
                              </w:rPr>
                              <w:t xml:space="preserve"> existent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1E289" id="Text Box 6" o:spid="_x0000_s1029" type="#_x0000_t202" style="position:absolute;left:0;text-align:left;margin-left:361.3pt;margin-top:.45pt;width:103.9pt;height:2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" fillcolor="white [3201]" strokeweight=".5pt">
                <v:textbox>
                  <w:txbxContent>
                    <w:p w14:paraId="6826314D" w14:textId="5D93FABC" w:rsidR="00AD144B" w:rsidRPr="00061893" w:rsidRDefault="00AD144B" w:rsidP="001209D9">
                      <w:r w:rsidRPr="00061893">
                        <w:rPr>
                          <w:rStyle w:val="fontstyle11"/>
                          <w:color w:val="auto"/>
                        </w:rPr>
                        <w:t>Si des E</w:t>
                      </w:r>
                      <w:r w:rsidR="00A76B45">
                        <w:rPr>
                          <w:rStyle w:val="fontstyle11"/>
                          <w:color w:val="auto"/>
                        </w:rPr>
                        <w:t>C</w:t>
                      </w:r>
                      <w:r w:rsidRPr="00061893">
                        <w:rPr>
                          <w:rStyle w:val="fontstyle11"/>
                          <w:color w:val="auto"/>
                        </w:rPr>
                        <w:t xml:space="preserve"> existent</w:t>
                      </w:r>
                    </w:p>
                  </w:txbxContent>
                </v:textbox>
                <w10:wrap anchorx="margin"/>
              </v:shape>
            </w:pict>
          </mc:Fallback>
        </mc:AlternateContent>
      </w:r>
    </w:p>
    <w:p w14:paraId="03431911" w14:textId="10BF440C" w:rsidR="00A34D58" w:rsidRPr="009558E6" w:rsidRDefault="00E246B5" w:rsidP="0035431C">
      <w:pPr>
        <w:spacing w:after="0" w:line="240" w:lineRule="auto"/>
        <w:contextualSpacing/>
        <w:rPr>
          <w:rFonts w:asciiTheme="majorHAnsi" w:hAnsiTheme="majorHAnsi" w:cs="Cambria-Italic"/>
          <w:sz w:val="20"/>
          <w:szCs w:val="20"/>
        </w:rPr>
      </w:pPr>
      <w:r w:rsidRPr="009558E6">
        <w:rPr>
          <w:rFonts w:asciiTheme="majorHAnsi" w:hAnsiTheme="majorHAnsi"/>
          <w:noProof/>
          <w:sz w:val="20"/>
          <w:szCs w:val="20"/>
        </w:rPr>
        <mc:AlternateContent>
          <mc:Choice Requires="wps">
            <w:drawing>
              <wp:anchor distT="0" distB="0" distL="114300" distR="114300" simplePos="0" relativeHeight="251677696" behindDoc="0" locked="0" layoutInCell="1" allowOverlap="1" wp14:anchorId="6C702ED4" wp14:editId="30014F84">
                <wp:simplePos x="0" y="0"/>
                <wp:positionH relativeFrom="column">
                  <wp:posOffset>547710</wp:posOffset>
                </wp:positionH>
                <wp:positionV relativeFrom="paragraph">
                  <wp:posOffset>118967</wp:posOffset>
                </wp:positionV>
                <wp:extent cx="213065" cy="233163"/>
                <wp:effectExtent l="19050" t="0" r="15875" b="33655"/>
                <wp:wrapNone/>
                <wp:docPr id="26" name="矢印: 下 26"/>
                <wp:cNvGraphicFramePr/>
                <a:graphic xmlns:a="http://schemas.openxmlformats.org/drawingml/2006/main">
                  <a:graphicData uri="http://schemas.microsoft.com/office/word/2010/wordprocessingShape">
                    <wps:wsp>
                      <wps:cNvSpPr/>
                      <wps:spPr>
                        <a:xfrm flipH="1">
                          <a:off x="0" y="0"/>
                          <a:ext cx="213065" cy="23316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DA856" id="矢印: 下 26" o:spid="_x0000_s1026" type="#_x0000_t67" style="position:absolute;margin-left:43.15pt;margin-top:9.35pt;width:16.8pt;height:18.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" adj="11731" fillcolor="#4f81bd [3204]" strokecolor="#243f60 [1604]" strokeweight="2pt"/>
            </w:pict>
          </mc:Fallback>
        </mc:AlternateContent>
      </w:r>
    </w:p>
    <w:p w14:paraId="3754669F" w14:textId="29BA7105" w:rsidR="00614662" w:rsidRPr="009558E6" w:rsidRDefault="00614662" w:rsidP="0035431C">
      <w:pPr>
        <w:spacing w:after="0" w:line="240" w:lineRule="auto"/>
        <w:contextualSpacing/>
        <w:rPr>
          <w:rFonts w:asciiTheme="majorHAnsi" w:hAnsiTheme="majorHAnsi" w:cs="Cambria-Italic"/>
          <w:sz w:val="20"/>
          <w:szCs w:val="20"/>
        </w:rPr>
      </w:pPr>
    </w:p>
    <w:p w14:paraId="407A2B61" w14:textId="40A6B420" w:rsidR="00614662" w:rsidRPr="009558E6" w:rsidRDefault="00E246B5" w:rsidP="0035431C">
      <w:pPr>
        <w:spacing w:after="0" w:line="240" w:lineRule="auto"/>
        <w:contextualSpacing/>
        <w:rPr>
          <w:rFonts w:asciiTheme="majorHAnsi" w:hAnsiTheme="majorHAnsi" w:cs="Cambria-Italic"/>
          <w:sz w:val="20"/>
          <w:szCs w:val="20"/>
        </w:rPr>
      </w:pPr>
      <w:r w:rsidRPr="009558E6">
        <w:rPr>
          <w:rFonts w:asciiTheme="majorHAnsi" w:hAnsiTheme="majorHAnsi"/>
          <w:noProof/>
          <w:sz w:val="20"/>
          <w:szCs w:val="20"/>
        </w:rPr>
        <mc:AlternateContent>
          <mc:Choice Requires="wps">
            <w:drawing>
              <wp:anchor distT="0" distB="0" distL="114300" distR="114300" simplePos="0" relativeHeight="251666432" behindDoc="0" locked="0" layoutInCell="1" allowOverlap="1" wp14:anchorId="242E4BAE" wp14:editId="6EA589A7">
                <wp:simplePos x="0" y="0"/>
                <wp:positionH relativeFrom="column">
                  <wp:posOffset>4901639</wp:posOffset>
                </wp:positionH>
                <wp:positionV relativeFrom="paragraph">
                  <wp:posOffset>15697</wp:posOffset>
                </wp:positionV>
                <wp:extent cx="260350" cy="152400"/>
                <wp:effectExtent l="38100" t="0" r="25400" b="38100"/>
                <wp:wrapNone/>
                <wp:docPr id="23" name="矢印: 下 23"/>
                <wp:cNvGraphicFramePr/>
                <a:graphic xmlns:a="http://schemas.openxmlformats.org/drawingml/2006/main">
                  <a:graphicData uri="http://schemas.microsoft.com/office/word/2010/wordprocessingShape">
                    <wps:wsp>
                      <wps:cNvSpPr/>
                      <wps:spPr>
                        <a:xfrm>
                          <a:off x="0" y="0"/>
                          <a:ext cx="260350" cy="1524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E608E6" id="矢印: 下 23" o:spid="_x0000_s1026" type="#_x0000_t67" style="position:absolute;margin-left:385.95pt;margin-top:1.25pt;width:20.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" adj="10800" fillcolor="#4f81bd" strokecolor="#385d8a" strokeweight="2pt"/>
            </w:pict>
          </mc:Fallback>
        </mc:AlternateContent>
      </w:r>
      <w:r w:rsidRPr="009558E6">
        <w:rPr>
          <w:rFonts w:asciiTheme="majorHAnsi" w:hAnsiTheme="majorHAnsi"/>
          <w:noProof/>
          <w:sz w:val="20"/>
          <w:szCs w:val="20"/>
        </w:rPr>
        <mc:AlternateContent>
          <mc:Choice Requires="wps">
            <w:drawing>
              <wp:anchor distT="0" distB="0" distL="114300" distR="114300" simplePos="0" relativeHeight="251662336" behindDoc="0" locked="0" layoutInCell="1" allowOverlap="1" wp14:anchorId="2E093997" wp14:editId="5CCE2F32">
                <wp:simplePos x="0" y="0"/>
                <wp:positionH relativeFrom="margin">
                  <wp:align>left</wp:align>
                </wp:positionH>
                <wp:positionV relativeFrom="paragraph">
                  <wp:posOffset>143510</wp:posOffset>
                </wp:positionV>
                <wp:extent cx="1315085" cy="2057400"/>
                <wp:effectExtent l="0" t="0" r="18415" b="19050"/>
                <wp:wrapNone/>
                <wp:docPr id="9" name="Text Box 9"/>
                <wp:cNvGraphicFramePr/>
                <a:graphic xmlns:a="http://schemas.openxmlformats.org/drawingml/2006/main">
                  <a:graphicData uri="http://schemas.microsoft.com/office/word/2010/wordprocessingShape">
                    <wps:wsp>
                      <wps:cNvSpPr txBox="1"/>
                      <wps:spPr>
                        <a:xfrm>
                          <a:off x="0" y="0"/>
                          <a:ext cx="1315085" cy="2057400"/>
                        </a:xfrm>
                        <a:prstGeom prst="rect">
                          <a:avLst/>
                        </a:prstGeom>
                        <a:solidFill>
                          <a:schemeClr val="lt1"/>
                        </a:solidFill>
                        <a:ln w="6350">
                          <a:solidFill>
                            <a:prstClr val="black"/>
                          </a:solidFill>
                        </a:ln>
                      </wps:spPr>
                      <wps:txbx>
                        <w:txbxContent>
                          <w:p w14:paraId="0BA76D5C" w14:textId="58F73953" w:rsidR="00AD144B" w:rsidRPr="00061893" w:rsidRDefault="00AD144B" w:rsidP="001209D9">
                            <w:r w:rsidRPr="00061893">
                              <w:rPr>
                                <w:rStyle w:val="fontstyle11"/>
                                <w:color w:val="auto"/>
                              </w:rPr>
                              <w:t>Le TAC calculé par la MP continue d'être valide (dans l’année 1 -3) et la MP continue d'être appliquée dans l’année 3 pour calculer le TAC pour la prochaine période de gestion de trois 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93997" id="Text Box 9" o:spid="_x0000_s1030" type="#_x0000_t202" style="position:absolute;margin-left:0;margin-top:11.3pt;width:103.55pt;height:16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" fillcolor="white [3201]" strokeweight=".5pt">
                <v:textbox>
                  <w:txbxContent>
                    <w:p w14:paraId="0BA76D5C" w14:textId="58F73953" w:rsidR="00AD144B" w:rsidRPr="00061893" w:rsidRDefault="00AD144B" w:rsidP="001209D9">
                      <w:r w:rsidRPr="00061893">
                        <w:rPr>
                          <w:rStyle w:val="fontstyle11"/>
                          <w:color w:val="auto"/>
                        </w:rPr>
                        <w:t>Le TAC calculé par la MP continue d'être valide (dans l’année 1 -3) et la MP continue d'être appliquée dans l’année 3 pour calculer le TAC pour la prochaine période de gestion de trois ans</w:t>
                      </w:r>
                    </w:p>
                  </w:txbxContent>
                </v:textbox>
                <w10:wrap anchorx="margin"/>
              </v:shape>
            </w:pict>
          </mc:Fallback>
        </mc:AlternateContent>
      </w:r>
    </w:p>
    <w:p w14:paraId="6D0617ED" w14:textId="1543C3F6" w:rsidR="00614662" w:rsidRPr="009558E6" w:rsidRDefault="00E246B5" w:rsidP="0035431C">
      <w:pPr>
        <w:spacing w:after="0" w:line="240" w:lineRule="auto"/>
        <w:contextualSpacing/>
        <w:rPr>
          <w:rFonts w:asciiTheme="majorHAnsi" w:hAnsiTheme="majorHAnsi" w:cs="Cambria-Italic"/>
          <w:sz w:val="20"/>
          <w:szCs w:val="20"/>
        </w:rPr>
      </w:pPr>
      <w:r w:rsidRPr="009558E6">
        <w:rPr>
          <w:rFonts w:asciiTheme="majorHAnsi" w:hAnsiTheme="majorHAnsi"/>
          <w:noProof/>
          <w:sz w:val="20"/>
          <w:szCs w:val="20"/>
        </w:rPr>
        <mc:AlternateContent>
          <mc:Choice Requires="wps">
            <w:drawing>
              <wp:anchor distT="0" distB="0" distL="114300" distR="114300" simplePos="0" relativeHeight="251671552" behindDoc="0" locked="0" layoutInCell="1" allowOverlap="1" wp14:anchorId="755149BD" wp14:editId="72FC00B6">
                <wp:simplePos x="0" y="0"/>
                <wp:positionH relativeFrom="column">
                  <wp:posOffset>3816970</wp:posOffset>
                </wp:positionH>
                <wp:positionV relativeFrom="paragraph">
                  <wp:posOffset>126380</wp:posOffset>
                </wp:positionV>
                <wp:extent cx="2755900" cy="776177"/>
                <wp:effectExtent l="0" t="0" r="25400" b="24130"/>
                <wp:wrapNone/>
                <wp:docPr id="8" name="Text Box 3"/>
                <wp:cNvGraphicFramePr/>
                <a:graphic xmlns:a="http://schemas.openxmlformats.org/drawingml/2006/main">
                  <a:graphicData uri="http://schemas.microsoft.com/office/word/2010/wordprocessingShape">
                    <wps:wsp>
                      <wps:cNvSpPr txBox="1"/>
                      <wps:spPr>
                        <a:xfrm>
                          <a:off x="0" y="0"/>
                          <a:ext cx="2755900" cy="776177"/>
                        </a:xfrm>
                        <a:prstGeom prst="rect">
                          <a:avLst/>
                        </a:prstGeom>
                        <a:solidFill>
                          <a:sysClr val="window" lastClr="FFFFFF"/>
                        </a:solidFill>
                        <a:ln w="6350">
                          <a:solidFill>
                            <a:prstClr val="black"/>
                          </a:solidFill>
                        </a:ln>
                      </wps:spPr>
                      <wps:txbx>
                        <w:txbxContent>
                          <w:p w14:paraId="5370CEE8" w14:textId="4F819E2B" w:rsidR="00AD144B" w:rsidRPr="00061893" w:rsidRDefault="00AD144B" w:rsidP="00DE0856">
                            <w:pPr>
                              <w:rPr>
                                <w:rStyle w:val="fontstyle11"/>
                                <w:rFonts w:asciiTheme="majorHAnsi" w:hAnsiTheme="majorHAnsi"/>
                                <w:color w:val="auto"/>
                              </w:rPr>
                            </w:pPr>
                            <w:r w:rsidRPr="00061893">
                              <w:rPr>
                                <w:rFonts w:asciiTheme="majorHAnsi" w:hAnsiTheme="majorHAnsi"/>
                                <w:sz w:val="20"/>
                                <w:szCs w:val="20"/>
                              </w:rPr>
                              <w:t>Le SCRS détermine que les E</w:t>
                            </w:r>
                            <w:r w:rsidR="00A76B45">
                              <w:rPr>
                                <w:rFonts w:asciiTheme="majorHAnsi" w:hAnsiTheme="majorHAnsi"/>
                                <w:sz w:val="20"/>
                                <w:szCs w:val="20"/>
                              </w:rPr>
                              <w:t>C</w:t>
                            </w:r>
                            <w:r w:rsidRPr="00061893">
                              <w:rPr>
                                <w:rFonts w:asciiTheme="majorHAnsi" w:hAnsiTheme="majorHAnsi"/>
                                <w:sz w:val="20"/>
                                <w:szCs w:val="20"/>
                              </w:rPr>
                              <w:t xml:space="preserve"> excluent l'application de la </w:t>
                            </w:r>
                            <w:r w:rsidR="00D22602" w:rsidRPr="00061893">
                              <w:rPr>
                                <w:rFonts w:asciiTheme="majorHAnsi" w:hAnsiTheme="majorHAnsi"/>
                                <w:sz w:val="20"/>
                                <w:szCs w:val="20"/>
                              </w:rPr>
                              <w:t>MP</w:t>
                            </w:r>
                            <w:r w:rsidRPr="00061893">
                              <w:rPr>
                                <w:rFonts w:asciiTheme="majorHAnsi" w:hAnsiTheme="majorHAnsi"/>
                                <w:sz w:val="20"/>
                                <w:szCs w:val="20"/>
                              </w:rPr>
                              <w:t xml:space="preserve"> ou rendent l'application de la </w:t>
                            </w:r>
                            <w:r w:rsidR="00D22602" w:rsidRPr="00061893">
                              <w:rPr>
                                <w:rFonts w:asciiTheme="majorHAnsi" w:hAnsiTheme="majorHAnsi"/>
                                <w:sz w:val="20"/>
                                <w:szCs w:val="20"/>
                              </w:rPr>
                              <w:t>MP</w:t>
                            </w:r>
                            <w:r w:rsidRPr="00061893">
                              <w:rPr>
                                <w:rFonts w:asciiTheme="majorHAnsi" w:hAnsiTheme="majorHAnsi"/>
                                <w:sz w:val="20"/>
                                <w:szCs w:val="20"/>
                              </w:rPr>
                              <w:t xml:space="preserve"> ou la mise en œuvre de ses résultats (c'est-à-dire le TAC) déconseillée.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149BD" id="Text Box 3" o:spid="_x0000_s1031" type="#_x0000_t202" style="position:absolute;margin-left:300.55pt;margin-top:9.95pt;width:217pt;height:6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" fillcolor="window" strokeweight=".5pt">
                <v:textbox>
                  <w:txbxContent>
                    <w:p w14:paraId="5370CEE8" w14:textId="4F819E2B" w:rsidR="00AD144B" w:rsidRPr="00061893" w:rsidRDefault="00AD144B" w:rsidP="00DE0856">
                      <w:pPr>
                        <w:rPr>
                          <w:rStyle w:val="fontstyle11"/>
                          <w:rFonts w:asciiTheme="majorHAnsi" w:hAnsiTheme="majorHAnsi"/>
                          <w:color w:val="auto"/>
                        </w:rPr>
                      </w:pPr>
                      <w:r w:rsidRPr="00061893">
                        <w:rPr>
                          <w:rFonts w:asciiTheme="majorHAnsi" w:hAnsiTheme="majorHAnsi"/>
                          <w:sz w:val="20"/>
                          <w:szCs w:val="20"/>
                        </w:rPr>
                        <w:t>Le SCRS détermine que les E</w:t>
                      </w:r>
                      <w:r w:rsidR="00A76B45">
                        <w:rPr>
                          <w:rFonts w:asciiTheme="majorHAnsi" w:hAnsiTheme="majorHAnsi"/>
                          <w:sz w:val="20"/>
                          <w:szCs w:val="20"/>
                        </w:rPr>
                        <w:t>C</w:t>
                      </w:r>
                      <w:r w:rsidRPr="00061893">
                        <w:rPr>
                          <w:rFonts w:asciiTheme="majorHAnsi" w:hAnsiTheme="majorHAnsi"/>
                          <w:sz w:val="20"/>
                          <w:szCs w:val="20"/>
                        </w:rPr>
                        <w:t xml:space="preserve"> excluent l'application de la </w:t>
                      </w:r>
                      <w:r w:rsidR="00D22602" w:rsidRPr="00061893">
                        <w:rPr>
                          <w:rFonts w:asciiTheme="majorHAnsi" w:hAnsiTheme="majorHAnsi"/>
                          <w:sz w:val="20"/>
                          <w:szCs w:val="20"/>
                        </w:rPr>
                        <w:t>MP</w:t>
                      </w:r>
                      <w:r w:rsidRPr="00061893">
                        <w:rPr>
                          <w:rFonts w:asciiTheme="majorHAnsi" w:hAnsiTheme="majorHAnsi"/>
                          <w:sz w:val="20"/>
                          <w:szCs w:val="20"/>
                        </w:rPr>
                        <w:t xml:space="preserve"> ou rendent l'application de la </w:t>
                      </w:r>
                      <w:r w:rsidR="00D22602" w:rsidRPr="00061893">
                        <w:rPr>
                          <w:rFonts w:asciiTheme="majorHAnsi" w:hAnsiTheme="majorHAnsi"/>
                          <w:sz w:val="20"/>
                          <w:szCs w:val="20"/>
                        </w:rPr>
                        <w:t>MP</w:t>
                      </w:r>
                      <w:r w:rsidRPr="00061893">
                        <w:rPr>
                          <w:rFonts w:asciiTheme="majorHAnsi" w:hAnsiTheme="majorHAnsi"/>
                          <w:sz w:val="20"/>
                          <w:szCs w:val="20"/>
                        </w:rPr>
                        <w:t xml:space="preserve"> ou la mise en œuvre de ses résultats (c'est-à-dire le TAC) déconseillée. </w:t>
                      </w:r>
                    </w:p>
                  </w:txbxContent>
                </v:textbox>
              </v:shape>
            </w:pict>
          </mc:Fallback>
        </mc:AlternateContent>
      </w:r>
      <w:r w:rsidRPr="009558E6">
        <w:rPr>
          <w:rFonts w:asciiTheme="majorHAnsi" w:hAnsiTheme="majorHAnsi"/>
          <w:noProof/>
          <w:sz w:val="20"/>
          <w:szCs w:val="20"/>
        </w:rPr>
        <mc:AlternateContent>
          <mc:Choice Requires="wps">
            <w:drawing>
              <wp:anchor distT="0" distB="0" distL="114300" distR="114300" simplePos="0" relativeHeight="251672576" behindDoc="0" locked="0" layoutInCell="1" allowOverlap="1" wp14:anchorId="5426A985" wp14:editId="4E8C1587">
                <wp:simplePos x="0" y="0"/>
                <wp:positionH relativeFrom="column">
                  <wp:posOffset>1394452</wp:posOffset>
                </wp:positionH>
                <wp:positionV relativeFrom="paragraph">
                  <wp:posOffset>7067</wp:posOffset>
                </wp:positionV>
                <wp:extent cx="203835" cy="224790"/>
                <wp:effectExtent l="27623" t="10477" r="0" b="33338"/>
                <wp:wrapNone/>
                <wp:docPr id="13" name="矢印: 下 13"/>
                <wp:cNvGraphicFramePr/>
                <a:graphic xmlns:a="http://schemas.openxmlformats.org/drawingml/2006/main">
                  <a:graphicData uri="http://schemas.microsoft.com/office/word/2010/wordprocessingShape">
                    <wps:wsp>
                      <wps:cNvSpPr/>
                      <wps:spPr>
                        <a:xfrm rot="5400000">
                          <a:off x="0" y="0"/>
                          <a:ext cx="203835" cy="22479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BDCAF" id="矢印: 下 13" o:spid="_x0000_s1026" type="#_x0000_t67" style="position:absolute;margin-left:109.8pt;margin-top:.55pt;width:16.05pt;height:17.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" adj="11807" fillcolor="#4f81bd" strokecolor="#385d8a" strokeweight="2pt"/>
            </w:pict>
          </mc:Fallback>
        </mc:AlternateContent>
      </w:r>
    </w:p>
    <w:p w14:paraId="6C75F3CC" w14:textId="05265EBA" w:rsidR="00614662" w:rsidRPr="009558E6" w:rsidRDefault="00614662" w:rsidP="0035431C">
      <w:pPr>
        <w:spacing w:after="0" w:line="240" w:lineRule="auto"/>
        <w:contextualSpacing/>
        <w:rPr>
          <w:rFonts w:asciiTheme="majorHAnsi" w:hAnsiTheme="majorHAnsi" w:cs="Cambria-Italic"/>
          <w:sz w:val="20"/>
          <w:szCs w:val="20"/>
        </w:rPr>
      </w:pPr>
    </w:p>
    <w:p w14:paraId="76A7FCEA" w14:textId="29AD8403" w:rsidR="00614662" w:rsidRPr="009558E6" w:rsidRDefault="00614662" w:rsidP="0035431C">
      <w:pPr>
        <w:spacing w:after="0" w:line="240" w:lineRule="auto"/>
        <w:contextualSpacing/>
        <w:rPr>
          <w:rFonts w:asciiTheme="majorHAnsi" w:hAnsiTheme="majorHAnsi" w:cs="Cambria-Italic"/>
          <w:sz w:val="20"/>
          <w:szCs w:val="20"/>
        </w:rPr>
      </w:pPr>
    </w:p>
    <w:p w14:paraId="3378F28E" w14:textId="77777777" w:rsidR="00614662" w:rsidRPr="009558E6" w:rsidRDefault="00614662" w:rsidP="0035431C">
      <w:pPr>
        <w:spacing w:after="0" w:line="240" w:lineRule="auto"/>
        <w:contextualSpacing/>
        <w:rPr>
          <w:rFonts w:asciiTheme="majorHAnsi" w:hAnsiTheme="majorHAnsi" w:cs="Cambria-Italic"/>
          <w:sz w:val="20"/>
          <w:szCs w:val="20"/>
        </w:rPr>
        <w:sectPr w:rsidR="00614662" w:rsidRPr="009558E6" w:rsidSect="006D3E1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pgMar w:top="1440" w:right="1440" w:bottom="1440" w:left="1440" w:header="850" w:footer="1134" w:gutter="0"/>
          <w:cols w:space="720"/>
          <w:docGrid w:linePitch="360"/>
        </w:sectPr>
      </w:pPr>
    </w:p>
    <w:p w14:paraId="34784558" w14:textId="060F4E23" w:rsidR="00E36BA6" w:rsidRPr="009558E6" w:rsidRDefault="00240B8F" w:rsidP="0035431C">
      <w:pPr>
        <w:spacing w:after="0" w:line="240" w:lineRule="auto"/>
        <w:contextualSpacing/>
        <w:rPr>
          <w:rFonts w:asciiTheme="majorHAnsi" w:hAnsiTheme="majorHAnsi" w:cs="Cambria-Italic"/>
          <w:sz w:val="20"/>
          <w:szCs w:val="20"/>
        </w:rPr>
        <w:sectPr w:rsidR="00E36BA6" w:rsidRPr="009558E6" w:rsidSect="00614662">
          <w:footnotePr>
            <w:numRestart w:val="eachSect"/>
          </w:footnotePr>
          <w:type w:val="continuous"/>
          <w:pgSz w:w="12240" w:h="15840"/>
          <w:pgMar w:top="1440" w:right="1440" w:bottom="1440" w:left="1440" w:header="720" w:footer="720" w:gutter="0"/>
          <w:cols w:space="720"/>
          <w:docGrid w:linePitch="360"/>
        </w:sectPr>
      </w:pPr>
      <w:r w:rsidRPr="009558E6">
        <w:rPr>
          <w:rFonts w:asciiTheme="majorHAnsi" w:hAnsiTheme="majorHAnsi"/>
          <w:noProof/>
          <w:sz w:val="20"/>
          <w:szCs w:val="20"/>
        </w:rPr>
        <mc:AlternateContent>
          <mc:Choice Requires="wps">
            <w:drawing>
              <wp:anchor distT="0" distB="0" distL="114300" distR="114300" simplePos="0" relativeHeight="251669504" behindDoc="0" locked="0" layoutInCell="1" allowOverlap="1" wp14:anchorId="0B3501E4" wp14:editId="12AACE3B">
                <wp:simplePos x="0" y="0"/>
                <wp:positionH relativeFrom="margin">
                  <wp:posOffset>3721735</wp:posOffset>
                </wp:positionH>
                <wp:positionV relativeFrom="paragraph">
                  <wp:posOffset>2820497</wp:posOffset>
                </wp:positionV>
                <wp:extent cx="583213" cy="244549"/>
                <wp:effectExtent l="38100" t="0" r="7620" b="41275"/>
                <wp:wrapNone/>
                <wp:docPr id="29" name="矢印: 下 29"/>
                <wp:cNvGraphicFramePr/>
                <a:graphic xmlns:a="http://schemas.openxmlformats.org/drawingml/2006/main">
                  <a:graphicData uri="http://schemas.microsoft.com/office/word/2010/wordprocessingShape">
                    <wps:wsp>
                      <wps:cNvSpPr/>
                      <wps:spPr>
                        <a:xfrm>
                          <a:off x="0" y="0"/>
                          <a:ext cx="583213" cy="24454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0A4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9" o:spid="_x0000_s1026" type="#_x0000_t67" style="position:absolute;margin-left:293.05pt;margin-top:222.1pt;width:45.9pt;height:1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" adj="10800" fillcolor="#4f81bd" strokecolor="#385d8a" strokeweight="2pt">
                <w10:wrap anchorx="margin"/>
              </v:shape>
            </w:pict>
          </mc:Fallback>
        </mc:AlternateContent>
      </w:r>
      <w:r w:rsidRPr="009558E6">
        <w:rPr>
          <w:rFonts w:asciiTheme="majorHAnsi" w:hAnsiTheme="majorHAnsi"/>
          <w:noProof/>
          <w:sz w:val="20"/>
          <w:szCs w:val="20"/>
        </w:rPr>
        <mc:AlternateContent>
          <mc:Choice Requires="wps">
            <w:drawing>
              <wp:anchor distT="0" distB="0" distL="114300" distR="114300" simplePos="0" relativeHeight="251663360" behindDoc="0" locked="0" layoutInCell="1" allowOverlap="1" wp14:anchorId="1BEA9250" wp14:editId="3CBC0C04">
                <wp:simplePos x="0" y="0"/>
                <wp:positionH relativeFrom="margin">
                  <wp:posOffset>1987665</wp:posOffset>
                </wp:positionH>
                <wp:positionV relativeFrom="paragraph">
                  <wp:posOffset>956829</wp:posOffset>
                </wp:positionV>
                <wp:extent cx="4699000" cy="1863437"/>
                <wp:effectExtent l="0" t="0" r="25400" b="22860"/>
                <wp:wrapNone/>
                <wp:docPr id="10" name="Text Box 10"/>
                <wp:cNvGraphicFramePr/>
                <a:graphic xmlns:a="http://schemas.openxmlformats.org/drawingml/2006/main">
                  <a:graphicData uri="http://schemas.microsoft.com/office/word/2010/wordprocessingShape">
                    <wps:wsp>
                      <wps:cNvSpPr txBox="1"/>
                      <wps:spPr>
                        <a:xfrm>
                          <a:off x="0" y="0"/>
                          <a:ext cx="4699000" cy="1863437"/>
                        </a:xfrm>
                        <a:prstGeom prst="rect">
                          <a:avLst/>
                        </a:prstGeom>
                        <a:solidFill>
                          <a:schemeClr val="lt1"/>
                        </a:solidFill>
                        <a:ln w="6350">
                          <a:solidFill>
                            <a:prstClr val="black"/>
                          </a:solidFill>
                        </a:ln>
                      </wps:spPr>
                      <wps:txbx>
                        <w:txbxContent>
                          <w:p w14:paraId="5DF7AAE1" w14:textId="77777777" w:rsidR="00AD144B" w:rsidRPr="00061893" w:rsidRDefault="00AD144B" w:rsidP="001209D9">
                            <w:pPr>
                              <w:spacing w:after="0" w:line="240" w:lineRule="auto"/>
                              <w:jc w:val="both"/>
                              <w:rPr>
                                <w:rStyle w:val="fontstyle11"/>
                                <w:color w:val="auto"/>
                              </w:rPr>
                            </w:pPr>
                            <w:r w:rsidRPr="00061893">
                              <w:rPr>
                                <w:rStyle w:val="fontstyle11"/>
                                <w:color w:val="auto"/>
                              </w:rPr>
                              <w:t xml:space="preserve">Le SCRS devra conseiller la Commission sur : </w:t>
                            </w:r>
                          </w:p>
                          <w:p w14:paraId="01635F7F" w14:textId="49C46704" w:rsidR="00AD144B" w:rsidRPr="00061893" w:rsidRDefault="00E3236D" w:rsidP="001209D9">
                            <w:pPr>
                              <w:spacing w:after="0" w:line="240" w:lineRule="auto"/>
                              <w:jc w:val="both"/>
                              <w:rPr>
                                <w:rFonts w:ascii="Cambria" w:eastAsia="Cambria" w:hAnsi="Cambria" w:cs="Cambria"/>
                                <w:sz w:val="20"/>
                                <w:szCs w:val="20"/>
                              </w:rPr>
                            </w:pPr>
                            <w:r w:rsidRPr="00061893">
                              <w:rPr>
                                <w:rStyle w:val="fontstyle11"/>
                                <w:color w:val="auto"/>
                              </w:rPr>
                              <w:t>(</w:t>
                            </w:r>
                            <w:r w:rsidR="00AD144B" w:rsidRPr="00061893">
                              <w:rPr>
                                <w:rStyle w:val="fontstyle11"/>
                                <w:color w:val="auto"/>
                              </w:rPr>
                              <w:t>A</w:t>
                            </w:r>
                            <w:r w:rsidRPr="00061893">
                              <w:rPr>
                                <w:rStyle w:val="fontstyle11"/>
                                <w:color w:val="auto"/>
                              </w:rPr>
                              <w:t>)</w:t>
                            </w:r>
                            <w:r w:rsidR="00AD144B" w:rsidRPr="00061893">
                              <w:rPr>
                                <w:rStyle w:val="fontstyle11"/>
                                <w:color w:val="auto"/>
                              </w:rPr>
                              <w:t xml:space="preserve"> D</w:t>
                            </w:r>
                            <w:r w:rsidR="00AD144B" w:rsidRPr="00061893">
                              <w:rPr>
                                <w:rFonts w:ascii="Cambria" w:hAnsi="Cambria"/>
                                <w:sz w:val="20"/>
                                <w:szCs w:val="20"/>
                              </w:rPr>
                              <w:t>es options de gestion alternatives pour la prochaine année de pêche visant à garantir, au minimum, la stabilité de l'état du stock, y compris les implications</w:t>
                            </w:r>
                            <w:r w:rsidR="00A76B45">
                              <w:rPr>
                                <w:rFonts w:ascii="Cambria" w:hAnsi="Cambria"/>
                                <w:sz w:val="20"/>
                                <w:szCs w:val="20"/>
                              </w:rPr>
                              <w:t> :</w:t>
                            </w:r>
                          </w:p>
                          <w:p w14:paraId="5C5331E0" w14:textId="5703F2B9" w:rsidR="00AD144B" w:rsidRPr="00061893" w:rsidRDefault="00A76B45" w:rsidP="001209D9">
                            <w:pPr>
                              <w:spacing w:after="0" w:line="240" w:lineRule="auto"/>
                              <w:ind w:firstLineChars="50" w:firstLine="100"/>
                              <w:jc w:val="both"/>
                              <w:rPr>
                                <w:rFonts w:ascii="Cambria" w:eastAsia="Cambria" w:hAnsi="Cambria" w:cs="Cambria"/>
                                <w:sz w:val="20"/>
                                <w:szCs w:val="20"/>
                              </w:rPr>
                            </w:pPr>
                            <w:r>
                              <w:rPr>
                                <w:rFonts w:ascii="Cambria" w:hAnsi="Cambria"/>
                                <w:sz w:val="20"/>
                                <w:szCs w:val="20"/>
                              </w:rPr>
                              <w:t>(</w:t>
                            </w:r>
                            <w:r w:rsidR="00AD144B" w:rsidRPr="00061893">
                              <w:rPr>
                                <w:rFonts w:ascii="Cambria" w:hAnsi="Cambria"/>
                                <w:sz w:val="20"/>
                                <w:szCs w:val="20"/>
                              </w:rPr>
                              <w:t>i) du maintien du total des prises admissibles (TAC)</w:t>
                            </w:r>
                            <w:r>
                              <w:rPr>
                                <w:rFonts w:ascii="Cambria" w:hAnsi="Cambria"/>
                                <w:sz w:val="20"/>
                                <w:szCs w:val="20"/>
                              </w:rPr>
                              <w:t xml:space="preserve"> du statu quo </w:t>
                            </w:r>
                            <w:r w:rsidR="00AD144B" w:rsidRPr="00061893">
                              <w:rPr>
                                <w:rFonts w:ascii="Cambria" w:hAnsi="Cambria"/>
                                <w:sz w:val="20"/>
                                <w:szCs w:val="20"/>
                              </w:rPr>
                              <w:t>;</w:t>
                            </w:r>
                          </w:p>
                          <w:p w14:paraId="7EAD34B1" w14:textId="797D3A55" w:rsidR="00AD144B" w:rsidRPr="00061893" w:rsidRDefault="00AD144B" w:rsidP="001209D9">
                            <w:pPr>
                              <w:spacing w:after="0" w:line="240" w:lineRule="auto"/>
                              <w:ind w:firstLineChars="50" w:firstLine="100"/>
                              <w:jc w:val="both"/>
                              <w:rPr>
                                <w:rFonts w:ascii="Cambria" w:eastAsia="Cambria" w:hAnsi="Cambria" w:cs="Cambria"/>
                                <w:sz w:val="20"/>
                                <w:szCs w:val="20"/>
                              </w:rPr>
                            </w:pPr>
                            <w:r w:rsidRPr="00061893">
                              <w:rPr>
                                <w:rFonts w:ascii="Cambria" w:hAnsi="Cambria"/>
                                <w:sz w:val="20"/>
                                <w:szCs w:val="20"/>
                              </w:rPr>
                              <w:t xml:space="preserve">(ii) de la réduction du TAC de </w:t>
                            </w:r>
                            <w:r w:rsidRPr="00061893">
                              <w:rPr>
                                <w:rFonts w:ascii="Cambria" w:hAnsi="Cambria"/>
                                <w:b/>
                                <w:bCs/>
                                <w:sz w:val="20"/>
                                <w:szCs w:val="20"/>
                              </w:rPr>
                              <w:t>20%</w:t>
                            </w:r>
                            <w:r w:rsidRPr="00061893">
                              <w:rPr>
                                <w:rFonts w:ascii="Cambria" w:hAnsi="Cambria"/>
                                <w:sz w:val="20"/>
                                <w:szCs w:val="20"/>
                              </w:rPr>
                              <w:t xml:space="preserve"> ou d'un autre pourcentage approprié, notamment à la lumière des indications de déclin du stock ; et</w:t>
                            </w:r>
                          </w:p>
                          <w:p w14:paraId="55CB5932" w14:textId="521DA72C" w:rsidR="00AD144B" w:rsidRPr="00061893" w:rsidRDefault="00AD144B" w:rsidP="001209D9">
                            <w:pPr>
                              <w:spacing w:after="0" w:line="240" w:lineRule="auto"/>
                              <w:ind w:firstLineChars="50" w:firstLine="100"/>
                              <w:jc w:val="both"/>
                              <w:rPr>
                                <w:rFonts w:ascii="Cambria" w:eastAsia="Cambria" w:hAnsi="Cambria" w:cs="Cambria"/>
                                <w:sz w:val="20"/>
                                <w:szCs w:val="20"/>
                              </w:rPr>
                            </w:pPr>
                            <w:r w:rsidRPr="00061893">
                              <w:rPr>
                                <w:rFonts w:ascii="Cambria" w:hAnsi="Cambria"/>
                                <w:sz w:val="20"/>
                                <w:szCs w:val="20"/>
                              </w:rPr>
                              <w:t xml:space="preserve">(iii) toute autre action appropriée de conservation et de gestion ; </w:t>
                            </w:r>
                          </w:p>
                          <w:p w14:paraId="7529A668" w14:textId="356321A4" w:rsidR="00AD144B" w:rsidRPr="00061893" w:rsidRDefault="00AD144B" w:rsidP="001209D9">
                            <w:pPr>
                              <w:spacing w:after="0"/>
                              <w:rPr>
                                <w:rFonts w:ascii="Cambria" w:eastAsia="Cambria" w:hAnsi="Cambria" w:cs="Cambria"/>
                                <w:sz w:val="20"/>
                                <w:szCs w:val="20"/>
                              </w:rPr>
                            </w:pPr>
                            <w:r w:rsidRPr="00061893">
                              <w:rPr>
                                <w:rFonts w:ascii="Cambria" w:hAnsi="Cambria"/>
                                <w:sz w:val="20"/>
                                <w:szCs w:val="20"/>
                              </w:rPr>
                              <w:t>(B)</w:t>
                            </w:r>
                            <w:r w:rsidR="00E3236D" w:rsidRPr="00061893">
                              <w:rPr>
                                <w:rFonts w:ascii="Cambria" w:hAnsi="Cambria"/>
                                <w:sz w:val="20"/>
                                <w:szCs w:val="20"/>
                              </w:rPr>
                              <w:t xml:space="preserve"> S</w:t>
                            </w:r>
                            <w:r w:rsidRPr="00061893">
                              <w:rPr>
                                <w:rFonts w:ascii="Cambria" w:hAnsi="Cambria"/>
                                <w:sz w:val="20"/>
                                <w:szCs w:val="20"/>
                              </w:rPr>
                              <w:t>i la MP existante peut et devrait être ajustée ou si une nouvelle MP devrait être développée ; et</w:t>
                            </w:r>
                          </w:p>
                          <w:p w14:paraId="59E1DC6A" w14:textId="481BB0FB" w:rsidR="00AD144B" w:rsidRPr="00061893" w:rsidRDefault="00AD144B" w:rsidP="001209D9">
                            <w:pPr>
                              <w:spacing w:after="0"/>
                              <w:rPr>
                                <w:rFonts w:ascii="Cambria" w:eastAsia="Cambria" w:hAnsi="Cambria" w:cs="Cambria"/>
                                <w:sz w:val="20"/>
                                <w:szCs w:val="20"/>
                              </w:rPr>
                            </w:pPr>
                            <w:r w:rsidRPr="00061893">
                              <w:rPr>
                                <w:rFonts w:ascii="Cambria" w:hAnsi="Cambria"/>
                                <w:sz w:val="20"/>
                                <w:szCs w:val="20"/>
                              </w:rPr>
                              <w:t xml:space="preserve">(C) </w:t>
                            </w:r>
                            <w:r w:rsidR="00E3236D" w:rsidRPr="00061893">
                              <w:rPr>
                                <w:rFonts w:ascii="Cambria" w:hAnsi="Cambria"/>
                                <w:sz w:val="20"/>
                                <w:szCs w:val="20"/>
                              </w:rPr>
                              <w:t>S</w:t>
                            </w:r>
                            <w:r w:rsidRPr="00061893">
                              <w:rPr>
                                <w:rFonts w:ascii="Cambria" w:hAnsi="Cambria"/>
                                <w:sz w:val="20"/>
                                <w:szCs w:val="20"/>
                              </w:rPr>
                              <w:t xml:space="preserve">i une évaluation du stock est nécessaire pour fournir des </w:t>
                            </w:r>
                            <w:r w:rsidR="00F32586">
                              <w:rPr>
                                <w:rFonts w:ascii="Cambria" w:hAnsi="Cambria"/>
                                <w:sz w:val="20"/>
                                <w:szCs w:val="20"/>
                              </w:rPr>
                              <w:t>avis</w:t>
                            </w:r>
                            <w:r w:rsidRPr="00061893">
                              <w:rPr>
                                <w:rFonts w:ascii="Cambria" w:hAnsi="Cambria"/>
                                <w:sz w:val="20"/>
                                <w:szCs w:val="20"/>
                              </w:rPr>
                              <w:t xml:space="preserve"> de gestion dans l'intervalle.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A9250" id="Text Box 10" o:spid="_x0000_s1032" type="#_x0000_t202" style="position:absolute;margin-left:156.5pt;margin-top:75.35pt;width:370pt;height:14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" fillcolor="white [3201]" strokeweight=".5pt">
                <v:textbox>
                  <w:txbxContent>
                    <w:p w14:paraId="5DF7AAE1" w14:textId="77777777" w:rsidR="00AD144B" w:rsidRPr="00061893" w:rsidRDefault="00AD144B" w:rsidP="001209D9">
                      <w:pPr>
                        <w:spacing w:after="0" w:line="240" w:lineRule="auto"/>
                        <w:jc w:val="both"/>
                        <w:rPr>
                          <w:rStyle w:val="fontstyle11"/>
                          <w:color w:val="auto"/>
                        </w:rPr>
                      </w:pPr>
                      <w:r w:rsidRPr="00061893">
                        <w:rPr>
                          <w:rStyle w:val="fontstyle11"/>
                          <w:color w:val="auto"/>
                        </w:rPr>
                        <w:t xml:space="preserve">Le SCRS devra conseiller la Commission sur : </w:t>
                      </w:r>
                    </w:p>
                    <w:p w14:paraId="01635F7F" w14:textId="49C46704" w:rsidR="00AD144B" w:rsidRPr="00061893" w:rsidRDefault="00E3236D" w:rsidP="001209D9">
                      <w:pPr>
                        <w:spacing w:after="0" w:line="240" w:lineRule="auto"/>
                        <w:jc w:val="both"/>
                        <w:rPr>
                          <w:rFonts w:ascii="Cambria" w:eastAsia="Cambria" w:hAnsi="Cambria" w:cs="Cambria"/>
                          <w:sz w:val="20"/>
                          <w:szCs w:val="20"/>
                        </w:rPr>
                      </w:pPr>
                      <w:r w:rsidRPr="00061893">
                        <w:rPr>
                          <w:rStyle w:val="fontstyle11"/>
                          <w:color w:val="auto"/>
                        </w:rPr>
                        <w:t>(</w:t>
                      </w:r>
                      <w:r w:rsidR="00AD144B" w:rsidRPr="00061893">
                        <w:rPr>
                          <w:rStyle w:val="fontstyle11"/>
                          <w:color w:val="auto"/>
                        </w:rPr>
                        <w:t>A</w:t>
                      </w:r>
                      <w:r w:rsidRPr="00061893">
                        <w:rPr>
                          <w:rStyle w:val="fontstyle11"/>
                          <w:color w:val="auto"/>
                        </w:rPr>
                        <w:t>)</w:t>
                      </w:r>
                      <w:r w:rsidR="00AD144B" w:rsidRPr="00061893">
                        <w:rPr>
                          <w:rStyle w:val="fontstyle11"/>
                          <w:color w:val="auto"/>
                        </w:rPr>
                        <w:t xml:space="preserve"> D</w:t>
                      </w:r>
                      <w:r w:rsidR="00AD144B" w:rsidRPr="00061893">
                        <w:rPr>
                          <w:rFonts w:ascii="Cambria" w:hAnsi="Cambria"/>
                          <w:sz w:val="20"/>
                          <w:szCs w:val="20"/>
                        </w:rPr>
                        <w:t>es options de gestion alternatives pour la prochaine année de pêche visant à garantir, au minimum, la stabilité de l'état du stock, y compris les implications</w:t>
                      </w:r>
                      <w:r w:rsidR="00A76B45">
                        <w:rPr>
                          <w:rFonts w:ascii="Cambria" w:hAnsi="Cambria"/>
                          <w:sz w:val="20"/>
                          <w:szCs w:val="20"/>
                        </w:rPr>
                        <w:t> :</w:t>
                      </w:r>
                    </w:p>
                    <w:p w14:paraId="5C5331E0" w14:textId="5703F2B9" w:rsidR="00AD144B" w:rsidRPr="00061893" w:rsidRDefault="00A76B45" w:rsidP="001209D9">
                      <w:pPr>
                        <w:spacing w:after="0" w:line="240" w:lineRule="auto"/>
                        <w:ind w:firstLineChars="50" w:firstLine="100"/>
                        <w:jc w:val="both"/>
                        <w:rPr>
                          <w:rFonts w:ascii="Cambria" w:eastAsia="Cambria" w:hAnsi="Cambria" w:cs="Cambria"/>
                          <w:sz w:val="20"/>
                          <w:szCs w:val="20"/>
                        </w:rPr>
                      </w:pPr>
                      <w:r>
                        <w:rPr>
                          <w:rFonts w:ascii="Cambria" w:hAnsi="Cambria"/>
                          <w:sz w:val="20"/>
                          <w:szCs w:val="20"/>
                        </w:rPr>
                        <w:t>(</w:t>
                      </w:r>
                      <w:r w:rsidR="00AD144B" w:rsidRPr="00061893">
                        <w:rPr>
                          <w:rFonts w:ascii="Cambria" w:hAnsi="Cambria"/>
                          <w:sz w:val="20"/>
                          <w:szCs w:val="20"/>
                        </w:rPr>
                        <w:t>i) du maintien du total des prises admissibles (TAC)</w:t>
                      </w:r>
                      <w:r>
                        <w:rPr>
                          <w:rFonts w:ascii="Cambria" w:hAnsi="Cambria"/>
                          <w:sz w:val="20"/>
                          <w:szCs w:val="20"/>
                        </w:rPr>
                        <w:t xml:space="preserve"> du statu quo </w:t>
                      </w:r>
                      <w:r w:rsidR="00AD144B" w:rsidRPr="00061893">
                        <w:rPr>
                          <w:rFonts w:ascii="Cambria" w:hAnsi="Cambria"/>
                          <w:sz w:val="20"/>
                          <w:szCs w:val="20"/>
                        </w:rPr>
                        <w:t>;</w:t>
                      </w:r>
                    </w:p>
                    <w:p w14:paraId="7EAD34B1" w14:textId="797D3A55" w:rsidR="00AD144B" w:rsidRPr="00061893" w:rsidRDefault="00AD144B" w:rsidP="001209D9">
                      <w:pPr>
                        <w:spacing w:after="0" w:line="240" w:lineRule="auto"/>
                        <w:ind w:firstLineChars="50" w:firstLine="100"/>
                        <w:jc w:val="both"/>
                        <w:rPr>
                          <w:rFonts w:ascii="Cambria" w:eastAsia="Cambria" w:hAnsi="Cambria" w:cs="Cambria"/>
                          <w:sz w:val="20"/>
                          <w:szCs w:val="20"/>
                        </w:rPr>
                      </w:pPr>
                      <w:r w:rsidRPr="00061893">
                        <w:rPr>
                          <w:rFonts w:ascii="Cambria" w:hAnsi="Cambria"/>
                          <w:sz w:val="20"/>
                          <w:szCs w:val="20"/>
                        </w:rPr>
                        <w:t xml:space="preserve">(ii) de la réduction du TAC de </w:t>
                      </w:r>
                      <w:r w:rsidRPr="00061893">
                        <w:rPr>
                          <w:rFonts w:ascii="Cambria" w:hAnsi="Cambria"/>
                          <w:b/>
                          <w:bCs/>
                          <w:sz w:val="20"/>
                          <w:szCs w:val="20"/>
                        </w:rPr>
                        <w:t>20%</w:t>
                      </w:r>
                      <w:r w:rsidRPr="00061893">
                        <w:rPr>
                          <w:rFonts w:ascii="Cambria" w:hAnsi="Cambria"/>
                          <w:sz w:val="20"/>
                          <w:szCs w:val="20"/>
                        </w:rPr>
                        <w:t xml:space="preserve"> ou d'un autre pourcentage approprié, notamment à la lumière des indications de déclin du stock ; et</w:t>
                      </w:r>
                    </w:p>
                    <w:p w14:paraId="55CB5932" w14:textId="521DA72C" w:rsidR="00AD144B" w:rsidRPr="00061893" w:rsidRDefault="00AD144B" w:rsidP="001209D9">
                      <w:pPr>
                        <w:spacing w:after="0" w:line="240" w:lineRule="auto"/>
                        <w:ind w:firstLineChars="50" w:firstLine="100"/>
                        <w:jc w:val="both"/>
                        <w:rPr>
                          <w:rFonts w:ascii="Cambria" w:eastAsia="Cambria" w:hAnsi="Cambria" w:cs="Cambria"/>
                          <w:sz w:val="20"/>
                          <w:szCs w:val="20"/>
                        </w:rPr>
                      </w:pPr>
                      <w:r w:rsidRPr="00061893">
                        <w:rPr>
                          <w:rFonts w:ascii="Cambria" w:hAnsi="Cambria"/>
                          <w:sz w:val="20"/>
                          <w:szCs w:val="20"/>
                        </w:rPr>
                        <w:t xml:space="preserve">(iii) toute autre action appropriée de conservation et de gestion ; </w:t>
                      </w:r>
                    </w:p>
                    <w:p w14:paraId="7529A668" w14:textId="356321A4" w:rsidR="00AD144B" w:rsidRPr="00061893" w:rsidRDefault="00AD144B" w:rsidP="001209D9">
                      <w:pPr>
                        <w:spacing w:after="0"/>
                        <w:rPr>
                          <w:rFonts w:ascii="Cambria" w:eastAsia="Cambria" w:hAnsi="Cambria" w:cs="Cambria"/>
                          <w:sz w:val="20"/>
                          <w:szCs w:val="20"/>
                        </w:rPr>
                      </w:pPr>
                      <w:r w:rsidRPr="00061893">
                        <w:rPr>
                          <w:rFonts w:ascii="Cambria" w:hAnsi="Cambria"/>
                          <w:sz w:val="20"/>
                          <w:szCs w:val="20"/>
                        </w:rPr>
                        <w:t>(B)</w:t>
                      </w:r>
                      <w:r w:rsidR="00E3236D" w:rsidRPr="00061893">
                        <w:rPr>
                          <w:rFonts w:ascii="Cambria" w:hAnsi="Cambria"/>
                          <w:sz w:val="20"/>
                          <w:szCs w:val="20"/>
                        </w:rPr>
                        <w:t xml:space="preserve"> S</w:t>
                      </w:r>
                      <w:r w:rsidRPr="00061893">
                        <w:rPr>
                          <w:rFonts w:ascii="Cambria" w:hAnsi="Cambria"/>
                          <w:sz w:val="20"/>
                          <w:szCs w:val="20"/>
                        </w:rPr>
                        <w:t>i la MP existante peut et devrait être ajustée ou si une nouvelle MP devrait être développée ; et</w:t>
                      </w:r>
                    </w:p>
                    <w:p w14:paraId="59E1DC6A" w14:textId="481BB0FB" w:rsidR="00AD144B" w:rsidRPr="00061893" w:rsidRDefault="00AD144B" w:rsidP="001209D9">
                      <w:pPr>
                        <w:spacing w:after="0"/>
                        <w:rPr>
                          <w:rFonts w:ascii="Cambria" w:eastAsia="Cambria" w:hAnsi="Cambria" w:cs="Cambria"/>
                          <w:sz w:val="20"/>
                          <w:szCs w:val="20"/>
                        </w:rPr>
                      </w:pPr>
                      <w:r w:rsidRPr="00061893">
                        <w:rPr>
                          <w:rFonts w:ascii="Cambria" w:hAnsi="Cambria"/>
                          <w:sz w:val="20"/>
                          <w:szCs w:val="20"/>
                        </w:rPr>
                        <w:t xml:space="preserve">(C) </w:t>
                      </w:r>
                      <w:r w:rsidR="00E3236D" w:rsidRPr="00061893">
                        <w:rPr>
                          <w:rFonts w:ascii="Cambria" w:hAnsi="Cambria"/>
                          <w:sz w:val="20"/>
                          <w:szCs w:val="20"/>
                        </w:rPr>
                        <w:t>S</w:t>
                      </w:r>
                      <w:r w:rsidRPr="00061893">
                        <w:rPr>
                          <w:rFonts w:ascii="Cambria" w:hAnsi="Cambria"/>
                          <w:sz w:val="20"/>
                          <w:szCs w:val="20"/>
                        </w:rPr>
                        <w:t xml:space="preserve">i une évaluation du stock est nécessaire pour fournir des </w:t>
                      </w:r>
                      <w:r w:rsidR="00F32586">
                        <w:rPr>
                          <w:rFonts w:ascii="Cambria" w:hAnsi="Cambria"/>
                          <w:sz w:val="20"/>
                          <w:szCs w:val="20"/>
                        </w:rPr>
                        <w:t>avis</w:t>
                      </w:r>
                      <w:r w:rsidRPr="00061893">
                        <w:rPr>
                          <w:rFonts w:ascii="Cambria" w:hAnsi="Cambria"/>
                          <w:sz w:val="20"/>
                          <w:szCs w:val="20"/>
                        </w:rPr>
                        <w:t xml:space="preserve"> de gestion dans l'intervalle.</w:t>
                      </w:r>
                    </w:p>
                  </w:txbxContent>
                </v:textbox>
                <w10:wrap anchorx="margin"/>
              </v:shape>
            </w:pict>
          </mc:Fallback>
        </mc:AlternateContent>
      </w:r>
      <w:r w:rsidR="00061893" w:rsidRPr="009558E6">
        <w:rPr>
          <w:rFonts w:asciiTheme="majorHAnsi" w:hAnsiTheme="majorHAnsi"/>
          <w:noProof/>
          <w:sz w:val="20"/>
          <w:szCs w:val="20"/>
        </w:rPr>
        <mc:AlternateContent>
          <mc:Choice Requires="wps">
            <w:drawing>
              <wp:anchor distT="0" distB="0" distL="114300" distR="114300" simplePos="0" relativeHeight="251664384" behindDoc="0" locked="0" layoutInCell="1" allowOverlap="1" wp14:anchorId="1F569B06" wp14:editId="4380456E">
                <wp:simplePos x="0" y="0"/>
                <wp:positionH relativeFrom="margin">
                  <wp:posOffset>421583</wp:posOffset>
                </wp:positionH>
                <wp:positionV relativeFrom="paragraph">
                  <wp:posOffset>3118138</wp:posOffset>
                </wp:positionV>
                <wp:extent cx="6066790" cy="969818"/>
                <wp:effectExtent l="0" t="0" r="10160" b="20955"/>
                <wp:wrapNone/>
                <wp:docPr id="12" name="Text Box 12"/>
                <wp:cNvGraphicFramePr/>
                <a:graphic xmlns:a="http://schemas.openxmlformats.org/drawingml/2006/main">
                  <a:graphicData uri="http://schemas.microsoft.com/office/word/2010/wordprocessingShape">
                    <wps:wsp>
                      <wps:cNvSpPr txBox="1"/>
                      <wps:spPr>
                        <a:xfrm>
                          <a:off x="0" y="0"/>
                          <a:ext cx="6066790" cy="969818"/>
                        </a:xfrm>
                        <a:prstGeom prst="rect">
                          <a:avLst/>
                        </a:prstGeom>
                        <a:solidFill>
                          <a:schemeClr val="lt1"/>
                        </a:solidFill>
                        <a:ln w="6350">
                          <a:solidFill>
                            <a:prstClr val="black"/>
                          </a:solidFill>
                        </a:ln>
                      </wps:spPr>
                      <wps:txbx>
                        <w:txbxContent>
                          <w:p w14:paraId="75779D7E" w14:textId="415D65B5" w:rsidR="00AD144B" w:rsidRPr="00061893" w:rsidRDefault="00AD144B" w:rsidP="001209D9">
                            <w:r w:rsidRPr="00061893">
                              <w:rPr>
                                <w:rFonts w:ascii="Cambria" w:hAnsi="Cambria"/>
                                <w:sz w:val="20"/>
                                <w:szCs w:val="20"/>
                              </w:rPr>
                              <w:t>Sur la base de l'avis du SCRS, la Commission devra décider de la ou des mesures de gestion alternatives à prendre.</w:t>
                            </w:r>
                            <w:r w:rsidR="00DA7810" w:rsidRPr="00061893">
                              <w:rPr>
                                <w:rFonts w:ascii="Cambria" w:hAnsi="Cambria"/>
                                <w:sz w:val="20"/>
                                <w:szCs w:val="20"/>
                              </w:rPr>
                              <w:t xml:space="preserve"> </w:t>
                            </w:r>
                            <w:r w:rsidRPr="00061893">
                              <w:rPr>
                                <w:rFonts w:ascii="Cambria" w:hAnsi="Cambria"/>
                                <w:sz w:val="20"/>
                                <w:szCs w:val="20"/>
                              </w:rPr>
                              <w:t xml:space="preserve">Sauf </w:t>
                            </w:r>
                            <w:r w:rsidR="002535A2" w:rsidRPr="00061893">
                              <w:rPr>
                                <w:rFonts w:ascii="Cambria" w:hAnsi="Cambria"/>
                                <w:sz w:val="20"/>
                                <w:szCs w:val="20"/>
                              </w:rPr>
                              <w:t>si le SCRS indique qu</w:t>
                            </w:r>
                            <w:r w:rsidRPr="00061893">
                              <w:rPr>
                                <w:rFonts w:ascii="Cambria" w:hAnsi="Cambria"/>
                                <w:sz w:val="20"/>
                                <w:szCs w:val="20"/>
                              </w:rPr>
                              <w:t xml:space="preserve">'il existe une base scientifique suffisante pour s'en écarter, la Commission devra réduire le TAC de </w:t>
                            </w:r>
                            <w:r w:rsidRPr="00061893">
                              <w:rPr>
                                <w:rFonts w:ascii="Cambria" w:hAnsi="Cambria"/>
                                <w:b/>
                                <w:bCs/>
                                <w:sz w:val="20"/>
                                <w:szCs w:val="20"/>
                              </w:rPr>
                              <w:t>20%</w:t>
                            </w:r>
                            <w:r w:rsidRPr="00061893">
                              <w:rPr>
                                <w:rFonts w:ascii="Cambria" w:hAnsi="Cambria"/>
                                <w:sz w:val="20"/>
                                <w:szCs w:val="20"/>
                              </w:rPr>
                              <w:t xml:space="preserve"> pour l'année suivante.</w:t>
                            </w:r>
                            <w:r w:rsidR="00DA7810" w:rsidRPr="00061893">
                              <w:rPr>
                                <w:rFonts w:ascii="Cambria" w:hAnsi="Cambria"/>
                                <w:sz w:val="20"/>
                                <w:szCs w:val="20"/>
                              </w:rPr>
                              <w:t xml:space="preserve"> </w:t>
                            </w:r>
                            <w:r w:rsidRPr="00061893">
                              <w:rPr>
                                <w:rFonts w:ascii="Cambria" w:hAnsi="Cambria"/>
                                <w:sz w:val="20"/>
                                <w:szCs w:val="20"/>
                              </w:rPr>
                              <w:t xml:space="preserve">En outre, selon les besoins et le cas, le SCRS devra réaliser une nouvelle évaluation du stock et/ou fournir un avis sur de nouvelles MP </w:t>
                            </w:r>
                            <w:r w:rsidR="00F32586">
                              <w:rPr>
                                <w:rFonts w:ascii="Cambria" w:hAnsi="Cambria"/>
                                <w:sz w:val="20"/>
                                <w:szCs w:val="20"/>
                              </w:rPr>
                              <w:t>potentielles</w:t>
                            </w:r>
                            <w:r w:rsidRPr="00061893">
                              <w:rPr>
                                <w:rFonts w:ascii="Cambria" w:hAnsi="Cambria"/>
                                <w:sz w:val="20"/>
                                <w:szCs w:val="20"/>
                              </w:rPr>
                              <w:t>, dès que possible.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69B06" id="Text Box 12" o:spid="_x0000_s1033" type="#_x0000_t202" style="position:absolute;margin-left:33.2pt;margin-top:245.5pt;width:477.7pt;height:76.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" fillcolor="white [3201]" strokeweight=".5pt">
                <v:textbox>
                  <w:txbxContent>
                    <w:p w14:paraId="75779D7E" w14:textId="415D65B5" w:rsidR="00AD144B" w:rsidRPr="00061893" w:rsidRDefault="00AD144B" w:rsidP="001209D9">
                      <w:r w:rsidRPr="00061893">
                        <w:rPr>
                          <w:rFonts w:ascii="Cambria" w:hAnsi="Cambria"/>
                          <w:sz w:val="20"/>
                          <w:szCs w:val="20"/>
                        </w:rPr>
                        <w:t>Sur la base de l'avis du SCRS, la Commission devra décider de la ou des mesures de gestion alternatives à prendre.</w:t>
                      </w:r>
                      <w:r w:rsidR="00DA7810" w:rsidRPr="00061893">
                        <w:rPr>
                          <w:rFonts w:ascii="Cambria" w:hAnsi="Cambria"/>
                          <w:sz w:val="20"/>
                          <w:szCs w:val="20"/>
                        </w:rPr>
                        <w:t xml:space="preserve"> </w:t>
                      </w:r>
                      <w:r w:rsidRPr="00061893">
                        <w:rPr>
                          <w:rFonts w:ascii="Cambria" w:hAnsi="Cambria"/>
                          <w:sz w:val="20"/>
                          <w:szCs w:val="20"/>
                        </w:rPr>
                        <w:t xml:space="preserve">Sauf </w:t>
                      </w:r>
                      <w:r w:rsidR="002535A2" w:rsidRPr="00061893">
                        <w:rPr>
                          <w:rFonts w:ascii="Cambria" w:hAnsi="Cambria"/>
                          <w:sz w:val="20"/>
                          <w:szCs w:val="20"/>
                        </w:rPr>
                        <w:t>si le SCRS indique qu</w:t>
                      </w:r>
                      <w:r w:rsidRPr="00061893">
                        <w:rPr>
                          <w:rFonts w:ascii="Cambria" w:hAnsi="Cambria"/>
                          <w:sz w:val="20"/>
                          <w:szCs w:val="20"/>
                        </w:rPr>
                        <w:t xml:space="preserve">'il existe une base scientifique suffisante pour s'en écarter, la Commission devra réduire le TAC de </w:t>
                      </w:r>
                      <w:r w:rsidRPr="00061893">
                        <w:rPr>
                          <w:rFonts w:ascii="Cambria" w:hAnsi="Cambria"/>
                          <w:b/>
                          <w:bCs/>
                          <w:sz w:val="20"/>
                          <w:szCs w:val="20"/>
                        </w:rPr>
                        <w:t>20%</w:t>
                      </w:r>
                      <w:r w:rsidRPr="00061893">
                        <w:rPr>
                          <w:rFonts w:ascii="Cambria" w:hAnsi="Cambria"/>
                          <w:sz w:val="20"/>
                          <w:szCs w:val="20"/>
                        </w:rPr>
                        <w:t xml:space="preserve"> pour l'année suivante.</w:t>
                      </w:r>
                      <w:r w:rsidR="00DA7810" w:rsidRPr="00061893">
                        <w:rPr>
                          <w:rFonts w:ascii="Cambria" w:hAnsi="Cambria"/>
                          <w:sz w:val="20"/>
                          <w:szCs w:val="20"/>
                        </w:rPr>
                        <w:t xml:space="preserve"> </w:t>
                      </w:r>
                      <w:r w:rsidRPr="00061893">
                        <w:rPr>
                          <w:rFonts w:ascii="Cambria" w:hAnsi="Cambria"/>
                          <w:sz w:val="20"/>
                          <w:szCs w:val="20"/>
                        </w:rPr>
                        <w:t xml:space="preserve">En outre, selon les besoins et le cas, le SCRS devra réaliser une nouvelle évaluation du stock et/ou fournir un avis sur de nouvelles MP </w:t>
                      </w:r>
                      <w:r w:rsidR="00F32586">
                        <w:rPr>
                          <w:rFonts w:ascii="Cambria" w:hAnsi="Cambria"/>
                          <w:sz w:val="20"/>
                          <w:szCs w:val="20"/>
                        </w:rPr>
                        <w:t>potentielles</w:t>
                      </w:r>
                      <w:r w:rsidRPr="00061893">
                        <w:rPr>
                          <w:rFonts w:ascii="Cambria" w:hAnsi="Cambria"/>
                          <w:sz w:val="20"/>
                          <w:szCs w:val="20"/>
                        </w:rPr>
                        <w:t>, dès que possible.</w:t>
                      </w:r>
                    </w:p>
                  </w:txbxContent>
                </v:textbox>
                <w10:wrap anchorx="margin"/>
              </v:shape>
            </w:pict>
          </mc:Fallback>
        </mc:AlternateContent>
      </w:r>
      <w:r w:rsidR="006D3E16" w:rsidRPr="009558E6">
        <w:rPr>
          <w:rFonts w:asciiTheme="majorHAnsi" w:hAnsiTheme="majorHAnsi"/>
          <w:noProof/>
          <w:sz w:val="20"/>
          <w:szCs w:val="20"/>
        </w:rPr>
        <mc:AlternateContent>
          <mc:Choice Requires="wps">
            <w:drawing>
              <wp:anchor distT="0" distB="0" distL="114300" distR="114300" simplePos="0" relativeHeight="251670528" behindDoc="0" locked="0" layoutInCell="1" allowOverlap="1" wp14:anchorId="28689698" wp14:editId="415E8EF1">
                <wp:simplePos x="0" y="0"/>
                <wp:positionH relativeFrom="margin">
                  <wp:posOffset>4731026</wp:posOffset>
                </wp:positionH>
                <wp:positionV relativeFrom="paragraph">
                  <wp:posOffset>543313</wp:posOffset>
                </wp:positionV>
                <wp:extent cx="779228" cy="381662"/>
                <wp:effectExtent l="38100" t="0" r="1905" b="37465"/>
                <wp:wrapNone/>
                <wp:docPr id="30" name="矢印: 下 30"/>
                <wp:cNvGraphicFramePr/>
                <a:graphic xmlns:a="http://schemas.openxmlformats.org/drawingml/2006/main">
                  <a:graphicData uri="http://schemas.microsoft.com/office/word/2010/wordprocessingShape">
                    <wps:wsp>
                      <wps:cNvSpPr/>
                      <wps:spPr>
                        <a:xfrm>
                          <a:off x="0" y="0"/>
                          <a:ext cx="779228" cy="38166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D5344" id="矢印: 下 30" o:spid="_x0000_s1026" type="#_x0000_t67" style="position:absolute;margin-left:372.5pt;margin-top:42.8pt;width:61.35pt;height:30.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" adj="10800" fillcolor="#4f81bd" strokecolor="#385d8a" strokeweight="2pt">
                <w10:wrap anchorx="margin"/>
              </v:shape>
            </w:pict>
          </mc:Fallback>
        </mc:AlternateContent>
      </w:r>
    </w:p>
    <w:p w14:paraId="612C954B" w14:textId="5672CD5C" w:rsidR="00E246B5" w:rsidRPr="009558E6" w:rsidRDefault="00E40165" w:rsidP="00E246B5">
      <w:pPr>
        <w:spacing w:after="0" w:line="240" w:lineRule="auto"/>
        <w:contextualSpacing/>
        <w:jc w:val="right"/>
        <w:rPr>
          <w:rFonts w:asciiTheme="majorHAnsi" w:hAnsiTheme="majorHAnsi"/>
          <w:b/>
          <w:sz w:val="20"/>
          <w:szCs w:val="20"/>
        </w:rPr>
      </w:pPr>
      <w:r w:rsidRPr="009558E6">
        <w:rPr>
          <w:rFonts w:asciiTheme="majorHAnsi" w:hAnsiTheme="majorHAnsi"/>
          <w:b/>
          <w:sz w:val="20"/>
          <w:szCs w:val="20"/>
        </w:rPr>
        <w:lastRenderedPageBreak/>
        <w:t xml:space="preserve">Annexe </w:t>
      </w:r>
      <w:r w:rsidR="00F32586" w:rsidRPr="009558E6">
        <w:rPr>
          <w:rFonts w:asciiTheme="majorHAnsi" w:hAnsiTheme="majorHAnsi"/>
          <w:b/>
          <w:sz w:val="20"/>
          <w:szCs w:val="20"/>
        </w:rPr>
        <w:t>3</w:t>
      </w:r>
    </w:p>
    <w:p w14:paraId="67285691" w14:textId="77777777" w:rsidR="00E246B5" w:rsidRPr="009558E6" w:rsidRDefault="00E246B5" w:rsidP="0035431C">
      <w:pPr>
        <w:spacing w:after="0" w:line="240" w:lineRule="auto"/>
        <w:contextualSpacing/>
        <w:jc w:val="both"/>
        <w:rPr>
          <w:rFonts w:asciiTheme="majorHAnsi" w:hAnsiTheme="majorHAnsi"/>
          <w:b/>
          <w:sz w:val="20"/>
          <w:szCs w:val="20"/>
        </w:rPr>
      </w:pPr>
    </w:p>
    <w:p w14:paraId="3686781A" w14:textId="5665A717" w:rsidR="00B44D55" w:rsidRPr="009558E6" w:rsidRDefault="008E5148" w:rsidP="004D13E2">
      <w:pPr>
        <w:spacing w:after="0" w:line="240" w:lineRule="auto"/>
        <w:contextualSpacing/>
        <w:jc w:val="center"/>
        <w:rPr>
          <w:rFonts w:asciiTheme="majorHAnsi" w:hAnsiTheme="majorHAnsi" w:cs="Cambria"/>
          <w:b/>
          <w:bCs/>
          <w:sz w:val="20"/>
          <w:szCs w:val="20"/>
        </w:rPr>
      </w:pPr>
      <w:r w:rsidRPr="009558E6">
        <w:rPr>
          <w:rFonts w:asciiTheme="majorHAnsi" w:hAnsiTheme="majorHAnsi"/>
          <w:b/>
          <w:sz w:val="20"/>
          <w:szCs w:val="20"/>
        </w:rPr>
        <w:t>Procédure pour établir le total de prises admissibles pour chaque période de gestion</w:t>
      </w:r>
    </w:p>
    <w:p w14:paraId="553DBDB0" w14:textId="77777777" w:rsidR="00B44D55" w:rsidRPr="009558E6" w:rsidRDefault="00B44D55" w:rsidP="0035431C">
      <w:pPr>
        <w:autoSpaceDE w:val="0"/>
        <w:autoSpaceDN w:val="0"/>
        <w:adjustRightInd w:val="0"/>
        <w:spacing w:after="0" w:line="240" w:lineRule="auto"/>
        <w:contextualSpacing/>
        <w:rPr>
          <w:rFonts w:asciiTheme="majorHAnsi" w:hAnsiTheme="majorHAnsi" w:cs="Cambria"/>
          <w:sz w:val="20"/>
          <w:szCs w:val="20"/>
        </w:rPr>
      </w:pPr>
    </w:p>
    <w:p w14:paraId="3CA2F18A" w14:textId="1BF5C527" w:rsidR="00B44D55" w:rsidRPr="009558E6" w:rsidRDefault="00B44D55" w:rsidP="00BB4250">
      <w:pPr>
        <w:autoSpaceDE w:val="0"/>
        <w:autoSpaceDN w:val="0"/>
        <w:adjustRightInd w:val="0"/>
        <w:spacing w:after="0" w:line="240" w:lineRule="auto"/>
        <w:contextualSpacing/>
        <w:jc w:val="both"/>
        <w:rPr>
          <w:rFonts w:asciiTheme="majorHAnsi" w:hAnsiTheme="majorHAnsi" w:cs="Cambria"/>
          <w:sz w:val="20"/>
          <w:szCs w:val="20"/>
        </w:rPr>
      </w:pPr>
      <w:r w:rsidRPr="009558E6">
        <w:rPr>
          <w:rFonts w:asciiTheme="majorHAnsi" w:hAnsiTheme="majorHAnsi"/>
          <w:sz w:val="20"/>
          <w:szCs w:val="20"/>
        </w:rPr>
        <w:t xml:space="preserve">Le TAC constant annuel sur trois ans devra être établi sur la base des points de référence et de la procédure de gestion définis à </w:t>
      </w:r>
      <w:r w:rsidR="00BB4250" w:rsidRPr="009558E6">
        <w:rPr>
          <w:rFonts w:asciiTheme="majorHAnsi" w:hAnsiTheme="majorHAnsi"/>
          <w:sz w:val="20"/>
          <w:szCs w:val="20"/>
        </w:rPr>
        <w:t>l'</w:t>
      </w:r>
      <w:r w:rsidR="00BB4250" w:rsidRPr="009558E6">
        <w:rPr>
          <w:rFonts w:asciiTheme="majorHAnsi" w:hAnsiTheme="majorHAnsi"/>
          <w:b/>
          <w:bCs/>
          <w:sz w:val="20"/>
          <w:szCs w:val="20"/>
        </w:rPr>
        <w:t xml:space="preserve">annexe </w:t>
      </w:r>
      <w:r w:rsidR="006E24BD" w:rsidRPr="009558E6">
        <w:rPr>
          <w:rFonts w:asciiTheme="majorHAnsi" w:hAnsiTheme="majorHAnsi"/>
          <w:b/>
          <w:bCs/>
          <w:sz w:val="20"/>
          <w:szCs w:val="20"/>
        </w:rPr>
        <w:t>1</w:t>
      </w:r>
      <w:r w:rsidRPr="009558E6">
        <w:rPr>
          <w:rFonts w:asciiTheme="majorHAnsi" w:hAnsiTheme="majorHAnsi"/>
          <w:sz w:val="20"/>
          <w:szCs w:val="20"/>
        </w:rPr>
        <w:t xml:space="preserve"> ci-dessus : </w:t>
      </w:r>
    </w:p>
    <w:p w14:paraId="5219047D" w14:textId="77777777" w:rsidR="00B44D55" w:rsidRPr="009558E6" w:rsidRDefault="00B44D55" w:rsidP="0035431C">
      <w:pPr>
        <w:pStyle w:val="ListParagraph"/>
        <w:autoSpaceDE w:val="0"/>
        <w:autoSpaceDN w:val="0"/>
        <w:adjustRightInd w:val="0"/>
        <w:spacing w:after="0" w:line="240" w:lineRule="auto"/>
        <w:rPr>
          <w:rFonts w:asciiTheme="majorHAnsi" w:hAnsiTheme="majorHAnsi" w:cs="Cambria"/>
          <w:sz w:val="20"/>
          <w:szCs w:val="20"/>
        </w:rPr>
      </w:pPr>
    </w:p>
    <w:p w14:paraId="24CE0295" w14:textId="2960B267" w:rsidR="00B44D55" w:rsidRPr="009558E6" w:rsidRDefault="00B44D55" w:rsidP="008E5148">
      <w:pPr>
        <w:pStyle w:val="ListParagraph"/>
        <w:numPr>
          <w:ilvl w:val="1"/>
          <w:numId w:val="32"/>
        </w:numPr>
        <w:tabs>
          <w:tab w:val="left" w:pos="709"/>
        </w:tabs>
        <w:autoSpaceDE w:val="0"/>
        <w:autoSpaceDN w:val="0"/>
        <w:adjustRightInd w:val="0"/>
        <w:spacing w:after="0" w:line="240" w:lineRule="auto"/>
        <w:ind w:left="851" w:hanging="425"/>
        <w:jc w:val="both"/>
        <w:rPr>
          <w:rFonts w:asciiTheme="majorHAnsi" w:hAnsiTheme="majorHAnsi" w:cs="Cambria"/>
          <w:sz w:val="20"/>
          <w:szCs w:val="20"/>
        </w:rPr>
      </w:pPr>
      <w:r w:rsidRPr="009558E6">
        <w:rPr>
          <w:rFonts w:asciiTheme="majorHAnsi" w:hAnsiTheme="majorHAnsi"/>
          <w:sz w:val="20"/>
          <w:szCs w:val="20"/>
        </w:rPr>
        <w:t xml:space="preserve"> </w:t>
      </w:r>
      <w:r w:rsidR="006E24BD" w:rsidRPr="009558E6">
        <w:rPr>
          <w:rFonts w:asciiTheme="majorHAnsi" w:hAnsiTheme="majorHAnsi"/>
          <w:sz w:val="20"/>
          <w:szCs w:val="20"/>
        </w:rPr>
        <w:tab/>
      </w:r>
      <w:r w:rsidRPr="009558E6">
        <w:rPr>
          <w:rFonts w:asciiTheme="majorHAnsi" w:hAnsiTheme="majorHAnsi"/>
          <w:sz w:val="20"/>
          <w:szCs w:val="20"/>
        </w:rPr>
        <w:t>Si la biomasse actuelle (</w:t>
      </w:r>
      <w:r w:rsidR="008E5148" w:rsidRPr="009558E6">
        <w:rPr>
          <w:rFonts w:asciiTheme="majorHAnsi" w:hAnsiTheme="majorHAnsi"/>
          <w:sz w:val="20"/>
          <w:szCs w:val="20"/>
        </w:rPr>
        <w:t>B</w:t>
      </w:r>
      <w:r w:rsidR="008E5148" w:rsidRPr="009558E6">
        <w:rPr>
          <w:rFonts w:asciiTheme="majorHAnsi" w:hAnsiTheme="majorHAnsi"/>
          <w:smallCaps/>
          <w:sz w:val="20"/>
          <w:szCs w:val="20"/>
          <w:vertAlign w:val="subscript"/>
        </w:rPr>
        <w:t>actuelle</w:t>
      </w:r>
      <w:r w:rsidRPr="009558E6">
        <w:rPr>
          <w:rFonts w:asciiTheme="majorHAnsi" w:hAnsiTheme="majorHAnsi"/>
          <w:sz w:val="20"/>
          <w:szCs w:val="20"/>
        </w:rPr>
        <w:t xml:space="preserve">) est estimée se situer au niveau </w:t>
      </w:r>
      <w:r w:rsidR="006A34A5" w:rsidRPr="009558E6">
        <w:rPr>
          <w:rFonts w:asciiTheme="majorHAnsi" w:hAnsiTheme="majorHAnsi"/>
          <w:sz w:val="20"/>
          <w:szCs w:val="20"/>
        </w:rPr>
        <w:t xml:space="preserve">de la </w:t>
      </w:r>
      <w:r w:rsidR="006E24BD" w:rsidRPr="009558E6">
        <w:rPr>
          <w:rFonts w:asciiTheme="majorHAnsi" w:hAnsiTheme="majorHAnsi"/>
          <w:sz w:val="20"/>
          <w:szCs w:val="20"/>
        </w:rPr>
        <w:t>biomasse seuil</w:t>
      </w:r>
      <w:r w:rsidRPr="009558E6">
        <w:rPr>
          <w:rFonts w:asciiTheme="majorHAnsi" w:hAnsiTheme="majorHAnsi"/>
          <w:sz w:val="20"/>
          <w:szCs w:val="20"/>
        </w:rPr>
        <w:t xml:space="preserve">, ou au-delà (soit, </w:t>
      </w:r>
      <w:r w:rsidR="008E5148" w:rsidRPr="009558E6">
        <w:rPr>
          <w:rFonts w:asciiTheme="majorHAnsi" w:hAnsiTheme="majorHAnsi"/>
          <w:sz w:val="20"/>
          <w:szCs w:val="20"/>
        </w:rPr>
        <w:t>B</w:t>
      </w:r>
      <w:r w:rsidR="008E5148" w:rsidRPr="009558E6">
        <w:rPr>
          <w:rFonts w:asciiTheme="majorHAnsi" w:hAnsiTheme="majorHAnsi"/>
          <w:smallCaps/>
          <w:sz w:val="20"/>
          <w:szCs w:val="20"/>
          <w:vertAlign w:val="subscript"/>
        </w:rPr>
        <w:t>actuelle</w:t>
      </w:r>
      <w:r w:rsidR="008E5148" w:rsidRPr="009558E6">
        <w:rPr>
          <w:rFonts w:asciiTheme="majorHAnsi" w:hAnsiTheme="majorHAnsi"/>
          <w:sz w:val="20"/>
          <w:szCs w:val="20"/>
        </w:rPr>
        <w:t xml:space="preserve"> </w:t>
      </w:r>
      <w:r w:rsidRPr="009558E6">
        <w:rPr>
          <w:rFonts w:asciiTheme="majorHAnsi" w:hAnsiTheme="majorHAnsi"/>
          <w:sz w:val="20"/>
          <w:szCs w:val="20"/>
        </w:rPr>
        <w:t>≥ B</w:t>
      </w:r>
      <w:r w:rsidRPr="009558E6">
        <w:rPr>
          <w:rFonts w:asciiTheme="majorHAnsi" w:hAnsiTheme="majorHAnsi"/>
          <w:sz w:val="20"/>
          <w:szCs w:val="20"/>
          <w:vertAlign w:val="subscript"/>
        </w:rPr>
        <w:t>PME</w:t>
      </w:r>
      <w:r w:rsidRPr="009558E6">
        <w:rPr>
          <w:rFonts w:asciiTheme="majorHAnsi" w:hAnsiTheme="majorHAnsi"/>
          <w:sz w:val="20"/>
          <w:szCs w:val="20"/>
        </w:rPr>
        <w:t>), les limites de capture devront alors être établies à</w:t>
      </w:r>
      <w:r w:rsidR="008E5148" w:rsidRPr="009558E6">
        <w:rPr>
          <w:rFonts w:asciiTheme="majorHAnsi" w:hAnsiTheme="majorHAnsi"/>
          <w:sz w:val="20"/>
          <w:szCs w:val="20"/>
        </w:rPr>
        <w:t> :</w:t>
      </w:r>
    </w:p>
    <w:p w14:paraId="0E45D96F" w14:textId="77777777" w:rsidR="00B44D55" w:rsidRPr="009558E6" w:rsidRDefault="00B44D55" w:rsidP="006D3E16">
      <w:pPr>
        <w:pStyle w:val="ListParagraph"/>
        <w:autoSpaceDE w:val="0"/>
        <w:autoSpaceDN w:val="0"/>
        <w:adjustRightInd w:val="0"/>
        <w:spacing w:after="0" w:line="240" w:lineRule="auto"/>
        <w:ind w:left="851" w:hanging="425"/>
        <w:jc w:val="both"/>
        <w:rPr>
          <w:rFonts w:asciiTheme="majorHAnsi" w:hAnsiTheme="majorHAnsi" w:cs="Cambria"/>
          <w:sz w:val="20"/>
          <w:szCs w:val="20"/>
        </w:rPr>
      </w:pPr>
    </w:p>
    <w:p w14:paraId="28B33FDB" w14:textId="4D8DE454" w:rsidR="00B44D55" w:rsidRPr="009558E6" w:rsidRDefault="00B44D55" w:rsidP="008E5148">
      <w:pPr>
        <w:pStyle w:val="ListParagraph"/>
        <w:numPr>
          <w:ilvl w:val="2"/>
          <w:numId w:val="32"/>
        </w:numPr>
        <w:autoSpaceDE w:val="0"/>
        <w:autoSpaceDN w:val="0"/>
        <w:adjustRightInd w:val="0"/>
        <w:spacing w:after="0" w:line="240" w:lineRule="auto"/>
        <w:ind w:left="1276" w:hanging="283"/>
        <w:jc w:val="both"/>
        <w:rPr>
          <w:rFonts w:asciiTheme="majorHAnsi" w:hAnsiTheme="majorHAnsi" w:cs="Cambria"/>
          <w:sz w:val="20"/>
          <w:szCs w:val="20"/>
        </w:rPr>
      </w:pPr>
      <w:r w:rsidRPr="009558E6">
        <w:rPr>
          <w:rFonts w:asciiTheme="majorHAnsi" w:hAnsiTheme="majorHAnsi"/>
          <w:sz w:val="20"/>
          <w:szCs w:val="20"/>
        </w:rPr>
        <w:t>TAC = F</w:t>
      </w:r>
      <w:r w:rsidRPr="009558E6">
        <w:rPr>
          <w:rFonts w:asciiTheme="majorHAnsi" w:hAnsiTheme="majorHAnsi"/>
          <w:sz w:val="20"/>
          <w:szCs w:val="20"/>
          <w:vertAlign w:val="subscript"/>
        </w:rPr>
        <w:t>CIBLE</w:t>
      </w:r>
      <w:r w:rsidRPr="009558E6">
        <w:rPr>
          <w:rFonts w:asciiTheme="majorHAnsi" w:hAnsiTheme="majorHAnsi"/>
          <w:sz w:val="20"/>
          <w:szCs w:val="20"/>
        </w:rPr>
        <w:t xml:space="preserve"> * B</w:t>
      </w:r>
      <w:r w:rsidRPr="009558E6">
        <w:rPr>
          <w:rFonts w:asciiTheme="majorHAnsi" w:hAnsiTheme="majorHAnsi"/>
          <w:smallCaps/>
          <w:sz w:val="20"/>
          <w:szCs w:val="20"/>
          <w:vertAlign w:val="subscript"/>
        </w:rPr>
        <w:t>actuelle</w:t>
      </w:r>
    </w:p>
    <w:p w14:paraId="7FA587CD" w14:textId="77777777" w:rsidR="00B44D55" w:rsidRPr="009558E6" w:rsidRDefault="00B44D55" w:rsidP="0035431C">
      <w:pPr>
        <w:pStyle w:val="ListParagraph"/>
        <w:autoSpaceDE w:val="0"/>
        <w:autoSpaceDN w:val="0"/>
        <w:adjustRightInd w:val="0"/>
        <w:spacing w:after="0" w:line="240" w:lineRule="auto"/>
        <w:ind w:left="2160"/>
        <w:jc w:val="both"/>
        <w:rPr>
          <w:rFonts w:asciiTheme="majorHAnsi" w:hAnsiTheme="majorHAnsi" w:cs="Cambria"/>
          <w:sz w:val="20"/>
          <w:szCs w:val="20"/>
        </w:rPr>
      </w:pPr>
    </w:p>
    <w:p w14:paraId="0C57BC1C" w14:textId="14927155" w:rsidR="00B44D55" w:rsidRPr="009558E6" w:rsidRDefault="00B44D55" w:rsidP="006D3E16">
      <w:pPr>
        <w:pStyle w:val="ListParagraph"/>
        <w:numPr>
          <w:ilvl w:val="1"/>
          <w:numId w:val="32"/>
        </w:numPr>
        <w:autoSpaceDE w:val="0"/>
        <w:autoSpaceDN w:val="0"/>
        <w:adjustRightInd w:val="0"/>
        <w:spacing w:after="0" w:line="240" w:lineRule="auto"/>
        <w:ind w:left="851" w:hanging="425"/>
        <w:jc w:val="both"/>
        <w:rPr>
          <w:rFonts w:asciiTheme="majorHAnsi" w:hAnsiTheme="majorHAnsi" w:cs="Cambria"/>
          <w:sz w:val="20"/>
          <w:szCs w:val="20"/>
        </w:rPr>
      </w:pPr>
      <w:r w:rsidRPr="009558E6">
        <w:rPr>
          <w:rFonts w:asciiTheme="majorHAnsi" w:hAnsiTheme="majorHAnsi"/>
          <w:sz w:val="20"/>
          <w:szCs w:val="20"/>
        </w:rPr>
        <w:t>Si la biomasse actuelle (</w:t>
      </w:r>
      <w:r w:rsidR="006D3E16" w:rsidRPr="009558E6">
        <w:rPr>
          <w:rFonts w:asciiTheme="majorHAnsi" w:hAnsiTheme="majorHAnsi"/>
          <w:sz w:val="20"/>
          <w:szCs w:val="20"/>
        </w:rPr>
        <w:t>B</w:t>
      </w:r>
      <w:r w:rsidR="006D3E16" w:rsidRPr="009558E6">
        <w:rPr>
          <w:rFonts w:asciiTheme="majorHAnsi" w:hAnsiTheme="majorHAnsi"/>
          <w:sz w:val="20"/>
          <w:szCs w:val="20"/>
          <w:vertAlign w:val="subscript"/>
        </w:rPr>
        <w:t>actuelle</w:t>
      </w:r>
      <w:r w:rsidRPr="009558E6">
        <w:rPr>
          <w:rFonts w:asciiTheme="majorHAnsi" w:hAnsiTheme="majorHAnsi"/>
          <w:sz w:val="20"/>
          <w:szCs w:val="20"/>
        </w:rPr>
        <w:t>) est estimée se situer en dessous d</w:t>
      </w:r>
      <w:r w:rsidR="006E24BD" w:rsidRPr="009558E6">
        <w:rPr>
          <w:rFonts w:asciiTheme="majorHAnsi" w:hAnsiTheme="majorHAnsi"/>
          <w:sz w:val="20"/>
          <w:szCs w:val="20"/>
        </w:rPr>
        <w:t xml:space="preserve">e la biomasse </w:t>
      </w:r>
      <w:r w:rsidRPr="009558E6">
        <w:rPr>
          <w:rFonts w:asciiTheme="majorHAnsi" w:hAnsiTheme="majorHAnsi"/>
          <w:sz w:val="20"/>
          <w:szCs w:val="20"/>
        </w:rPr>
        <w:t>seuil mais au-delà de B</w:t>
      </w:r>
      <w:r w:rsidRPr="009558E6">
        <w:rPr>
          <w:rFonts w:asciiTheme="majorHAnsi" w:hAnsiTheme="majorHAnsi"/>
          <w:sz w:val="20"/>
          <w:szCs w:val="20"/>
          <w:vertAlign w:val="subscript"/>
        </w:rPr>
        <w:t>LIM</w:t>
      </w:r>
      <w:r w:rsidRPr="009558E6">
        <w:rPr>
          <w:rFonts w:asciiTheme="majorHAnsi" w:hAnsiTheme="majorHAnsi"/>
          <w:sz w:val="20"/>
          <w:szCs w:val="20"/>
        </w:rPr>
        <w:t xml:space="preserve"> (soit, </w:t>
      </w:r>
      <w:r w:rsidR="006D3E16" w:rsidRPr="009558E6">
        <w:rPr>
          <w:rFonts w:asciiTheme="majorHAnsi" w:hAnsiTheme="majorHAnsi"/>
          <w:sz w:val="20"/>
          <w:szCs w:val="20"/>
        </w:rPr>
        <w:t>B</w:t>
      </w:r>
      <w:r w:rsidR="006D3E16" w:rsidRPr="009558E6">
        <w:rPr>
          <w:rFonts w:asciiTheme="majorHAnsi" w:hAnsiTheme="majorHAnsi"/>
          <w:sz w:val="20"/>
          <w:szCs w:val="20"/>
          <w:vertAlign w:val="subscript"/>
        </w:rPr>
        <w:t>actuelle</w:t>
      </w:r>
      <w:r w:rsidR="006D3E16" w:rsidRPr="009558E6">
        <w:rPr>
          <w:rFonts w:asciiTheme="majorHAnsi" w:hAnsiTheme="majorHAnsi"/>
          <w:sz w:val="20"/>
          <w:szCs w:val="20"/>
        </w:rPr>
        <w:t xml:space="preserve"> </w:t>
      </w:r>
      <w:r w:rsidRPr="009558E6">
        <w:rPr>
          <w:rFonts w:asciiTheme="majorHAnsi" w:hAnsiTheme="majorHAnsi"/>
          <w:sz w:val="20"/>
          <w:szCs w:val="20"/>
        </w:rPr>
        <w:t>&gt; 0,4*B</w:t>
      </w:r>
      <w:r w:rsidRPr="009558E6">
        <w:rPr>
          <w:rFonts w:asciiTheme="majorHAnsi" w:hAnsiTheme="majorHAnsi"/>
          <w:sz w:val="20"/>
          <w:szCs w:val="20"/>
          <w:vertAlign w:val="superscript"/>
        </w:rPr>
        <w:t>PME</w:t>
      </w:r>
      <w:r w:rsidRPr="009558E6">
        <w:rPr>
          <w:rFonts w:asciiTheme="majorHAnsi" w:hAnsiTheme="majorHAnsi"/>
          <w:sz w:val="20"/>
          <w:szCs w:val="20"/>
        </w:rPr>
        <w:t>), l</w:t>
      </w:r>
      <w:r w:rsidR="00FC6216" w:rsidRPr="009558E6">
        <w:rPr>
          <w:rFonts w:asciiTheme="majorHAnsi" w:hAnsiTheme="majorHAnsi"/>
          <w:sz w:val="20"/>
          <w:szCs w:val="20"/>
        </w:rPr>
        <w:t>a</w:t>
      </w:r>
      <w:r w:rsidRPr="009558E6">
        <w:rPr>
          <w:rFonts w:asciiTheme="majorHAnsi" w:hAnsiTheme="majorHAnsi"/>
          <w:sz w:val="20"/>
          <w:szCs w:val="20"/>
        </w:rPr>
        <w:t xml:space="preserve"> limite de capture devr</w:t>
      </w:r>
      <w:r w:rsidR="00FC6216" w:rsidRPr="009558E6">
        <w:rPr>
          <w:rFonts w:asciiTheme="majorHAnsi" w:hAnsiTheme="majorHAnsi"/>
          <w:sz w:val="20"/>
          <w:szCs w:val="20"/>
        </w:rPr>
        <w:t>a</w:t>
      </w:r>
      <w:r w:rsidRPr="009558E6">
        <w:rPr>
          <w:rFonts w:asciiTheme="majorHAnsi" w:hAnsiTheme="majorHAnsi"/>
          <w:sz w:val="20"/>
          <w:szCs w:val="20"/>
        </w:rPr>
        <w:t xml:space="preserve"> alors être établie comme ci-après</w:t>
      </w:r>
      <w:r w:rsidR="00FC6216" w:rsidRPr="009558E6">
        <w:rPr>
          <w:rFonts w:asciiTheme="majorHAnsi" w:hAnsiTheme="majorHAnsi"/>
          <w:sz w:val="20"/>
          <w:szCs w:val="20"/>
        </w:rPr>
        <w:t xml:space="preserve"> </w:t>
      </w:r>
      <w:r w:rsidRPr="009558E6">
        <w:rPr>
          <w:rFonts w:asciiTheme="majorHAnsi" w:hAnsiTheme="majorHAnsi"/>
          <w:sz w:val="20"/>
          <w:szCs w:val="20"/>
        </w:rPr>
        <w:t xml:space="preserve">: </w:t>
      </w:r>
    </w:p>
    <w:p w14:paraId="1CD842BC" w14:textId="77777777" w:rsidR="00B44D55" w:rsidRPr="009558E6" w:rsidRDefault="00B44D55" w:rsidP="0035431C">
      <w:pPr>
        <w:pStyle w:val="ListParagraph"/>
        <w:autoSpaceDE w:val="0"/>
        <w:autoSpaceDN w:val="0"/>
        <w:adjustRightInd w:val="0"/>
        <w:spacing w:after="0" w:line="240" w:lineRule="auto"/>
        <w:ind w:left="1440"/>
        <w:jc w:val="both"/>
        <w:rPr>
          <w:rFonts w:asciiTheme="majorHAnsi" w:hAnsiTheme="majorHAnsi" w:cs="Cambria"/>
          <w:sz w:val="20"/>
          <w:szCs w:val="20"/>
        </w:rPr>
      </w:pPr>
    </w:p>
    <w:p w14:paraId="2F84E17E" w14:textId="454F1705" w:rsidR="00B44D55" w:rsidRPr="009558E6" w:rsidRDefault="00DA7810" w:rsidP="008E5148">
      <w:pPr>
        <w:pStyle w:val="ListParagraph"/>
        <w:numPr>
          <w:ilvl w:val="2"/>
          <w:numId w:val="32"/>
        </w:numPr>
        <w:autoSpaceDE w:val="0"/>
        <w:autoSpaceDN w:val="0"/>
        <w:adjustRightInd w:val="0"/>
        <w:spacing w:after="0" w:line="240" w:lineRule="auto"/>
        <w:ind w:left="1276" w:hanging="283"/>
        <w:jc w:val="both"/>
        <w:rPr>
          <w:rFonts w:asciiTheme="majorHAnsi" w:hAnsiTheme="majorHAnsi" w:cs="Cambria"/>
          <w:sz w:val="20"/>
          <w:szCs w:val="20"/>
        </w:rPr>
      </w:pPr>
      <w:r w:rsidRPr="009558E6">
        <w:rPr>
          <w:rFonts w:asciiTheme="majorHAnsi" w:hAnsiTheme="majorHAnsi"/>
          <w:sz w:val="20"/>
          <w:szCs w:val="20"/>
        </w:rPr>
        <w:t xml:space="preserve"> </w:t>
      </w:r>
      <w:r w:rsidR="00B44D55" w:rsidRPr="009558E6">
        <w:rPr>
          <w:rFonts w:asciiTheme="majorHAnsi" w:hAnsiTheme="majorHAnsi"/>
          <w:sz w:val="20"/>
          <w:szCs w:val="20"/>
        </w:rPr>
        <w:t>TAC = F</w:t>
      </w:r>
      <w:r w:rsidR="00B44D55" w:rsidRPr="009558E6">
        <w:rPr>
          <w:rFonts w:asciiTheme="majorHAnsi" w:hAnsiTheme="majorHAnsi"/>
          <w:sz w:val="20"/>
          <w:szCs w:val="20"/>
          <w:vertAlign w:val="subscript"/>
        </w:rPr>
        <w:t>prochaine</w:t>
      </w:r>
      <w:r w:rsidR="00B44D55" w:rsidRPr="009558E6">
        <w:rPr>
          <w:rFonts w:asciiTheme="majorHAnsi" w:hAnsiTheme="majorHAnsi"/>
          <w:sz w:val="20"/>
          <w:szCs w:val="20"/>
        </w:rPr>
        <w:t xml:space="preserve"> *</w:t>
      </w:r>
      <w:r w:rsidRPr="009558E6">
        <w:rPr>
          <w:rFonts w:asciiTheme="majorHAnsi" w:hAnsiTheme="majorHAnsi"/>
          <w:sz w:val="20"/>
          <w:szCs w:val="20"/>
        </w:rPr>
        <w:t xml:space="preserve"> </w:t>
      </w:r>
      <w:r w:rsidR="008E5148" w:rsidRPr="009558E6">
        <w:rPr>
          <w:rFonts w:asciiTheme="majorHAnsi" w:hAnsiTheme="majorHAnsi"/>
          <w:sz w:val="20"/>
          <w:szCs w:val="20"/>
        </w:rPr>
        <w:t>B</w:t>
      </w:r>
      <w:r w:rsidR="008E5148" w:rsidRPr="009558E6">
        <w:rPr>
          <w:rFonts w:asciiTheme="majorHAnsi" w:hAnsiTheme="majorHAnsi"/>
          <w:smallCaps/>
          <w:sz w:val="20"/>
          <w:szCs w:val="20"/>
          <w:vertAlign w:val="subscript"/>
        </w:rPr>
        <w:t>actuelle</w:t>
      </w:r>
    </w:p>
    <w:p w14:paraId="17CB6549" w14:textId="77777777" w:rsidR="00B44D55" w:rsidRPr="009558E6" w:rsidRDefault="00B44D55" w:rsidP="0035431C">
      <w:pPr>
        <w:autoSpaceDE w:val="0"/>
        <w:autoSpaceDN w:val="0"/>
        <w:adjustRightInd w:val="0"/>
        <w:spacing w:after="0" w:line="240" w:lineRule="auto"/>
        <w:contextualSpacing/>
        <w:jc w:val="both"/>
        <w:rPr>
          <w:rFonts w:asciiTheme="majorHAnsi" w:hAnsiTheme="majorHAnsi" w:cs="Cambria"/>
          <w:sz w:val="20"/>
          <w:szCs w:val="20"/>
        </w:rPr>
      </w:pPr>
    </w:p>
    <w:p w14:paraId="70F95212" w14:textId="131BB46D" w:rsidR="00B44D55" w:rsidRPr="009558E6" w:rsidRDefault="00C645BA" w:rsidP="00FC6216">
      <w:pPr>
        <w:autoSpaceDE w:val="0"/>
        <w:autoSpaceDN w:val="0"/>
        <w:adjustRightInd w:val="0"/>
        <w:spacing w:after="0" w:line="240" w:lineRule="auto"/>
        <w:ind w:left="993"/>
        <w:contextualSpacing/>
        <w:jc w:val="both"/>
        <w:rPr>
          <w:rFonts w:asciiTheme="majorHAnsi" w:hAnsiTheme="majorHAnsi" w:cs="Cambria"/>
          <w:sz w:val="20"/>
          <w:szCs w:val="20"/>
        </w:rPr>
      </w:pPr>
      <w:r w:rsidRPr="009558E6">
        <w:rPr>
          <w:rFonts w:asciiTheme="majorHAnsi" w:hAnsiTheme="majorHAnsi"/>
          <w:sz w:val="20"/>
          <w:szCs w:val="20"/>
        </w:rPr>
        <w:t>Les valeurs pour F</w:t>
      </w:r>
      <w:r w:rsidRPr="009558E6">
        <w:rPr>
          <w:rFonts w:asciiTheme="majorHAnsi" w:hAnsiTheme="majorHAnsi"/>
          <w:smallCaps/>
          <w:sz w:val="20"/>
          <w:szCs w:val="20"/>
          <w:vertAlign w:val="subscript"/>
        </w:rPr>
        <w:t>prochaine</w:t>
      </w:r>
      <w:r w:rsidRPr="009558E6">
        <w:rPr>
          <w:rFonts w:asciiTheme="majorHAnsi" w:hAnsiTheme="majorHAnsi"/>
          <w:sz w:val="20"/>
          <w:szCs w:val="20"/>
        </w:rPr>
        <w:t xml:space="preserve"> sont indiquées à l'</w:t>
      </w:r>
      <w:r w:rsidRPr="009558E6">
        <w:rPr>
          <w:rFonts w:asciiTheme="majorHAnsi" w:hAnsiTheme="majorHAnsi"/>
          <w:b/>
          <w:bCs/>
          <w:sz w:val="20"/>
          <w:szCs w:val="20"/>
        </w:rPr>
        <w:t>appendice C</w:t>
      </w:r>
      <w:r w:rsidRPr="009558E6">
        <w:rPr>
          <w:rFonts w:asciiTheme="majorHAnsi" w:hAnsiTheme="majorHAnsi"/>
          <w:sz w:val="20"/>
          <w:szCs w:val="20"/>
        </w:rPr>
        <w:t xml:space="preserve"> de </w:t>
      </w:r>
      <w:r w:rsidR="00BB4250" w:rsidRPr="009558E6">
        <w:rPr>
          <w:rFonts w:asciiTheme="majorHAnsi" w:hAnsiTheme="majorHAnsi"/>
          <w:sz w:val="20"/>
          <w:szCs w:val="20"/>
        </w:rPr>
        <w:t>l'</w:t>
      </w:r>
      <w:r w:rsidR="00BB4250" w:rsidRPr="009558E6">
        <w:rPr>
          <w:rFonts w:asciiTheme="majorHAnsi" w:hAnsiTheme="majorHAnsi"/>
          <w:b/>
          <w:bCs/>
          <w:sz w:val="20"/>
          <w:szCs w:val="20"/>
        </w:rPr>
        <w:t xml:space="preserve">annexe </w:t>
      </w:r>
      <w:r w:rsidR="00FC6216" w:rsidRPr="009558E6">
        <w:rPr>
          <w:rFonts w:asciiTheme="majorHAnsi" w:hAnsiTheme="majorHAnsi"/>
          <w:b/>
          <w:bCs/>
          <w:sz w:val="20"/>
          <w:szCs w:val="20"/>
        </w:rPr>
        <w:t>1</w:t>
      </w:r>
      <w:r w:rsidRPr="009558E6">
        <w:rPr>
          <w:rFonts w:asciiTheme="majorHAnsi" w:hAnsiTheme="majorHAnsi"/>
          <w:sz w:val="20"/>
          <w:szCs w:val="20"/>
        </w:rPr>
        <w:t xml:space="preserve"> et peuvent également être calculées par la formule décrite au paragraphe 4.c qui y est décrite.</w:t>
      </w:r>
    </w:p>
    <w:p w14:paraId="27CE715B" w14:textId="77777777" w:rsidR="00B44D55" w:rsidRPr="009558E6" w:rsidRDefault="00B44D55" w:rsidP="0035431C">
      <w:pPr>
        <w:autoSpaceDE w:val="0"/>
        <w:autoSpaceDN w:val="0"/>
        <w:adjustRightInd w:val="0"/>
        <w:spacing w:after="0" w:line="240" w:lineRule="auto"/>
        <w:ind w:left="1440"/>
        <w:contextualSpacing/>
        <w:jc w:val="both"/>
        <w:rPr>
          <w:rFonts w:asciiTheme="majorHAnsi" w:hAnsiTheme="majorHAnsi" w:cs="Cambria"/>
          <w:sz w:val="20"/>
          <w:szCs w:val="20"/>
        </w:rPr>
      </w:pPr>
    </w:p>
    <w:p w14:paraId="35DF6A6E" w14:textId="63F053A1" w:rsidR="00B44D55" w:rsidRPr="009558E6" w:rsidRDefault="00B44D55" w:rsidP="008E5148">
      <w:pPr>
        <w:pStyle w:val="ListParagraph"/>
        <w:numPr>
          <w:ilvl w:val="1"/>
          <w:numId w:val="32"/>
        </w:numPr>
        <w:autoSpaceDE w:val="0"/>
        <w:autoSpaceDN w:val="0"/>
        <w:adjustRightInd w:val="0"/>
        <w:spacing w:after="0" w:line="240" w:lineRule="auto"/>
        <w:ind w:left="851" w:hanging="425"/>
        <w:jc w:val="both"/>
        <w:rPr>
          <w:rFonts w:asciiTheme="majorHAnsi" w:hAnsiTheme="majorHAnsi" w:cs="Cambria"/>
          <w:sz w:val="20"/>
          <w:szCs w:val="20"/>
        </w:rPr>
      </w:pPr>
      <w:r w:rsidRPr="009558E6">
        <w:rPr>
          <w:rFonts w:asciiTheme="majorHAnsi" w:hAnsiTheme="majorHAnsi"/>
          <w:sz w:val="20"/>
          <w:szCs w:val="20"/>
        </w:rPr>
        <w:t>Si la biomasse actuelle (</w:t>
      </w:r>
      <w:r w:rsidR="008E5148" w:rsidRPr="009558E6">
        <w:rPr>
          <w:rFonts w:asciiTheme="majorHAnsi" w:hAnsiTheme="majorHAnsi"/>
          <w:sz w:val="20"/>
          <w:szCs w:val="20"/>
        </w:rPr>
        <w:t>B</w:t>
      </w:r>
      <w:r w:rsidR="008E5148" w:rsidRPr="009558E6">
        <w:rPr>
          <w:rFonts w:asciiTheme="majorHAnsi" w:hAnsiTheme="majorHAnsi"/>
          <w:smallCaps/>
          <w:sz w:val="20"/>
          <w:szCs w:val="20"/>
          <w:vertAlign w:val="subscript"/>
        </w:rPr>
        <w:t>actuelle</w:t>
      </w:r>
      <w:r w:rsidRPr="009558E6">
        <w:rPr>
          <w:rFonts w:asciiTheme="majorHAnsi" w:hAnsiTheme="majorHAnsi"/>
          <w:sz w:val="20"/>
          <w:szCs w:val="20"/>
        </w:rPr>
        <w:t>) est estimée se situer au niveau de B</w:t>
      </w:r>
      <w:r w:rsidRPr="009558E6">
        <w:rPr>
          <w:rFonts w:asciiTheme="majorHAnsi" w:hAnsiTheme="majorHAnsi"/>
          <w:sz w:val="20"/>
          <w:szCs w:val="20"/>
          <w:vertAlign w:val="subscript"/>
        </w:rPr>
        <w:t>LIM</w:t>
      </w:r>
      <w:r w:rsidRPr="009558E6">
        <w:rPr>
          <w:rFonts w:asciiTheme="majorHAnsi" w:hAnsiTheme="majorHAnsi"/>
          <w:sz w:val="20"/>
          <w:szCs w:val="20"/>
        </w:rPr>
        <w:t xml:space="preserve">, ou en dessous (soit, </w:t>
      </w:r>
      <w:r w:rsidR="008E5148" w:rsidRPr="009558E6">
        <w:rPr>
          <w:rFonts w:asciiTheme="majorHAnsi" w:hAnsiTheme="majorHAnsi"/>
          <w:sz w:val="20"/>
          <w:szCs w:val="20"/>
        </w:rPr>
        <w:t>B</w:t>
      </w:r>
      <w:r w:rsidR="008E5148" w:rsidRPr="009558E6">
        <w:rPr>
          <w:rFonts w:asciiTheme="majorHAnsi" w:hAnsiTheme="majorHAnsi"/>
          <w:smallCaps/>
          <w:sz w:val="20"/>
          <w:szCs w:val="20"/>
          <w:vertAlign w:val="subscript"/>
        </w:rPr>
        <w:t>actuelle</w:t>
      </w:r>
      <w:r w:rsidR="008E5148" w:rsidRPr="009558E6">
        <w:rPr>
          <w:rFonts w:asciiTheme="majorHAnsi" w:hAnsiTheme="majorHAnsi"/>
          <w:sz w:val="20"/>
          <w:szCs w:val="20"/>
        </w:rPr>
        <w:t xml:space="preserve"> </w:t>
      </w:r>
      <w:r w:rsidRPr="009558E6">
        <w:rPr>
          <w:rFonts w:asciiTheme="majorHAnsi" w:hAnsiTheme="majorHAnsi"/>
          <w:sz w:val="20"/>
          <w:szCs w:val="20"/>
        </w:rPr>
        <w:t>≤ 0,4*B</w:t>
      </w:r>
      <w:r w:rsidRPr="009558E6">
        <w:rPr>
          <w:rFonts w:asciiTheme="majorHAnsi" w:hAnsiTheme="majorHAnsi"/>
          <w:sz w:val="20"/>
          <w:szCs w:val="20"/>
          <w:vertAlign w:val="subscript"/>
        </w:rPr>
        <w:t>PME</w:t>
      </w:r>
      <w:r w:rsidRPr="009558E6">
        <w:rPr>
          <w:rFonts w:asciiTheme="majorHAnsi" w:hAnsiTheme="majorHAnsi"/>
          <w:sz w:val="20"/>
          <w:szCs w:val="20"/>
        </w:rPr>
        <w:t>), l</w:t>
      </w:r>
      <w:r w:rsidR="00FC6216" w:rsidRPr="009558E6">
        <w:rPr>
          <w:rFonts w:asciiTheme="majorHAnsi" w:hAnsiTheme="majorHAnsi"/>
          <w:sz w:val="20"/>
          <w:szCs w:val="20"/>
        </w:rPr>
        <w:t>a</w:t>
      </w:r>
      <w:r w:rsidRPr="009558E6">
        <w:rPr>
          <w:rFonts w:asciiTheme="majorHAnsi" w:hAnsiTheme="majorHAnsi"/>
          <w:sz w:val="20"/>
          <w:szCs w:val="20"/>
        </w:rPr>
        <w:t xml:space="preserve"> limite de capture devr</w:t>
      </w:r>
      <w:r w:rsidR="00FC6216" w:rsidRPr="009558E6">
        <w:rPr>
          <w:rFonts w:asciiTheme="majorHAnsi" w:hAnsiTheme="majorHAnsi"/>
          <w:sz w:val="20"/>
          <w:szCs w:val="20"/>
        </w:rPr>
        <w:t>a</w:t>
      </w:r>
      <w:r w:rsidRPr="009558E6">
        <w:rPr>
          <w:rFonts w:asciiTheme="majorHAnsi" w:hAnsiTheme="majorHAnsi"/>
          <w:sz w:val="20"/>
          <w:szCs w:val="20"/>
        </w:rPr>
        <w:t xml:space="preserve"> alors être établie comme ci-après : </w:t>
      </w:r>
    </w:p>
    <w:p w14:paraId="5702C48B" w14:textId="77777777" w:rsidR="00B44D55" w:rsidRPr="009558E6" w:rsidRDefault="00B44D55" w:rsidP="0035431C">
      <w:pPr>
        <w:pStyle w:val="ListParagraph"/>
        <w:autoSpaceDE w:val="0"/>
        <w:autoSpaceDN w:val="0"/>
        <w:adjustRightInd w:val="0"/>
        <w:spacing w:after="0" w:line="240" w:lineRule="auto"/>
        <w:ind w:left="1440"/>
        <w:jc w:val="both"/>
        <w:rPr>
          <w:rFonts w:asciiTheme="majorHAnsi" w:hAnsiTheme="majorHAnsi" w:cs="Cambria"/>
          <w:sz w:val="20"/>
          <w:szCs w:val="20"/>
        </w:rPr>
      </w:pPr>
    </w:p>
    <w:p w14:paraId="203AE662" w14:textId="482365CA" w:rsidR="00B44D55" w:rsidRPr="009558E6" w:rsidRDefault="00B44D55" w:rsidP="008E5148">
      <w:pPr>
        <w:pStyle w:val="ListParagraph"/>
        <w:numPr>
          <w:ilvl w:val="2"/>
          <w:numId w:val="32"/>
        </w:numPr>
        <w:autoSpaceDE w:val="0"/>
        <w:autoSpaceDN w:val="0"/>
        <w:adjustRightInd w:val="0"/>
        <w:spacing w:after="0" w:line="240" w:lineRule="auto"/>
        <w:ind w:left="1276" w:hanging="283"/>
        <w:jc w:val="both"/>
        <w:rPr>
          <w:rFonts w:asciiTheme="majorHAnsi" w:hAnsiTheme="majorHAnsi" w:cs="Cambria"/>
          <w:sz w:val="20"/>
          <w:szCs w:val="20"/>
        </w:rPr>
      </w:pPr>
      <w:r w:rsidRPr="009558E6">
        <w:rPr>
          <w:rFonts w:asciiTheme="majorHAnsi" w:hAnsiTheme="majorHAnsi"/>
          <w:sz w:val="20"/>
          <w:szCs w:val="20"/>
        </w:rPr>
        <w:t>TAC = F</w:t>
      </w:r>
      <w:r w:rsidRPr="009558E6">
        <w:rPr>
          <w:rFonts w:asciiTheme="majorHAnsi" w:hAnsiTheme="majorHAnsi"/>
          <w:sz w:val="20"/>
          <w:szCs w:val="20"/>
          <w:vertAlign w:val="subscript"/>
        </w:rPr>
        <w:t>min</w:t>
      </w:r>
      <w:r w:rsidRPr="009558E6">
        <w:rPr>
          <w:rFonts w:asciiTheme="majorHAnsi" w:hAnsiTheme="majorHAnsi"/>
          <w:sz w:val="20"/>
          <w:szCs w:val="20"/>
        </w:rPr>
        <w:t xml:space="preserve"> * </w:t>
      </w:r>
      <w:r w:rsidR="008E5148" w:rsidRPr="009558E6">
        <w:rPr>
          <w:rFonts w:asciiTheme="majorHAnsi" w:hAnsiTheme="majorHAnsi"/>
          <w:sz w:val="20"/>
          <w:szCs w:val="20"/>
        </w:rPr>
        <w:t>B</w:t>
      </w:r>
      <w:r w:rsidR="008E5148" w:rsidRPr="009558E6">
        <w:rPr>
          <w:rFonts w:asciiTheme="majorHAnsi" w:hAnsiTheme="majorHAnsi"/>
          <w:smallCaps/>
          <w:sz w:val="20"/>
          <w:szCs w:val="20"/>
          <w:vertAlign w:val="subscript"/>
        </w:rPr>
        <w:t>actuelle</w:t>
      </w:r>
    </w:p>
    <w:p w14:paraId="0EA507EF" w14:textId="77777777" w:rsidR="00B44D55" w:rsidRPr="009558E6" w:rsidRDefault="00B44D55" w:rsidP="0035431C">
      <w:pPr>
        <w:autoSpaceDE w:val="0"/>
        <w:autoSpaceDN w:val="0"/>
        <w:adjustRightInd w:val="0"/>
        <w:spacing w:after="0" w:line="240" w:lineRule="auto"/>
        <w:contextualSpacing/>
        <w:rPr>
          <w:rFonts w:asciiTheme="majorHAnsi" w:hAnsiTheme="majorHAnsi" w:cs="Cambria"/>
          <w:sz w:val="20"/>
          <w:szCs w:val="20"/>
        </w:rPr>
      </w:pPr>
    </w:p>
    <w:p w14:paraId="6C2E167E" w14:textId="77777777" w:rsidR="00B44D55" w:rsidRPr="009558E6" w:rsidRDefault="00B44D55" w:rsidP="00FC6216">
      <w:pPr>
        <w:autoSpaceDE w:val="0"/>
        <w:autoSpaceDN w:val="0"/>
        <w:adjustRightInd w:val="0"/>
        <w:spacing w:after="0" w:line="240" w:lineRule="auto"/>
        <w:ind w:left="851"/>
        <w:contextualSpacing/>
        <w:jc w:val="both"/>
        <w:rPr>
          <w:rFonts w:asciiTheme="majorHAnsi" w:hAnsiTheme="majorHAnsi" w:cs="Cambria"/>
          <w:sz w:val="20"/>
          <w:szCs w:val="20"/>
        </w:rPr>
      </w:pPr>
      <w:r w:rsidRPr="009558E6">
        <w:rPr>
          <w:rFonts w:asciiTheme="majorHAnsi" w:hAnsiTheme="majorHAnsi"/>
          <w:sz w:val="20"/>
          <w:szCs w:val="20"/>
        </w:rPr>
        <w:t xml:space="preserve">afin de garantir un niveau de capture à des fins de suivi scientifique. </w:t>
      </w:r>
    </w:p>
    <w:p w14:paraId="3F21C23B" w14:textId="77777777" w:rsidR="00B44D55" w:rsidRPr="009558E6" w:rsidRDefault="00B44D55" w:rsidP="00FC6216">
      <w:pPr>
        <w:autoSpaceDE w:val="0"/>
        <w:autoSpaceDN w:val="0"/>
        <w:adjustRightInd w:val="0"/>
        <w:spacing w:after="0" w:line="240" w:lineRule="auto"/>
        <w:ind w:left="851"/>
        <w:contextualSpacing/>
        <w:jc w:val="both"/>
        <w:rPr>
          <w:rFonts w:asciiTheme="majorHAnsi" w:hAnsiTheme="majorHAnsi"/>
          <w:sz w:val="20"/>
          <w:szCs w:val="20"/>
        </w:rPr>
      </w:pPr>
    </w:p>
    <w:p w14:paraId="0D251EFD" w14:textId="2F8F16D5" w:rsidR="00B44D55" w:rsidRPr="009558E6" w:rsidRDefault="00B44D55" w:rsidP="00FC6216">
      <w:pPr>
        <w:autoSpaceDE w:val="0"/>
        <w:autoSpaceDN w:val="0"/>
        <w:adjustRightInd w:val="0"/>
        <w:spacing w:after="0" w:line="240" w:lineRule="auto"/>
        <w:ind w:left="851"/>
        <w:contextualSpacing/>
        <w:jc w:val="both"/>
        <w:rPr>
          <w:rFonts w:asciiTheme="majorHAnsi" w:hAnsiTheme="majorHAnsi" w:cs="Cambria"/>
          <w:sz w:val="20"/>
          <w:szCs w:val="20"/>
        </w:rPr>
      </w:pPr>
      <w:r w:rsidRPr="009558E6">
        <w:rPr>
          <w:rFonts w:asciiTheme="majorHAnsi" w:hAnsiTheme="majorHAnsi"/>
          <w:sz w:val="20"/>
          <w:szCs w:val="20"/>
        </w:rPr>
        <w:t>Dans ce cas, la Commission devra immédiatement adopter des mesures de gestion sévères afin de ramener le taux de mortalité par pêche à F</w:t>
      </w:r>
      <w:r w:rsidRPr="009558E6">
        <w:rPr>
          <w:rFonts w:asciiTheme="majorHAnsi" w:hAnsiTheme="majorHAnsi"/>
          <w:sz w:val="20"/>
          <w:szCs w:val="20"/>
          <w:vertAlign w:val="subscript"/>
        </w:rPr>
        <w:t>min</w:t>
      </w:r>
      <w:r w:rsidRPr="009558E6">
        <w:rPr>
          <w:rFonts w:asciiTheme="majorHAnsi" w:hAnsiTheme="majorHAnsi"/>
          <w:sz w:val="20"/>
          <w:szCs w:val="20"/>
        </w:rPr>
        <w:t>, y compris des mesures visant à réduire la pêche jusqu'à un niveau qui ne dépasse</w:t>
      </w:r>
      <w:r w:rsidR="00836483" w:rsidRPr="009558E6">
        <w:rPr>
          <w:rFonts w:asciiTheme="majorHAnsi" w:hAnsiTheme="majorHAnsi"/>
          <w:sz w:val="20"/>
          <w:szCs w:val="20"/>
        </w:rPr>
        <w:t>rait</w:t>
      </w:r>
      <w:r w:rsidRPr="009558E6">
        <w:rPr>
          <w:rFonts w:asciiTheme="majorHAnsi" w:hAnsiTheme="majorHAnsi"/>
          <w:sz w:val="20"/>
          <w:szCs w:val="20"/>
        </w:rPr>
        <w:t xml:space="preserve"> pas ce niveau et à </w:t>
      </w:r>
      <w:r w:rsidR="00115BC6" w:rsidRPr="009558E6">
        <w:rPr>
          <w:rFonts w:asciiTheme="majorHAnsi" w:hAnsiTheme="majorHAnsi"/>
          <w:sz w:val="20"/>
          <w:szCs w:val="20"/>
        </w:rPr>
        <w:t xml:space="preserve">mettre en </w:t>
      </w:r>
      <w:r w:rsidR="00595F98" w:rsidRPr="009558E6">
        <w:rPr>
          <w:rFonts w:asciiTheme="majorHAnsi" w:hAnsiTheme="majorHAnsi"/>
          <w:sz w:val="20"/>
          <w:szCs w:val="20"/>
        </w:rPr>
        <w:t>œuvre</w:t>
      </w:r>
      <w:r w:rsidRPr="009558E6">
        <w:rPr>
          <w:rFonts w:asciiTheme="majorHAnsi" w:hAnsiTheme="majorHAnsi"/>
          <w:sz w:val="20"/>
          <w:szCs w:val="20"/>
        </w:rPr>
        <w:t xml:space="preserve"> un quota de surveillance scientifique afin de pouvoir évaluer l'état du stock. La Commission ne devra pas envisager de rouvrir la pêche au-delà de ce niveau tant que la biomasse actuelle (</w:t>
      </w:r>
      <w:r w:rsidR="008E5148" w:rsidRPr="009558E6">
        <w:rPr>
          <w:rFonts w:asciiTheme="majorHAnsi" w:hAnsiTheme="majorHAnsi"/>
          <w:sz w:val="20"/>
          <w:szCs w:val="20"/>
        </w:rPr>
        <w:t>B</w:t>
      </w:r>
      <w:r w:rsidR="008E5148" w:rsidRPr="009558E6">
        <w:rPr>
          <w:rFonts w:asciiTheme="majorHAnsi" w:hAnsiTheme="majorHAnsi"/>
          <w:smallCaps/>
          <w:sz w:val="20"/>
          <w:szCs w:val="20"/>
          <w:vertAlign w:val="subscript"/>
        </w:rPr>
        <w:t>actuelle</w:t>
      </w:r>
      <w:r w:rsidRPr="009558E6">
        <w:rPr>
          <w:rFonts w:asciiTheme="majorHAnsi" w:hAnsiTheme="majorHAnsi"/>
          <w:sz w:val="20"/>
          <w:szCs w:val="20"/>
        </w:rPr>
        <w:t>) ne dépasse</w:t>
      </w:r>
      <w:r w:rsidR="00836483" w:rsidRPr="009558E6">
        <w:rPr>
          <w:rFonts w:asciiTheme="majorHAnsi" w:hAnsiTheme="majorHAnsi"/>
          <w:sz w:val="20"/>
          <w:szCs w:val="20"/>
        </w:rPr>
        <w:t>ra</w:t>
      </w:r>
      <w:r w:rsidRPr="009558E6">
        <w:rPr>
          <w:rFonts w:asciiTheme="majorHAnsi" w:hAnsiTheme="majorHAnsi"/>
          <w:sz w:val="20"/>
          <w:szCs w:val="20"/>
        </w:rPr>
        <w:t xml:space="preserve"> pas B</w:t>
      </w:r>
      <w:r w:rsidRPr="009558E6">
        <w:rPr>
          <w:rFonts w:asciiTheme="majorHAnsi" w:hAnsiTheme="majorHAnsi"/>
          <w:sz w:val="20"/>
          <w:szCs w:val="20"/>
          <w:vertAlign w:val="subscript"/>
        </w:rPr>
        <w:t>LIM</w:t>
      </w:r>
      <w:r w:rsidRPr="009558E6">
        <w:rPr>
          <w:rFonts w:asciiTheme="majorHAnsi" w:hAnsiTheme="majorHAnsi"/>
          <w:sz w:val="20"/>
          <w:szCs w:val="20"/>
        </w:rPr>
        <w:t xml:space="preserve"> avec une forte probabilité. En outre, avant de rouvrir la pêche</w:t>
      </w:r>
      <w:r w:rsidR="00115BC6" w:rsidRPr="009558E6">
        <w:rPr>
          <w:rFonts w:asciiTheme="majorHAnsi" w:hAnsiTheme="majorHAnsi"/>
          <w:sz w:val="20"/>
          <w:szCs w:val="20"/>
        </w:rPr>
        <w:t xml:space="preserve"> au-delà de ce niveau</w:t>
      </w:r>
      <w:r w:rsidRPr="009558E6">
        <w:rPr>
          <w:rFonts w:asciiTheme="majorHAnsi" w:hAnsiTheme="majorHAnsi"/>
          <w:sz w:val="20"/>
          <w:szCs w:val="20"/>
        </w:rPr>
        <w:t>,</w:t>
      </w:r>
      <w:r w:rsidR="00115BC6" w:rsidRPr="009558E6">
        <w:rPr>
          <w:rFonts w:asciiTheme="majorHAnsi" w:hAnsiTheme="majorHAnsi"/>
          <w:sz w:val="20"/>
          <w:szCs w:val="20"/>
        </w:rPr>
        <w:t xml:space="preserve"> </w:t>
      </w:r>
      <w:r w:rsidRPr="009558E6">
        <w:rPr>
          <w:rFonts w:asciiTheme="majorHAnsi" w:hAnsiTheme="majorHAnsi"/>
          <w:sz w:val="20"/>
          <w:szCs w:val="20"/>
        </w:rPr>
        <w:t xml:space="preserve">la Commission devra élaborer un programme de rétablissement afin de garantir le retour du stock dans le quadrant vert du diagramme de Kobe, conformément aux termes de la </w:t>
      </w:r>
      <w:r w:rsidRPr="009558E6">
        <w:rPr>
          <w:rFonts w:asciiTheme="majorHAnsi" w:hAnsiTheme="majorHAnsi"/>
          <w:i/>
          <w:iCs/>
          <w:sz w:val="20"/>
          <w:szCs w:val="20"/>
        </w:rPr>
        <w:t>Recommandation de l'ICCAT sur les principes de la prise de décisions sur des mesures de conservation et de gestion de l’ICCAT</w:t>
      </w:r>
      <w:r w:rsidRPr="009558E6">
        <w:rPr>
          <w:rFonts w:asciiTheme="majorHAnsi" w:hAnsiTheme="majorHAnsi"/>
          <w:sz w:val="20"/>
          <w:szCs w:val="20"/>
        </w:rPr>
        <w:t xml:space="preserve"> (Rec. 11-13).</w:t>
      </w:r>
    </w:p>
    <w:p w14:paraId="6422834F" w14:textId="77777777" w:rsidR="00B44D55" w:rsidRPr="009558E6" w:rsidRDefault="00B44D55" w:rsidP="00FC6216">
      <w:pPr>
        <w:autoSpaceDE w:val="0"/>
        <w:autoSpaceDN w:val="0"/>
        <w:adjustRightInd w:val="0"/>
        <w:spacing w:after="0" w:line="240" w:lineRule="auto"/>
        <w:ind w:left="851"/>
        <w:contextualSpacing/>
        <w:rPr>
          <w:rFonts w:asciiTheme="majorHAnsi" w:hAnsiTheme="majorHAnsi" w:cs="Cambria"/>
          <w:strike/>
          <w:sz w:val="20"/>
          <w:szCs w:val="20"/>
        </w:rPr>
      </w:pPr>
    </w:p>
    <w:p w14:paraId="630E1805" w14:textId="34E3B173" w:rsidR="004836FE" w:rsidRPr="009558E6" w:rsidRDefault="00B44D55" w:rsidP="008E5148">
      <w:pPr>
        <w:pStyle w:val="ListParagraph"/>
        <w:numPr>
          <w:ilvl w:val="1"/>
          <w:numId w:val="32"/>
        </w:numPr>
        <w:autoSpaceDE w:val="0"/>
        <w:autoSpaceDN w:val="0"/>
        <w:adjustRightInd w:val="0"/>
        <w:spacing w:after="0" w:line="240" w:lineRule="auto"/>
        <w:ind w:left="851" w:hanging="425"/>
        <w:jc w:val="both"/>
        <w:rPr>
          <w:rFonts w:asciiTheme="majorHAnsi" w:hAnsiTheme="majorHAnsi" w:cs="Cambria"/>
          <w:sz w:val="20"/>
          <w:szCs w:val="20"/>
        </w:rPr>
      </w:pPr>
      <w:r w:rsidRPr="009558E6">
        <w:rPr>
          <w:rFonts w:asciiTheme="majorHAnsi" w:hAnsiTheme="majorHAnsi"/>
          <w:sz w:val="20"/>
          <w:szCs w:val="20"/>
        </w:rPr>
        <w:t>La limite de capture découlant des calculs ci-dessous devra se situer en-deçà de la limite de capture maximale (C</w:t>
      </w:r>
      <w:r w:rsidR="00836483" w:rsidRPr="009558E6">
        <w:rPr>
          <w:rFonts w:asciiTheme="majorHAnsi" w:hAnsiTheme="majorHAnsi"/>
          <w:sz w:val="20"/>
          <w:szCs w:val="20"/>
          <w:vertAlign w:val="subscript"/>
        </w:rPr>
        <w:t>MAX</w:t>
      </w:r>
      <w:r w:rsidRPr="009558E6">
        <w:rPr>
          <w:rFonts w:asciiTheme="majorHAnsi" w:hAnsiTheme="majorHAnsi"/>
          <w:sz w:val="20"/>
          <w:szCs w:val="20"/>
        </w:rPr>
        <w:t>), comme indiqué au paragraphe 4</w:t>
      </w:r>
      <w:r w:rsidR="00BB4250" w:rsidRPr="009558E6">
        <w:rPr>
          <w:rFonts w:asciiTheme="majorHAnsi" w:hAnsiTheme="majorHAnsi"/>
          <w:sz w:val="20"/>
          <w:szCs w:val="20"/>
        </w:rPr>
        <w:t>(</w:t>
      </w:r>
      <w:r w:rsidRPr="009558E6">
        <w:rPr>
          <w:rFonts w:asciiTheme="majorHAnsi" w:hAnsiTheme="majorHAnsi"/>
          <w:sz w:val="20"/>
          <w:szCs w:val="20"/>
        </w:rPr>
        <w:t>e</w:t>
      </w:r>
      <w:r w:rsidR="00BB4250" w:rsidRPr="009558E6">
        <w:rPr>
          <w:rFonts w:asciiTheme="majorHAnsi" w:hAnsiTheme="majorHAnsi"/>
          <w:sz w:val="20"/>
          <w:szCs w:val="20"/>
        </w:rPr>
        <w:t>)</w:t>
      </w:r>
      <w:r w:rsidRPr="009558E6">
        <w:rPr>
          <w:rFonts w:asciiTheme="majorHAnsi" w:hAnsiTheme="majorHAnsi"/>
          <w:sz w:val="20"/>
          <w:szCs w:val="20"/>
        </w:rPr>
        <w:t xml:space="preserve"> de l’</w:t>
      </w:r>
      <w:r w:rsidR="00836483" w:rsidRPr="009558E6">
        <w:rPr>
          <w:rFonts w:asciiTheme="majorHAnsi" w:hAnsiTheme="majorHAnsi"/>
          <w:b/>
          <w:bCs/>
          <w:sz w:val="20"/>
          <w:szCs w:val="20"/>
        </w:rPr>
        <w:t>a</w:t>
      </w:r>
      <w:r w:rsidRPr="009558E6">
        <w:rPr>
          <w:rFonts w:asciiTheme="majorHAnsi" w:hAnsiTheme="majorHAnsi"/>
          <w:b/>
          <w:bCs/>
          <w:sz w:val="20"/>
          <w:szCs w:val="20"/>
        </w:rPr>
        <w:t xml:space="preserve">nnexe </w:t>
      </w:r>
      <w:r w:rsidR="00836483" w:rsidRPr="009558E6">
        <w:rPr>
          <w:rFonts w:asciiTheme="majorHAnsi" w:hAnsiTheme="majorHAnsi"/>
          <w:b/>
          <w:bCs/>
          <w:sz w:val="20"/>
          <w:szCs w:val="20"/>
        </w:rPr>
        <w:t>1</w:t>
      </w:r>
      <w:r w:rsidRPr="009558E6">
        <w:rPr>
          <w:rFonts w:asciiTheme="majorHAnsi" w:hAnsiTheme="majorHAnsi"/>
          <w:sz w:val="20"/>
          <w:szCs w:val="20"/>
        </w:rPr>
        <w:t>, et ne devr</w:t>
      </w:r>
      <w:r w:rsidR="00836483" w:rsidRPr="009558E6">
        <w:rPr>
          <w:rFonts w:asciiTheme="majorHAnsi" w:hAnsiTheme="majorHAnsi"/>
          <w:sz w:val="20"/>
          <w:szCs w:val="20"/>
        </w:rPr>
        <w:t>a</w:t>
      </w:r>
      <w:r w:rsidRPr="009558E6">
        <w:rPr>
          <w:rFonts w:asciiTheme="majorHAnsi" w:hAnsiTheme="majorHAnsi"/>
          <w:sz w:val="20"/>
          <w:szCs w:val="20"/>
        </w:rPr>
        <w:t xml:space="preserve"> pas être augmentée de plus de 25% ou réduite de plus de 20% par rapport </w:t>
      </w:r>
      <w:r w:rsidR="00836483" w:rsidRPr="009558E6">
        <w:rPr>
          <w:rFonts w:asciiTheme="majorHAnsi" w:hAnsiTheme="majorHAnsi"/>
          <w:sz w:val="20"/>
          <w:szCs w:val="20"/>
        </w:rPr>
        <w:t>à la</w:t>
      </w:r>
      <w:r w:rsidRPr="009558E6">
        <w:rPr>
          <w:rFonts w:asciiTheme="majorHAnsi" w:hAnsiTheme="majorHAnsi"/>
          <w:sz w:val="20"/>
          <w:szCs w:val="20"/>
        </w:rPr>
        <w:t xml:space="preserve"> limite de capture précédente, sauf lorsque B</w:t>
      </w:r>
      <w:r w:rsidR="00595F98" w:rsidRPr="009558E6">
        <w:rPr>
          <w:rFonts w:asciiTheme="majorHAnsi" w:hAnsiTheme="majorHAnsi"/>
          <w:smallCaps/>
          <w:sz w:val="20"/>
          <w:szCs w:val="20"/>
          <w:vertAlign w:val="subscript"/>
        </w:rPr>
        <w:t>actuelle</w:t>
      </w:r>
      <w:r w:rsidRPr="009558E6">
        <w:rPr>
          <w:rFonts w:asciiTheme="majorHAnsi" w:hAnsiTheme="majorHAnsi"/>
          <w:sz w:val="20"/>
          <w:szCs w:val="20"/>
        </w:rPr>
        <w:t xml:space="preserve"> </w:t>
      </w:r>
      <w:r w:rsidR="00115BC6" w:rsidRPr="009558E6">
        <w:rPr>
          <w:rFonts w:asciiTheme="majorHAnsi" w:hAnsiTheme="majorHAnsi"/>
          <w:sz w:val="20"/>
          <w:szCs w:val="20"/>
        </w:rPr>
        <w:t>&lt;</w:t>
      </w:r>
      <w:r w:rsidRPr="009558E6">
        <w:rPr>
          <w:rFonts w:asciiTheme="majorHAnsi" w:hAnsiTheme="majorHAnsi"/>
          <w:sz w:val="20"/>
          <w:szCs w:val="20"/>
        </w:rPr>
        <w:t xml:space="preserve"> B</w:t>
      </w:r>
      <w:r w:rsidR="00115BC6" w:rsidRPr="009558E6">
        <w:rPr>
          <w:rFonts w:asciiTheme="majorHAnsi" w:hAnsiTheme="majorHAnsi"/>
          <w:sz w:val="20"/>
          <w:szCs w:val="20"/>
          <w:vertAlign w:val="subscript"/>
        </w:rPr>
        <w:t>SEUIL</w:t>
      </w:r>
      <w:r w:rsidRPr="009558E6">
        <w:rPr>
          <w:rFonts w:asciiTheme="majorHAnsi" w:hAnsiTheme="majorHAnsi"/>
          <w:sz w:val="20"/>
          <w:szCs w:val="20"/>
        </w:rPr>
        <w:t xml:space="preserve"> ou sauf indication contraire en vertu d’une réponse de gestion convenue lorsque le SCRS détermine</w:t>
      </w:r>
      <w:r w:rsidR="009948AC" w:rsidRPr="009558E6">
        <w:rPr>
          <w:rFonts w:asciiTheme="majorHAnsi" w:hAnsiTheme="majorHAnsi"/>
          <w:sz w:val="20"/>
          <w:szCs w:val="20"/>
        </w:rPr>
        <w:t>ra</w:t>
      </w:r>
      <w:r w:rsidRPr="009558E6">
        <w:rPr>
          <w:rFonts w:asciiTheme="majorHAnsi" w:hAnsiTheme="majorHAnsi"/>
          <w:sz w:val="20"/>
          <w:szCs w:val="20"/>
        </w:rPr>
        <w:t xml:space="preserve"> que des circonstances exceptionnelles se sont produites conformément à l</w:t>
      </w:r>
      <w:r w:rsidRPr="009558E6">
        <w:rPr>
          <w:rFonts w:asciiTheme="majorHAnsi" w:hAnsiTheme="majorHAnsi"/>
          <w:b/>
          <w:bCs/>
          <w:sz w:val="20"/>
          <w:szCs w:val="20"/>
        </w:rPr>
        <w:t xml:space="preserve">’annexe </w:t>
      </w:r>
      <w:r w:rsidR="009948AC" w:rsidRPr="009558E6">
        <w:rPr>
          <w:rFonts w:asciiTheme="majorHAnsi" w:hAnsiTheme="majorHAnsi"/>
          <w:b/>
          <w:bCs/>
          <w:sz w:val="20"/>
          <w:szCs w:val="20"/>
        </w:rPr>
        <w:t xml:space="preserve">2 </w:t>
      </w:r>
      <w:r w:rsidRPr="009558E6">
        <w:rPr>
          <w:rFonts w:asciiTheme="majorHAnsi" w:hAnsiTheme="majorHAnsi"/>
          <w:sz w:val="20"/>
          <w:szCs w:val="20"/>
        </w:rPr>
        <w:t>de la présente Recommandation.</w:t>
      </w:r>
    </w:p>
    <w:p w14:paraId="3E660AE7" w14:textId="77777777" w:rsidR="004836FE" w:rsidRPr="009558E6" w:rsidRDefault="004836FE" w:rsidP="0035431C">
      <w:pPr>
        <w:pStyle w:val="ListParagraph"/>
        <w:autoSpaceDE w:val="0"/>
        <w:autoSpaceDN w:val="0"/>
        <w:adjustRightInd w:val="0"/>
        <w:spacing w:after="0" w:line="240" w:lineRule="auto"/>
        <w:ind w:left="1440"/>
        <w:jc w:val="both"/>
        <w:rPr>
          <w:rFonts w:asciiTheme="majorHAnsi" w:hAnsiTheme="majorHAnsi" w:cs="Cambria"/>
          <w:sz w:val="20"/>
          <w:szCs w:val="20"/>
        </w:rPr>
      </w:pPr>
    </w:p>
    <w:p w14:paraId="74FA637A" w14:textId="74BB8596" w:rsidR="004457F2" w:rsidRPr="009558E6" w:rsidRDefault="00B44D55" w:rsidP="008E5148">
      <w:pPr>
        <w:pStyle w:val="ListParagraph"/>
        <w:numPr>
          <w:ilvl w:val="1"/>
          <w:numId w:val="32"/>
        </w:numPr>
        <w:autoSpaceDE w:val="0"/>
        <w:autoSpaceDN w:val="0"/>
        <w:adjustRightInd w:val="0"/>
        <w:spacing w:after="0" w:line="240" w:lineRule="auto"/>
        <w:ind w:left="851" w:hanging="425"/>
        <w:jc w:val="both"/>
        <w:rPr>
          <w:rFonts w:asciiTheme="majorHAnsi" w:hAnsiTheme="majorHAnsi"/>
          <w:sz w:val="20"/>
          <w:szCs w:val="20"/>
        </w:rPr>
      </w:pPr>
      <w:r w:rsidRPr="009558E6">
        <w:rPr>
          <w:rFonts w:asciiTheme="majorHAnsi" w:hAnsiTheme="majorHAnsi"/>
          <w:sz w:val="20"/>
          <w:szCs w:val="20"/>
        </w:rPr>
        <w:t>Dans le cas du sous-paragraphe (c) ci-dessus, l</w:t>
      </w:r>
      <w:r w:rsidR="009948AC" w:rsidRPr="009558E6">
        <w:rPr>
          <w:rFonts w:asciiTheme="majorHAnsi" w:hAnsiTheme="majorHAnsi"/>
          <w:sz w:val="20"/>
          <w:szCs w:val="20"/>
        </w:rPr>
        <w:t>a</w:t>
      </w:r>
      <w:r w:rsidRPr="009558E6">
        <w:rPr>
          <w:rFonts w:asciiTheme="majorHAnsi" w:hAnsiTheme="majorHAnsi"/>
          <w:sz w:val="20"/>
          <w:szCs w:val="20"/>
        </w:rPr>
        <w:t xml:space="preserve"> limite de capture pourrait être établie à un niveau inférieur à F</w:t>
      </w:r>
      <w:r w:rsidRPr="009558E6">
        <w:rPr>
          <w:rFonts w:asciiTheme="majorHAnsi" w:hAnsiTheme="majorHAnsi"/>
          <w:smallCaps/>
          <w:sz w:val="20"/>
          <w:szCs w:val="20"/>
          <w:vertAlign w:val="subscript"/>
        </w:rPr>
        <w:t>min </w:t>
      </w:r>
      <w:r w:rsidRPr="009558E6">
        <w:rPr>
          <w:rFonts w:asciiTheme="majorHAnsi" w:hAnsiTheme="majorHAnsi"/>
          <w:sz w:val="20"/>
          <w:szCs w:val="20"/>
        </w:rPr>
        <w:t>* B</w:t>
      </w:r>
      <w:r w:rsidR="009948AC" w:rsidRPr="009558E6">
        <w:rPr>
          <w:rFonts w:asciiTheme="majorHAnsi" w:hAnsiTheme="majorHAnsi"/>
          <w:sz w:val="20"/>
          <w:szCs w:val="20"/>
          <w:vertAlign w:val="subscript"/>
        </w:rPr>
        <w:t>ACTUELLE</w:t>
      </w:r>
      <w:r w:rsidRPr="009558E6">
        <w:rPr>
          <w:rFonts w:asciiTheme="majorHAnsi" w:hAnsiTheme="majorHAnsi"/>
          <w:sz w:val="20"/>
          <w:szCs w:val="20"/>
        </w:rPr>
        <w:t xml:space="preserve"> si le SCRS considère qu’elle </w:t>
      </w:r>
      <w:r w:rsidR="009948AC" w:rsidRPr="009558E6">
        <w:rPr>
          <w:rFonts w:asciiTheme="majorHAnsi" w:hAnsiTheme="majorHAnsi"/>
          <w:sz w:val="20"/>
          <w:szCs w:val="20"/>
        </w:rPr>
        <w:t>est</w:t>
      </w:r>
      <w:r w:rsidRPr="009558E6">
        <w:rPr>
          <w:rFonts w:asciiTheme="majorHAnsi" w:hAnsiTheme="majorHAnsi"/>
          <w:sz w:val="20"/>
          <w:szCs w:val="20"/>
        </w:rPr>
        <w:t xml:space="preserve"> suffisante pour garantir un niveau de capture </w:t>
      </w:r>
      <w:r w:rsidR="00CB5D5E" w:rsidRPr="009558E6">
        <w:rPr>
          <w:rFonts w:asciiTheme="majorHAnsi" w:hAnsiTheme="majorHAnsi"/>
          <w:sz w:val="20"/>
          <w:szCs w:val="20"/>
        </w:rPr>
        <w:t xml:space="preserve">adéquat pour le </w:t>
      </w:r>
      <w:r w:rsidRPr="009558E6">
        <w:rPr>
          <w:rFonts w:asciiTheme="majorHAnsi" w:hAnsiTheme="majorHAnsi"/>
          <w:sz w:val="20"/>
          <w:szCs w:val="20"/>
        </w:rPr>
        <w:t xml:space="preserve">suivi scientifique. </w:t>
      </w:r>
    </w:p>
    <w:p w14:paraId="4D44DF2B" w14:textId="77777777" w:rsidR="004836FE" w:rsidRPr="009558E6" w:rsidRDefault="004836FE" w:rsidP="0035431C">
      <w:pPr>
        <w:pStyle w:val="ListParagraph"/>
        <w:numPr>
          <w:ilvl w:val="1"/>
          <w:numId w:val="32"/>
        </w:numPr>
        <w:autoSpaceDE w:val="0"/>
        <w:autoSpaceDN w:val="0"/>
        <w:adjustRightInd w:val="0"/>
        <w:spacing w:after="0" w:line="240" w:lineRule="auto"/>
        <w:jc w:val="both"/>
        <w:rPr>
          <w:rFonts w:asciiTheme="majorHAnsi" w:hAnsiTheme="majorHAnsi"/>
          <w:sz w:val="20"/>
          <w:szCs w:val="20"/>
        </w:rPr>
        <w:sectPr w:rsidR="004836FE" w:rsidRPr="009558E6" w:rsidSect="00E7295C">
          <w:footnotePr>
            <w:numRestart w:val="eachSect"/>
          </w:footnotePr>
          <w:pgSz w:w="11906" w:h="16838" w:code="9"/>
          <w:pgMar w:top="1418" w:right="1418" w:bottom="1418" w:left="1418" w:header="850" w:footer="1134" w:gutter="0"/>
          <w:cols w:space="720"/>
          <w:docGrid w:linePitch="360"/>
        </w:sectPr>
      </w:pPr>
    </w:p>
    <w:p w14:paraId="5984C6D1" w14:textId="4672BE21" w:rsidR="007B1F4B" w:rsidRPr="009558E6" w:rsidRDefault="008E5148" w:rsidP="007B1F4B">
      <w:pPr>
        <w:spacing w:after="0" w:line="240" w:lineRule="auto"/>
        <w:contextualSpacing/>
        <w:jc w:val="right"/>
        <w:rPr>
          <w:rFonts w:asciiTheme="majorHAnsi" w:hAnsiTheme="majorHAnsi"/>
          <w:b/>
          <w:bCs/>
          <w:sz w:val="20"/>
          <w:szCs w:val="20"/>
        </w:rPr>
      </w:pPr>
      <w:bookmarkStart w:id="2" w:name="_Hlk89173859"/>
      <w:r w:rsidRPr="009558E6">
        <w:rPr>
          <w:rFonts w:asciiTheme="majorHAnsi" w:hAnsiTheme="majorHAnsi"/>
          <w:b/>
          <w:bCs/>
          <w:sz w:val="20"/>
          <w:szCs w:val="20"/>
        </w:rPr>
        <w:lastRenderedPageBreak/>
        <w:t xml:space="preserve">Annexe </w:t>
      </w:r>
      <w:r w:rsidR="00481112" w:rsidRPr="009558E6">
        <w:rPr>
          <w:rFonts w:asciiTheme="majorHAnsi" w:hAnsiTheme="majorHAnsi"/>
          <w:b/>
          <w:bCs/>
          <w:sz w:val="20"/>
          <w:szCs w:val="20"/>
        </w:rPr>
        <w:t>4</w:t>
      </w:r>
      <w:r w:rsidR="003D6E2A" w:rsidRPr="009558E6">
        <w:rPr>
          <w:rFonts w:asciiTheme="majorHAnsi" w:hAnsiTheme="majorHAnsi"/>
          <w:b/>
          <w:bCs/>
          <w:sz w:val="20"/>
          <w:szCs w:val="20"/>
        </w:rPr>
        <w:t xml:space="preserve"> </w:t>
      </w:r>
    </w:p>
    <w:p w14:paraId="71C6799B" w14:textId="12846FFF" w:rsidR="00481112" w:rsidRPr="009558E6" w:rsidRDefault="003D6E2A" w:rsidP="00481112">
      <w:pPr>
        <w:spacing w:after="0" w:line="240" w:lineRule="auto"/>
        <w:contextualSpacing/>
        <w:jc w:val="center"/>
        <w:rPr>
          <w:rFonts w:asciiTheme="majorHAnsi" w:hAnsiTheme="majorHAnsi"/>
          <w:b/>
          <w:bCs/>
          <w:sz w:val="20"/>
          <w:szCs w:val="20"/>
        </w:rPr>
      </w:pPr>
      <w:r w:rsidRPr="009558E6">
        <w:rPr>
          <w:rFonts w:asciiTheme="majorHAnsi" w:hAnsiTheme="majorHAnsi"/>
          <w:b/>
          <w:bCs/>
          <w:sz w:val="20"/>
          <w:szCs w:val="20"/>
        </w:rPr>
        <w:t xml:space="preserve">Mesures de performance à fournir par le SCRS pour soutenir la prise de décision </w:t>
      </w:r>
    </w:p>
    <w:p w14:paraId="7DC935D7" w14:textId="77777777" w:rsidR="00481112" w:rsidRPr="009558E6" w:rsidRDefault="00481112" w:rsidP="00481112">
      <w:pPr>
        <w:spacing w:after="0" w:line="240" w:lineRule="auto"/>
        <w:contextualSpacing/>
        <w:jc w:val="center"/>
        <w:rPr>
          <w:rFonts w:asciiTheme="majorHAnsi" w:hAnsiTheme="majorHAnsi"/>
          <w:b/>
          <w:bCs/>
          <w:sz w:val="20"/>
          <w:szCs w:val="20"/>
        </w:rPr>
      </w:pPr>
    </w:p>
    <w:p w14:paraId="5680C7A2" w14:textId="5550A986" w:rsidR="00614662" w:rsidRPr="009558E6" w:rsidRDefault="00481112" w:rsidP="00481112">
      <w:pPr>
        <w:spacing w:after="0" w:line="240" w:lineRule="auto"/>
        <w:contextualSpacing/>
        <w:rPr>
          <w:rFonts w:asciiTheme="majorHAnsi" w:hAnsiTheme="majorHAnsi" w:cs="Cambria-Italic"/>
          <w:sz w:val="20"/>
          <w:szCs w:val="20"/>
        </w:rPr>
      </w:pPr>
      <w:r w:rsidRPr="009558E6">
        <w:rPr>
          <w:rFonts w:asciiTheme="majorHAnsi" w:hAnsiTheme="majorHAnsi"/>
          <w:sz w:val="20"/>
          <w:szCs w:val="20"/>
        </w:rPr>
        <w:t>L</w:t>
      </w:r>
      <w:r w:rsidR="003D6E2A" w:rsidRPr="009558E6">
        <w:rPr>
          <w:rFonts w:asciiTheme="majorHAnsi" w:hAnsiTheme="majorHAnsi"/>
          <w:sz w:val="20"/>
          <w:szCs w:val="20"/>
        </w:rPr>
        <w:t>es mesures en gras soulignées sont le sous-ensemble à fournir régulièrement pour faciliter la communication.</w:t>
      </w:r>
    </w:p>
    <w:tbl>
      <w:tblPr>
        <w:tblStyle w:val="TableGrid1"/>
        <w:tblW w:w="13032" w:type="dxa"/>
        <w:tblLayout w:type="fixed"/>
        <w:tblLook w:val="04A0" w:firstRow="1" w:lastRow="0" w:firstColumn="1" w:lastColumn="0" w:noHBand="0" w:noVBand="1"/>
      </w:tblPr>
      <w:tblGrid>
        <w:gridCol w:w="1271"/>
        <w:gridCol w:w="5670"/>
        <w:gridCol w:w="1134"/>
        <w:gridCol w:w="4957"/>
      </w:tblGrid>
      <w:tr w:rsidR="000A7818" w:rsidRPr="009558E6" w14:paraId="1392908F" w14:textId="77777777" w:rsidTr="00897261">
        <w:trPr>
          <w:trHeight w:val="219"/>
        </w:trPr>
        <w:tc>
          <w:tcPr>
            <w:tcW w:w="1271" w:type="dxa"/>
            <w:tcBorders>
              <w:top w:val="single" w:sz="4" w:space="0" w:color="auto"/>
              <w:left w:val="single" w:sz="4" w:space="0" w:color="auto"/>
              <w:bottom w:val="single" w:sz="4" w:space="0" w:color="auto"/>
              <w:right w:val="single" w:sz="4" w:space="0" w:color="auto"/>
            </w:tcBorders>
            <w:vAlign w:val="center"/>
          </w:tcPr>
          <w:p w14:paraId="144A697F" w14:textId="28518A83" w:rsidR="00814E7C" w:rsidRPr="009558E6" w:rsidRDefault="00814E7C" w:rsidP="00897261">
            <w:pPr>
              <w:contextualSpacing/>
              <w:jc w:val="center"/>
              <w:rPr>
                <w:rFonts w:asciiTheme="majorHAnsi" w:hAnsiTheme="majorHAnsi"/>
                <w:bCs/>
                <w:i/>
                <w:smallCaps/>
                <w:spacing w:val="5"/>
              </w:rPr>
            </w:pPr>
            <w:r w:rsidRPr="009558E6">
              <w:rPr>
                <w:rFonts w:asciiTheme="majorHAnsi" w:hAnsiTheme="majorHAnsi"/>
                <w:bCs/>
                <w:i/>
                <w:smallCaps/>
              </w:rPr>
              <w:t>Acronyme</w:t>
            </w:r>
          </w:p>
        </w:tc>
        <w:tc>
          <w:tcPr>
            <w:tcW w:w="5670" w:type="dxa"/>
            <w:tcBorders>
              <w:top w:val="single" w:sz="4" w:space="0" w:color="auto"/>
              <w:left w:val="single" w:sz="4" w:space="0" w:color="auto"/>
              <w:bottom w:val="single" w:sz="4" w:space="0" w:color="auto"/>
              <w:right w:val="single" w:sz="4" w:space="0" w:color="auto"/>
            </w:tcBorders>
            <w:vAlign w:val="center"/>
            <w:hideMark/>
          </w:tcPr>
          <w:p w14:paraId="7ECDB32B" w14:textId="1072844E" w:rsidR="00814E7C" w:rsidRPr="009558E6" w:rsidRDefault="00814E7C" w:rsidP="00897261">
            <w:pPr>
              <w:contextualSpacing/>
              <w:jc w:val="center"/>
              <w:rPr>
                <w:rFonts w:asciiTheme="majorHAnsi" w:hAnsiTheme="majorHAnsi"/>
                <w:bCs/>
                <w:smallCaps/>
                <w:spacing w:val="5"/>
              </w:rPr>
            </w:pPr>
            <w:r w:rsidRPr="009558E6">
              <w:rPr>
                <w:rFonts w:asciiTheme="majorHAnsi" w:hAnsiTheme="majorHAnsi"/>
                <w:bCs/>
                <w:i/>
                <w:smallCaps/>
              </w:rPr>
              <w:t>Indicateurs de la performance et statistiques associées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5F87D9" w14:textId="77777777" w:rsidR="00814E7C" w:rsidRPr="009558E6" w:rsidRDefault="00814E7C" w:rsidP="00897261">
            <w:pPr>
              <w:contextualSpacing/>
              <w:jc w:val="center"/>
              <w:rPr>
                <w:rFonts w:asciiTheme="majorHAnsi" w:hAnsiTheme="majorHAnsi"/>
                <w:bCs/>
                <w:i/>
                <w:smallCaps/>
                <w:spacing w:val="5"/>
              </w:rPr>
            </w:pPr>
            <w:r w:rsidRPr="009558E6">
              <w:rPr>
                <w:rFonts w:asciiTheme="majorHAnsi" w:hAnsiTheme="majorHAnsi"/>
                <w:bCs/>
                <w:i/>
                <w:smallCaps/>
              </w:rPr>
              <w:t>Unité de mesure</w:t>
            </w:r>
          </w:p>
        </w:tc>
        <w:tc>
          <w:tcPr>
            <w:tcW w:w="4957" w:type="dxa"/>
            <w:tcBorders>
              <w:top w:val="single" w:sz="4" w:space="0" w:color="auto"/>
              <w:left w:val="single" w:sz="4" w:space="0" w:color="auto"/>
              <w:bottom w:val="single" w:sz="4" w:space="0" w:color="auto"/>
              <w:right w:val="single" w:sz="4" w:space="0" w:color="auto"/>
            </w:tcBorders>
            <w:vAlign w:val="center"/>
            <w:hideMark/>
          </w:tcPr>
          <w:p w14:paraId="4FEB5E6E" w14:textId="59480DE0" w:rsidR="00814E7C" w:rsidRPr="009558E6" w:rsidRDefault="00814E7C" w:rsidP="00897261">
            <w:pPr>
              <w:contextualSpacing/>
              <w:jc w:val="center"/>
              <w:rPr>
                <w:rFonts w:asciiTheme="majorHAnsi" w:hAnsiTheme="majorHAnsi"/>
                <w:bCs/>
                <w:i/>
                <w:smallCaps/>
                <w:spacing w:val="5"/>
              </w:rPr>
            </w:pPr>
            <w:r w:rsidRPr="009558E6">
              <w:rPr>
                <w:rFonts w:asciiTheme="majorHAnsi" w:hAnsiTheme="majorHAnsi"/>
                <w:bCs/>
                <w:i/>
                <w:smallCaps/>
              </w:rPr>
              <w:t xml:space="preserve">Type de </w:t>
            </w:r>
            <w:r w:rsidR="00C754B9" w:rsidRPr="009558E6">
              <w:rPr>
                <w:rFonts w:asciiTheme="majorHAnsi" w:hAnsiTheme="majorHAnsi"/>
                <w:bCs/>
                <w:i/>
                <w:smallCaps/>
              </w:rPr>
              <w:t>mesures</w:t>
            </w:r>
          </w:p>
        </w:tc>
      </w:tr>
      <w:tr w:rsidR="000A7818" w:rsidRPr="009558E6" w14:paraId="4EE9A503"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6421AD62" w14:textId="77777777" w:rsidR="00814E7C" w:rsidRPr="009558E6" w:rsidRDefault="00814E7C" w:rsidP="0035431C">
            <w:pPr>
              <w:tabs>
                <w:tab w:val="left" w:pos="284"/>
              </w:tabs>
              <w:ind w:left="142"/>
              <w:contextualSpacing/>
              <w:jc w:val="both"/>
              <w:rPr>
                <w:rFonts w:asciiTheme="majorHAnsi" w:hAnsiTheme="majorHAnsi"/>
                <w:b/>
                <w:lang w:eastAsia="en-GB"/>
              </w:rPr>
            </w:pPr>
          </w:p>
        </w:tc>
        <w:tc>
          <w:tcPr>
            <w:tcW w:w="5670" w:type="dxa"/>
            <w:tcBorders>
              <w:top w:val="single" w:sz="4" w:space="0" w:color="auto"/>
              <w:left w:val="single" w:sz="4" w:space="0" w:color="auto"/>
              <w:bottom w:val="single" w:sz="4" w:space="0" w:color="auto"/>
              <w:right w:val="single" w:sz="4" w:space="0" w:color="auto"/>
            </w:tcBorders>
            <w:hideMark/>
          </w:tcPr>
          <w:p w14:paraId="78C07551" w14:textId="05BDF9B8" w:rsidR="00814E7C" w:rsidRPr="009558E6" w:rsidRDefault="00814E7C" w:rsidP="008E5148">
            <w:pPr>
              <w:tabs>
                <w:tab w:val="left" w:pos="284"/>
              </w:tabs>
              <w:ind w:left="142" w:hanging="142"/>
              <w:contextualSpacing/>
              <w:jc w:val="both"/>
              <w:rPr>
                <w:rFonts w:asciiTheme="majorHAnsi" w:hAnsiTheme="majorHAnsi"/>
                <w:b/>
              </w:rPr>
            </w:pPr>
            <w:r w:rsidRPr="009558E6">
              <w:rPr>
                <w:rFonts w:asciiTheme="majorHAnsi" w:hAnsiTheme="majorHAnsi"/>
                <w:b/>
                <w:bCs/>
              </w:rPr>
              <w:t>1</w:t>
            </w:r>
            <w:r w:rsidRPr="009558E6">
              <w:rPr>
                <w:rFonts w:asciiTheme="majorHAnsi" w:hAnsiTheme="majorHAnsi"/>
                <w:b/>
                <w:bCs/>
              </w:rPr>
              <w:tab/>
              <w:t>État</w:t>
            </w:r>
          </w:p>
        </w:tc>
        <w:tc>
          <w:tcPr>
            <w:tcW w:w="1134" w:type="dxa"/>
            <w:tcBorders>
              <w:top w:val="single" w:sz="4" w:space="0" w:color="auto"/>
              <w:left w:val="single" w:sz="4" w:space="0" w:color="auto"/>
              <w:bottom w:val="single" w:sz="4" w:space="0" w:color="auto"/>
              <w:right w:val="single" w:sz="4" w:space="0" w:color="auto"/>
            </w:tcBorders>
          </w:tcPr>
          <w:p w14:paraId="0A61AD8C" w14:textId="77777777" w:rsidR="00814E7C" w:rsidRPr="009558E6" w:rsidRDefault="00814E7C" w:rsidP="0035431C">
            <w:pPr>
              <w:ind w:left="142"/>
              <w:contextualSpacing/>
              <w:jc w:val="center"/>
              <w:rPr>
                <w:rFonts w:asciiTheme="majorHAnsi" w:hAnsiTheme="majorHAnsi"/>
                <w:b/>
                <w:lang w:eastAsia="en-GB"/>
              </w:rPr>
            </w:pPr>
          </w:p>
        </w:tc>
        <w:tc>
          <w:tcPr>
            <w:tcW w:w="4957" w:type="dxa"/>
            <w:tcBorders>
              <w:top w:val="single" w:sz="4" w:space="0" w:color="auto"/>
              <w:left w:val="single" w:sz="4" w:space="0" w:color="auto"/>
              <w:bottom w:val="single" w:sz="4" w:space="0" w:color="auto"/>
              <w:right w:val="single" w:sz="4" w:space="0" w:color="auto"/>
            </w:tcBorders>
          </w:tcPr>
          <w:p w14:paraId="604B96EB" w14:textId="77777777" w:rsidR="00814E7C" w:rsidRPr="009558E6" w:rsidRDefault="00814E7C" w:rsidP="0035431C">
            <w:pPr>
              <w:ind w:left="142"/>
              <w:contextualSpacing/>
              <w:jc w:val="both"/>
              <w:rPr>
                <w:rFonts w:asciiTheme="majorHAnsi" w:hAnsiTheme="majorHAnsi"/>
                <w:b/>
                <w:lang w:eastAsia="en-GB"/>
              </w:rPr>
            </w:pPr>
          </w:p>
        </w:tc>
      </w:tr>
      <w:tr w:rsidR="000A7818" w:rsidRPr="009558E6" w14:paraId="2035C43D" w14:textId="77777777" w:rsidTr="008E5148">
        <w:trPr>
          <w:trHeight w:val="263"/>
        </w:trPr>
        <w:tc>
          <w:tcPr>
            <w:tcW w:w="1271" w:type="dxa"/>
            <w:tcBorders>
              <w:top w:val="single" w:sz="4" w:space="0" w:color="auto"/>
              <w:left w:val="single" w:sz="4" w:space="0" w:color="auto"/>
              <w:bottom w:val="single" w:sz="4" w:space="0" w:color="auto"/>
              <w:right w:val="single" w:sz="4" w:space="0" w:color="auto"/>
            </w:tcBorders>
          </w:tcPr>
          <w:p w14:paraId="18A13A99" w14:textId="162FD153" w:rsidR="00814E7C" w:rsidRPr="009558E6" w:rsidRDefault="00814E7C" w:rsidP="0035431C">
            <w:pPr>
              <w:ind w:left="22"/>
              <w:contextualSpacing/>
              <w:jc w:val="both"/>
              <w:rPr>
                <w:rFonts w:asciiTheme="majorHAnsi" w:hAnsiTheme="majorHAnsi"/>
              </w:rPr>
            </w:pPr>
            <w:r w:rsidRPr="009558E6">
              <w:rPr>
                <w:rFonts w:asciiTheme="majorHAnsi" w:hAnsiTheme="majorHAnsi"/>
              </w:rPr>
              <w:t>B</w:t>
            </w:r>
            <w:r w:rsidRPr="009558E6">
              <w:rPr>
                <w:rFonts w:asciiTheme="majorHAnsi" w:hAnsiTheme="majorHAnsi"/>
                <w:smallCaps/>
                <w:vertAlign w:val="subscript"/>
              </w:rPr>
              <w:t>min</w:t>
            </w:r>
          </w:p>
        </w:tc>
        <w:tc>
          <w:tcPr>
            <w:tcW w:w="5670" w:type="dxa"/>
            <w:tcBorders>
              <w:top w:val="single" w:sz="4" w:space="0" w:color="auto"/>
              <w:left w:val="single" w:sz="4" w:space="0" w:color="auto"/>
              <w:bottom w:val="single" w:sz="4" w:space="0" w:color="auto"/>
              <w:right w:val="single" w:sz="4" w:space="0" w:color="auto"/>
            </w:tcBorders>
            <w:hideMark/>
          </w:tcPr>
          <w:p w14:paraId="746C56A7" w14:textId="7B056283" w:rsidR="00814E7C" w:rsidRPr="009558E6" w:rsidRDefault="00814E7C" w:rsidP="008E5148">
            <w:pPr>
              <w:ind w:left="142" w:hanging="142"/>
              <w:contextualSpacing/>
              <w:jc w:val="both"/>
              <w:rPr>
                <w:rFonts w:asciiTheme="majorHAnsi" w:hAnsiTheme="majorHAnsi"/>
              </w:rPr>
            </w:pPr>
            <w:r w:rsidRPr="009558E6">
              <w:rPr>
                <w:rFonts w:asciiTheme="majorHAnsi" w:hAnsiTheme="majorHAnsi"/>
              </w:rPr>
              <w:t>1.1 Biomasse minimale du stock reproducteur par rapport à B</w:t>
            </w:r>
            <w:r w:rsidRPr="009558E6">
              <w:rPr>
                <w:rFonts w:asciiTheme="majorHAnsi" w:hAnsiTheme="majorHAnsi"/>
                <w:vertAlign w:val="subscript"/>
              </w:rPr>
              <w:t>PME</w:t>
            </w:r>
          </w:p>
        </w:tc>
        <w:tc>
          <w:tcPr>
            <w:tcW w:w="1134" w:type="dxa"/>
            <w:tcBorders>
              <w:top w:val="single" w:sz="4" w:space="0" w:color="auto"/>
              <w:left w:val="single" w:sz="4" w:space="0" w:color="auto"/>
              <w:bottom w:val="single" w:sz="4" w:space="0" w:color="auto"/>
              <w:right w:val="single" w:sz="4" w:space="0" w:color="auto"/>
            </w:tcBorders>
            <w:hideMark/>
          </w:tcPr>
          <w:p w14:paraId="7B453A74" w14:textId="77777777" w:rsidR="00814E7C" w:rsidRPr="009558E6" w:rsidRDefault="00814E7C" w:rsidP="0035431C">
            <w:pPr>
              <w:ind w:left="142"/>
              <w:contextualSpacing/>
              <w:jc w:val="center"/>
              <w:rPr>
                <w:rFonts w:asciiTheme="majorHAnsi" w:hAnsiTheme="majorHAnsi"/>
              </w:rPr>
            </w:pPr>
            <w:r w:rsidRPr="009558E6">
              <w:rPr>
                <w:rFonts w:asciiTheme="majorHAnsi" w:hAnsiTheme="majorHAnsi"/>
              </w:rPr>
              <w:t>B/B</w:t>
            </w:r>
            <w:r w:rsidRPr="009558E6">
              <w:rPr>
                <w:rFonts w:asciiTheme="majorHAnsi" w:hAnsiTheme="majorHAnsi"/>
                <w:vertAlign w:val="subscript"/>
              </w:rPr>
              <w:t>PME</w:t>
            </w:r>
          </w:p>
        </w:tc>
        <w:tc>
          <w:tcPr>
            <w:tcW w:w="4957" w:type="dxa"/>
            <w:tcBorders>
              <w:top w:val="single" w:sz="4" w:space="0" w:color="auto"/>
              <w:left w:val="single" w:sz="4" w:space="0" w:color="auto"/>
              <w:bottom w:val="single" w:sz="4" w:space="0" w:color="auto"/>
              <w:right w:val="single" w:sz="4" w:space="0" w:color="auto"/>
            </w:tcBorders>
            <w:hideMark/>
          </w:tcPr>
          <w:p w14:paraId="29E062A9" w14:textId="77777777" w:rsidR="00814E7C" w:rsidRPr="009558E6" w:rsidRDefault="00814E7C" w:rsidP="0035431C">
            <w:pPr>
              <w:ind w:left="142"/>
              <w:contextualSpacing/>
              <w:jc w:val="both"/>
              <w:rPr>
                <w:rFonts w:asciiTheme="majorHAnsi" w:hAnsiTheme="majorHAnsi"/>
              </w:rPr>
            </w:pPr>
            <w:r w:rsidRPr="009558E6">
              <w:rPr>
                <w:rFonts w:asciiTheme="majorHAnsi" w:hAnsiTheme="majorHAnsi"/>
              </w:rPr>
              <w:t>Minimum au cours de [x] ans</w:t>
            </w:r>
          </w:p>
        </w:tc>
      </w:tr>
      <w:tr w:rsidR="000A7818" w:rsidRPr="009558E6" w14:paraId="2BC373ED"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64A29FE1" w14:textId="69609D2C" w:rsidR="00814E7C" w:rsidRPr="009558E6" w:rsidRDefault="00814E7C" w:rsidP="0035431C">
            <w:pPr>
              <w:ind w:left="22"/>
              <w:contextualSpacing/>
              <w:jc w:val="both"/>
              <w:rPr>
                <w:rFonts w:asciiTheme="majorHAnsi" w:hAnsiTheme="majorHAnsi"/>
              </w:rPr>
            </w:pPr>
            <w:r w:rsidRPr="009558E6">
              <w:rPr>
                <w:rFonts w:asciiTheme="majorHAnsi" w:hAnsiTheme="majorHAnsi"/>
              </w:rPr>
              <w:t>B</w:t>
            </w:r>
            <w:r w:rsidRPr="009558E6">
              <w:rPr>
                <w:rFonts w:asciiTheme="majorHAnsi" w:hAnsiTheme="majorHAnsi"/>
                <w:smallCaps/>
                <w:vertAlign w:val="subscript"/>
              </w:rPr>
              <w:t>moyenne</w:t>
            </w:r>
          </w:p>
        </w:tc>
        <w:tc>
          <w:tcPr>
            <w:tcW w:w="5670" w:type="dxa"/>
            <w:tcBorders>
              <w:top w:val="single" w:sz="4" w:space="0" w:color="auto"/>
              <w:left w:val="single" w:sz="4" w:space="0" w:color="auto"/>
              <w:bottom w:val="single" w:sz="4" w:space="0" w:color="auto"/>
              <w:right w:val="single" w:sz="4" w:space="0" w:color="auto"/>
            </w:tcBorders>
            <w:hideMark/>
          </w:tcPr>
          <w:p w14:paraId="49B61FA4" w14:textId="7C51AE8F" w:rsidR="00814E7C" w:rsidRPr="009558E6" w:rsidRDefault="00814E7C" w:rsidP="008E5148">
            <w:pPr>
              <w:ind w:left="142" w:hanging="142"/>
              <w:contextualSpacing/>
              <w:jc w:val="both"/>
              <w:rPr>
                <w:rFonts w:asciiTheme="majorHAnsi" w:hAnsiTheme="majorHAnsi"/>
              </w:rPr>
            </w:pPr>
            <w:r w:rsidRPr="009558E6">
              <w:rPr>
                <w:rFonts w:asciiTheme="majorHAnsi" w:hAnsiTheme="majorHAnsi"/>
              </w:rPr>
              <w:t>1.2 Biomasse moyenne du stock reproducteur par rapport à B</w:t>
            </w:r>
            <w:r w:rsidRPr="009558E6">
              <w:rPr>
                <w:rFonts w:asciiTheme="majorHAnsi" w:hAnsiTheme="majorHAnsi"/>
                <w:vertAlign w:val="subscript"/>
              </w:rPr>
              <w:t>PME</w:t>
            </w:r>
            <w:r w:rsidRPr="009558E6">
              <w:rPr>
                <w:rFonts w:asciiTheme="majorHAnsi" w:hAnsiTheme="majorHAnsi"/>
                <w:vertAlign w:val="superscript"/>
                <w:lang w:eastAsia="en-GB"/>
              </w:rPr>
              <w:footnoteReference w:id="5"/>
            </w:r>
          </w:p>
        </w:tc>
        <w:tc>
          <w:tcPr>
            <w:tcW w:w="1134" w:type="dxa"/>
            <w:tcBorders>
              <w:top w:val="single" w:sz="4" w:space="0" w:color="auto"/>
              <w:left w:val="single" w:sz="4" w:space="0" w:color="auto"/>
              <w:bottom w:val="single" w:sz="4" w:space="0" w:color="auto"/>
              <w:right w:val="single" w:sz="4" w:space="0" w:color="auto"/>
            </w:tcBorders>
            <w:hideMark/>
          </w:tcPr>
          <w:p w14:paraId="6AE8BB5B" w14:textId="77777777" w:rsidR="00814E7C" w:rsidRPr="009558E6" w:rsidRDefault="00814E7C" w:rsidP="0035431C">
            <w:pPr>
              <w:ind w:left="142"/>
              <w:contextualSpacing/>
              <w:jc w:val="center"/>
              <w:rPr>
                <w:rFonts w:asciiTheme="majorHAnsi" w:hAnsiTheme="majorHAnsi"/>
              </w:rPr>
            </w:pPr>
            <w:r w:rsidRPr="009558E6">
              <w:rPr>
                <w:rFonts w:asciiTheme="majorHAnsi" w:hAnsiTheme="majorHAnsi"/>
              </w:rPr>
              <w:t>B/B</w:t>
            </w:r>
            <w:r w:rsidRPr="009558E6">
              <w:rPr>
                <w:rFonts w:asciiTheme="majorHAnsi" w:hAnsiTheme="majorHAnsi"/>
                <w:vertAlign w:val="subscript"/>
              </w:rPr>
              <w:t>PME</w:t>
            </w:r>
          </w:p>
        </w:tc>
        <w:tc>
          <w:tcPr>
            <w:tcW w:w="4957" w:type="dxa"/>
            <w:tcBorders>
              <w:top w:val="single" w:sz="4" w:space="0" w:color="auto"/>
              <w:left w:val="single" w:sz="4" w:space="0" w:color="auto"/>
              <w:bottom w:val="single" w:sz="4" w:space="0" w:color="auto"/>
              <w:right w:val="single" w:sz="4" w:space="0" w:color="auto"/>
            </w:tcBorders>
            <w:hideMark/>
          </w:tcPr>
          <w:p w14:paraId="7D6877A8" w14:textId="77777777" w:rsidR="00814E7C" w:rsidRPr="009558E6" w:rsidRDefault="00814E7C" w:rsidP="0035431C">
            <w:pPr>
              <w:ind w:left="142"/>
              <w:contextualSpacing/>
              <w:jc w:val="both"/>
              <w:rPr>
                <w:rFonts w:asciiTheme="majorHAnsi" w:hAnsiTheme="majorHAnsi"/>
              </w:rPr>
            </w:pPr>
            <w:r w:rsidRPr="009558E6">
              <w:rPr>
                <w:rFonts w:asciiTheme="majorHAnsi" w:hAnsiTheme="majorHAnsi"/>
              </w:rPr>
              <w:t>Moyenne géométrique au cours de [x] ans</w:t>
            </w:r>
          </w:p>
        </w:tc>
      </w:tr>
      <w:tr w:rsidR="000A7818" w:rsidRPr="009558E6" w14:paraId="4C9C1973"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1B296679" w14:textId="3C3EDDA1" w:rsidR="00814E7C" w:rsidRPr="009558E6" w:rsidRDefault="00814E7C" w:rsidP="0035431C">
            <w:pPr>
              <w:ind w:left="22"/>
              <w:contextualSpacing/>
              <w:jc w:val="both"/>
              <w:rPr>
                <w:rFonts w:asciiTheme="majorHAnsi" w:hAnsiTheme="majorHAnsi"/>
              </w:rPr>
            </w:pPr>
            <w:r w:rsidRPr="009558E6">
              <w:rPr>
                <w:rFonts w:asciiTheme="majorHAnsi" w:hAnsiTheme="majorHAnsi"/>
              </w:rPr>
              <w:t>F</w:t>
            </w:r>
            <w:r w:rsidRPr="009558E6">
              <w:rPr>
                <w:rFonts w:asciiTheme="majorHAnsi" w:hAnsiTheme="majorHAnsi"/>
                <w:smallCaps/>
                <w:vertAlign w:val="subscript"/>
              </w:rPr>
              <w:t>moyenne</w:t>
            </w:r>
          </w:p>
        </w:tc>
        <w:tc>
          <w:tcPr>
            <w:tcW w:w="5670" w:type="dxa"/>
            <w:tcBorders>
              <w:top w:val="single" w:sz="4" w:space="0" w:color="auto"/>
              <w:left w:val="single" w:sz="4" w:space="0" w:color="auto"/>
              <w:bottom w:val="single" w:sz="4" w:space="0" w:color="auto"/>
              <w:right w:val="single" w:sz="4" w:space="0" w:color="auto"/>
            </w:tcBorders>
            <w:hideMark/>
          </w:tcPr>
          <w:p w14:paraId="0443035F" w14:textId="4DDC655C" w:rsidR="00814E7C" w:rsidRPr="009558E6" w:rsidRDefault="00814E7C" w:rsidP="008E5148">
            <w:pPr>
              <w:ind w:left="142" w:hanging="142"/>
              <w:contextualSpacing/>
              <w:jc w:val="both"/>
              <w:rPr>
                <w:rFonts w:asciiTheme="majorHAnsi" w:hAnsiTheme="majorHAnsi"/>
              </w:rPr>
            </w:pPr>
            <w:r w:rsidRPr="009558E6">
              <w:rPr>
                <w:rFonts w:asciiTheme="majorHAnsi" w:hAnsiTheme="majorHAnsi"/>
              </w:rPr>
              <w:t>1.3 Mortalité par pêche moyenne par rapport à F</w:t>
            </w:r>
            <w:r w:rsidRPr="009558E6">
              <w:rPr>
                <w:rFonts w:asciiTheme="majorHAnsi" w:hAnsiTheme="majorHAnsi"/>
                <w:vertAlign w:val="subscript"/>
              </w:rPr>
              <w:t>PME</w:t>
            </w:r>
          </w:p>
        </w:tc>
        <w:tc>
          <w:tcPr>
            <w:tcW w:w="1134" w:type="dxa"/>
            <w:tcBorders>
              <w:top w:val="single" w:sz="4" w:space="0" w:color="auto"/>
              <w:left w:val="single" w:sz="4" w:space="0" w:color="auto"/>
              <w:bottom w:val="single" w:sz="4" w:space="0" w:color="auto"/>
              <w:right w:val="single" w:sz="4" w:space="0" w:color="auto"/>
            </w:tcBorders>
            <w:hideMark/>
          </w:tcPr>
          <w:p w14:paraId="19E516CD" w14:textId="77777777" w:rsidR="00814E7C" w:rsidRPr="009558E6" w:rsidRDefault="00814E7C" w:rsidP="0035431C">
            <w:pPr>
              <w:ind w:left="142"/>
              <w:contextualSpacing/>
              <w:jc w:val="center"/>
              <w:rPr>
                <w:rFonts w:asciiTheme="majorHAnsi" w:hAnsiTheme="majorHAnsi"/>
              </w:rPr>
            </w:pPr>
            <w:r w:rsidRPr="009558E6">
              <w:rPr>
                <w:rFonts w:asciiTheme="majorHAnsi" w:hAnsiTheme="majorHAnsi"/>
              </w:rPr>
              <w:t>F/F</w:t>
            </w:r>
            <w:r w:rsidRPr="009558E6">
              <w:rPr>
                <w:rFonts w:asciiTheme="majorHAnsi" w:hAnsiTheme="majorHAnsi"/>
                <w:vertAlign w:val="subscript"/>
              </w:rPr>
              <w:t>PME</w:t>
            </w:r>
          </w:p>
        </w:tc>
        <w:tc>
          <w:tcPr>
            <w:tcW w:w="4957" w:type="dxa"/>
            <w:tcBorders>
              <w:top w:val="single" w:sz="4" w:space="0" w:color="auto"/>
              <w:left w:val="single" w:sz="4" w:space="0" w:color="auto"/>
              <w:bottom w:val="single" w:sz="4" w:space="0" w:color="auto"/>
              <w:right w:val="single" w:sz="4" w:space="0" w:color="auto"/>
            </w:tcBorders>
            <w:hideMark/>
          </w:tcPr>
          <w:p w14:paraId="04A86E4C" w14:textId="77777777" w:rsidR="00814E7C" w:rsidRPr="009558E6" w:rsidRDefault="00814E7C" w:rsidP="0035431C">
            <w:pPr>
              <w:ind w:left="142"/>
              <w:contextualSpacing/>
              <w:jc w:val="both"/>
              <w:rPr>
                <w:rFonts w:asciiTheme="majorHAnsi" w:hAnsiTheme="majorHAnsi"/>
              </w:rPr>
            </w:pPr>
            <w:r w:rsidRPr="009558E6">
              <w:rPr>
                <w:rFonts w:asciiTheme="majorHAnsi" w:hAnsiTheme="majorHAnsi"/>
              </w:rPr>
              <w:t>Moyenne géométrique au cours de [x] ans</w:t>
            </w:r>
          </w:p>
        </w:tc>
      </w:tr>
      <w:tr w:rsidR="000A7818" w:rsidRPr="009558E6" w14:paraId="7869A79D"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0650AFEA" w14:textId="72A5711F" w:rsidR="00814E7C" w:rsidRPr="009558E6" w:rsidRDefault="00814E7C" w:rsidP="0035431C">
            <w:pPr>
              <w:ind w:left="22"/>
              <w:contextualSpacing/>
              <w:jc w:val="both"/>
              <w:rPr>
                <w:rFonts w:asciiTheme="majorHAnsi" w:hAnsiTheme="majorHAnsi"/>
              </w:rPr>
            </w:pPr>
            <w:r w:rsidRPr="009558E6">
              <w:rPr>
                <w:rFonts w:asciiTheme="majorHAnsi" w:hAnsiTheme="majorHAnsi"/>
              </w:rPr>
              <w:t>pGr%</w:t>
            </w:r>
          </w:p>
        </w:tc>
        <w:tc>
          <w:tcPr>
            <w:tcW w:w="5670" w:type="dxa"/>
            <w:tcBorders>
              <w:top w:val="single" w:sz="4" w:space="0" w:color="auto"/>
              <w:left w:val="single" w:sz="4" w:space="0" w:color="auto"/>
              <w:bottom w:val="single" w:sz="4" w:space="0" w:color="auto"/>
              <w:right w:val="single" w:sz="4" w:space="0" w:color="auto"/>
            </w:tcBorders>
            <w:hideMark/>
          </w:tcPr>
          <w:p w14:paraId="1B892154" w14:textId="1E4CE096" w:rsidR="00814E7C" w:rsidRPr="009558E6" w:rsidRDefault="00814E7C" w:rsidP="008E5148">
            <w:pPr>
              <w:ind w:left="142" w:hanging="142"/>
              <w:contextualSpacing/>
              <w:jc w:val="both"/>
              <w:rPr>
                <w:rFonts w:asciiTheme="majorHAnsi" w:hAnsiTheme="majorHAnsi"/>
                <w:b/>
                <w:bCs/>
              </w:rPr>
            </w:pPr>
            <w:r w:rsidRPr="009558E6">
              <w:rPr>
                <w:rFonts w:asciiTheme="majorHAnsi" w:hAnsiTheme="majorHAnsi"/>
                <w:b/>
                <w:bCs/>
              </w:rPr>
              <w:t>1.4 Probabilité de se situer dans le quadrant vert de Kobe</w:t>
            </w:r>
          </w:p>
        </w:tc>
        <w:tc>
          <w:tcPr>
            <w:tcW w:w="1134" w:type="dxa"/>
            <w:tcBorders>
              <w:top w:val="single" w:sz="4" w:space="0" w:color="auto"/>
              <w:left w:val="single" w:sz="4" w:space="0" w:color="auto"/>
              <w:bottom w:val="single" w:sz="4" w:space="0" w:color="auto"/>
              <w:right w:val="single" w:sz="4" w:space="0" w:color="auto"/>
            </w:tcBorders>
            <w:hideMark/>
          </w:tcPr>
          <w:p w14:paraId="76D0511B" w14:textId="77777777" w:rsidR="00814E7C" w:rsidRPr="009558E6" w:rsidRDefault="00814E7C" w:rsidP="0035431C">
            <w:pPr>
              <w:ind w:left="142"/>
              <w:contextualSpacing/>
              <w:jc w:val="center"/>
              <w:rPr>
                <w:rFonts w:asciiTheme="majorHAnsi" w:hAnsiTheme="majorHAnsi"/>
              </w:rPr>
            </w:pPr>
            <w:r w:rsidRPr="009558E6">
              <w:rPr>
                <w:rFonts w:asciiTheme="majorHAnsi" w:hAnsiTheme="majorHAnsi"/>
              </w:rPr>
              <w:t>B, F</w:t>
            </w:r>
          </w:p>
        </w:tc>
        <w:tc>
          <w:tcPr>
            <w:tcW w:w="4957" w:type="dxa"/>
            <w:tcBorders>
              <w:top w:val="single" w:sz="4" w:space="0" w:color="auto"/>
              <w:left w:val="single" w:sz="4" w:space="0" w:color="auto"/>
              <w:bottom w:val="single" w:sz="4" w:space="0" w:color="auto"/>
              <w:right w:val="single" w:sz="4" w:space="0" w:color="auto"/>
            </w:tcBorders>
            <w:hideMark/>
          </w:tcPr>
          <w:p w14:paraId="30C45E7D" w14:textId="77777777" w:rsidR="00814E7C" w:rsidRPr="009558E6" w:rsidRDefault="00814E7C" w:rsidP="0035431C">
            <w:pPr>
              <w:ind w:left="142"/>
              <w:contextualSpacing/>
              <w:jc w:val="both"/>
              <w:rPr>
                <w:rFonts w:asciiTheme="majorHAnsi" w:hAnsiTheme="majorHAnsi"/>
              </w:rPr>
            </w:pPr>
            <w:r w:rsidRPr="009558E6">
              <w:rPr>
                <w:rFonts w:asciiTheme="majorHAnsi" w:hAnsiTheme="majorHAnsi"/>
              </w:rPr>
              <w:t>Nombre d'années pendant lesquelles B≥B</w:t>
            </w:r>
            <w:r w:rsidRPr="009558E6">
              <w:rPr>
                <w:rFonts w:asciiTheme="majorHAnsi" w:hAnsiTheme="majorHAnsi"/>
                <w:vertAlign w:val="subscript"/>
              </w:rPr>
              <w:t>PME</w:t>
            </w:r>
            <w:r w:rsidRPr="009558E6">
              <w:rPr>
                <w:rFonts w:asciiTheme="majorHAnsi" w:hAnsiTheme="majorHAnsi"/>
              </w:rPr>
              <w:t xml:space="preserve"> &amp; F≤F</w:t>
            </w:r>
            <w:r w:rsidRPr="009558E6">
              <w:rPr>
                <w:rFonts w:asciiTheme="majorHAnsi" w:hAnsiTheme="majorHAnsi"/>
                <w:vertAlign w:val="subscript"/>
              </w:rPr>
              <w:t>PME</w:t>
            </w:r>
          </w:p>
        </w:tc>
      </w:tr>
      <w:tr w:rsidR="000A7818" w:rsidRPr="009558E6" w14:paraId="38608346"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2A857D11" w14:textId="379A11D6" w:rsidR="00814E7C" w:rsidRPr="009558E6" w:rsidRDefault="00814E7C" w:rsidP="0035431C">
            <w:pPr>
              <w:ind w:left="22"/>
              <w:contextualSpacing/>
              <w:jc w:val="both"/>
              <w:rPr>
                <w:rFonts w:asciiTheme="majorHAnsi" w:hAnsiTheme="majorHAnsi"/>
              </w:rPr>
            </w:pPr>
            <w:r w:rsidRPr="009558E6">
              <w:rPr>
                <w:rFonts w:asciiTheme="majorHAnsi" w:hAnsiTheme="majorHAnsi"/>
              </w:rPr>
              <w:t>pRed%</w:t>
            </w:r>
          </w:p>
        </w:tc>
        <w:tc>
          <w:tcPr>
            <w:tcW w:w="5670" w:type="dxa"/>
            <w:tcBorders>
              <w:top w:val="single" w:sz="4" w:space="0" w:color="auto"/>
              <w:left w:val="single" w:sz="4" w:space="0" w:color="auto"/>
              <w:bottom w:val="single" w:sz="4" w:space="0" w:color="auto"/>
              <w:right w:val="single" w:sz="4" w:space="0" w:color="auto"/>
            </w:tcBorders>
            <w:hideMark/>
          </w:tcPr>
          <w:p w14:paraId="085039CF" w14:textId="60795A2E" w:rsidR="00814E7C" w:rsidRPr="009558E6" w:rsidRDefault="00814E7C" w:rsidP="008E5148">
            <w:pPr>
              <w:ind w:left="142" w:hanging="142"/>
              <w:contextualSpacing/>
              <w:jc w:val="both"/>
              <w:rPr>
                <w:rFonts w:asciiTheme="majorHAnsi" w:hAnsiTheme="majorHAnsi"/>
              </w:rPr>
            </w:pPr>
            <w:r w:rsidRPr="009558E6">
              <w:rPr>
                <w:rFonts w:asciiTheme="majorHAnsi" w:hAnsiTheme="majorHAnsi"/>
              </w:rPr>
              <w:t>1.5 Probabilité de se situer dans le quadrant rouge de Kobe</w:t>
            </w:r>
            <w:r w:rsidRPr="009558E6">
              <w:rPr>
                <w:rFonts w:asciiTheme="majorHAnsi" w:hAnsiTheme="majorHAnsi"/>
                <w:vertAlign w:val="superscript"/>
                <w:lang w:eastAsia="en-GB"/>
              </w:rPr>
              <w:footnoteReference w:id="6"/>
            </w:r>
          </w:p>
        </w:tc>
        <w:tc>
          <w:tcPr>
            <w:tcW w:w="1134" w:type="dxa"/>
            <w:tcBorders>
              <w:top w:val="single" w:sz="4" w:space="0" w:color="auto"/>
              <w:left w:val="single" w:sz="4" w:space="0" w:color="auto"/>
              <w:bottom w:val="single" w:sz="4" w:space="0" w:color="auto"/>
              <w:right w:val="single" w:sz="4" w:space="0" w:color="auto"/>
            </w:tcBorders>
            <w:hideMark/>
          </w:tcPr>
          <w:p w14:paraId="08C672C6" w14:textId="77777777" w:rsidR="00814E7C" w:rsidRPr="009558E6" w:rsidRDefault="00814E7C" w:rsidP="0035431C">
            <w:pPr>
              <w:ind w:left="142"/>
              <w:contextualSpacing/>
              <w:jc w:val="center"/>
              <w:rPr>
                <w:rFonts w:asciiTheme="majorHAnsi" w:hAnsiTheme="majorHAnsi"/>
              </w:rPr>
            </w:pPr>
            <w:r w:rsidRPr="009558E6">
              <w:rPr>
                <w:rFonts w:asciiTheme="majorHAnsi" w:hAnsiTheme="majorHAnsi"/>
              </w:rPr>
              <w:t>B, F</w:t>
            </w:r>
          </w:p>
        </w:tc>
        <w:tc>
          <w:tcPr>
            <w:tcW w:w="4957" w:type="dxa"/>
            <w:tcBorders>
              <w:top w:val="single" w:sz="4" w:space="0" w:color="auto"/>
              <w:left w:val="single" w:sz="4" w:space="0" w:color="auto"/>
              <w:bottom w:val="single" w:sz="4" w:space="0" w:color="auto"/>
              <w:right w:val="single" w:sz="4" w:space="0" w:color="auto"/>
            </w:tcBorders>
            <w:hideMark/>
          </w:tcPr>
          <w:p w14:paraId="402DCEBA" w14:textId="77777777" w:rsidR="00814E7C" w:rsidRPr="009558E6" w:rsidRDefault="00814E7C" w:rsidP="0035431C">
            <w:pPr>
              <w:ind w:left="142"/>
              <w:contextualSpacing/>
              <w:jc w:val="both"/>
              <w:rPr>
                <w:rFonts w:asciiTheme="majorHAnsi" w:hAnsiTheme="majorHAnsi"/>
              </w:rPr>
            </w:pPr>
            <w:r w:rsidRPr="009558E6">
              <w:rPr>
                <w:rFonts w:asciiTheme="majorHAnsi" w:hAnsiTheme="majorHAnsi"/>
              </w:rPr>
              <w:t>Nombre d'années pendant lesquelles B≤B</w:t>
            </w:r>
            <w:r w:rsidRPr="009558E6">
              <w:rPr>
                <w:rFonts w:asciiTheme="majorHAnsi" w:hAnsiTheme="majorHAnsi"/>
                <w:vertAlign w:val="subscript"/>
              </w:rPr>
              <w:t>PME</w:t>
            </w:r>
            <w:r w:rsidRPr="009558E6">
              <w:rPr>
                <w:rFonts w:asciiTheme="majorHAnsi" w:hAnsiTheme="majorHAnsi"/>
              </w:rPr>
              <w:t xml:space="preserve"> &amp; F≥F</w:t>
            </w:r>
            <w:r w:rsidRPr="009558E6">
              <w:rPr>
                <w:rFonts w:asciiTheme="majorHAnsi" w:hAnsiTheme="majorHAnsi"/>
                <w:vertAlign w:val="subscript"/>
              </w:rPr>
              <w:t>PME</w:t>
            </w:r>
          </w:p>
        </w:tc>
      </w:tr>
      <w:tr w:rsidR="000A7818" w:rsidRPr="009558E6" w14:paraId="48B458A5"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66D41852" w14:textId="77777777" w:rsidR="00814E7C" w:rsidRPr="009558E6" w:rsidRDefault="00814E7C" w:rsidP="0035431C">
            <w:pPr>
              <w:tabs>
                <w:tab w:val="left" w:pos="284"/>
              </w:tabs>
              <w:ind w:left="22"/>
              <w:contextualSpacing/>
              <w:jc w:val="both"/>
              <w:rPr>
                <w:rFonts w:asciiTheme="majorHAnsi" w:hAnsiTheme="majorHAnsi"/>
                <w:b/>
                <w:lang w:eastAsia="en-GB"/>
              </w:rPr>
            </w:pPr>
          </w:p>
        </w:tc>
        <w:tc>
          <w:tcPr>
            <w:tcW w:w="5670" w:type="dxa"/>
            <w:tcBorders>
              <w:top w:val="single" w:sz="4" w:space="0" w:color="auto"/>
              <w:left w:val="single" w:sz="4" w:space="0" w:color="auto"/>
              <w:bottom w:val="single" w:sz="4" w:space="0" w:color="auto"/>
              <w:right w:val="single" w:sz="4" w:space="0" w:color="auto"/>
            </w:tcBorders>
            <w:hideMark/>
          </w:tcPr>
          <w:p w14:paraId="6998D5C4" w14:textId="5E1BAD4C" w:rsidR="00814E7C" w:rsidRPr="009558E6" w:rsidRDefault="00814E7C" w:rsidP="008E5148">
            <w:pPr>
              <w:tabs>
                <w:tab w:val="left" w:pos="284"/>
              </w:tabs>
              <w:ind w:left="142" w:hanging="142"/>
              <w:contextualSpacing/>
              <w:jc w:val="both"/>
              <w:rPr>
                <w:rFonts w:asciiTheme="majorHAnsi" w:hAnsiTheme="majorHAnsi"/>
                <w:b/>
              </w:rPr>
            </w:pPr>
            <w:r w:rsidRPr="009558E6">
              <w:rPr>
                <w:rFonts w:asciiTheme="majorHAnsi" w:hAnsiTheme="majorHAnsi"/>
                <w:b/>
              </w:rPr>
              <w:t>Sécurité</w:t>
            </w:r>
          </w:p>
        </w:tc>
        <w:tc>
          <w:tcPr>
            <w:tcW w:w="1134" w:type="dxa"/>
            <w:tcBorders>
              <w:top w:val="single" w:sz="4" w:space="0" w:color="auto"/>
              <w:left w:val="single" w:sz="4" w:space="0" w:color="auto"/>
              <w:bottom w:val="single" w:sz="4" w:space="0" w:color="auto"/>
              <w:right w:val="single" w:sz="4" w:space="0" w:color="auto"/>
            </w:tcBorders>
          </w:tcPr>
          <w:p w14:paraId="274DA908" w14:textId="77777777" w:rsidR="00814E7C" w:rsidRPr="009558E6" w:rsidRDefault="00814E7C" w:rsidP="0035431C">
            <w:pPr>
              <w:ind w:left="142"/>
              <w:contextualSpacing/>
              <w:jc w:val="center"/>
              <w:rPr>
                <w:rFonts w:asciiTheme="majorHAnsi" w:hAnsiTheme="majorHAnsi"/>
                <w:b/>
                <w:lang w:eastAsia="en-GB"/>
              </w:rPr>
            </w:pPr>
          </w:p>
        </w:tc>
        <w:tc>
          <w:tcPr>
            <w:tcW w:w="4957" w:type="dxa"/>
            <w:tcBorders>
              <w:top w:val="single" w:sz="4" w:space="0" w:color="auto"/>
              <w:left w:val="single" w:sz="4" w:space="0" w:color="auto"/>
              <w:bottom w:val="single" w:sz="4" w:space="0" w:color="auto"/>
              <w:right w:val="single" w:sz="4" w:space="0" w:color="auto"/>
            </w:tcBorders>
          </w:tcPr>
          <w:p w14:paraId="695A4FCD" w14:textId="77777777" w:rsidR="00814E7C" w:rsidRPr="009558E6" w:rsidRDefault="00814E7C" w:rsidP="0035431C">
            <w:pPr>
              <w:ind w:left="142"/>
              <w:contextualSpacing/>
              <w:jc w:val="both"/>
              <w:rPr>
                <w:rFonts w:asciiTheme="majorHAnsi" w:hAnsiTheme="majorHAnsi"/>
                <w:b/>
                <w:lang w:eastAsia="en-GB"/>
              </w:rPr>
            </w:pPr>
          </w:p>
        </w:tc>
      </w:tr>
      <w:tr w:rsidR="000A7818" w:rsidRPr="009558E6" w14:paraId="037D225D" w14:textId="77777777" w:rsidTr="008E5148">
        <w:trPr>
          <w:trHeight w:val="183"/>
        </w:trPr>
        <w:tc>
          <w:tcPr>
            <w:tcW w:w="1271" w:type="dxa"/>
            <w:tcBorders>
              <w:top w:val="single" w:sz="4" w:space="0" w:color="auto"/>
              <w:left w:val="single" w:sz="4" w:space="0" w:color="auto"/>
              <w:bottom w:val="single" w:sz="4" w:space="0" w:color="auto"/>
              <w:right w:val="single" w:sz="4" w:space="0" w:color="auto"/>
            </w:tcBorders>
          </w:tcPr>
          <w:p w14:paraId="6A9A6B6E" w14:textId="0971CC08" w:rsidR="00814E7C" w:rsidRPr="009558E6" w:rsidRDefault="00814E7C" w:rsidP="0035431C">
            <w:pPr>
              <w:ind w:left="22"/>
              <w:contextualSpacing/>
              <w:jc w:val="both"/>
              <w:rPr>
                <w:rFonts w:asciiTheme="majorHAnsi" w:hAnsiTheme="majorHAnsi"/>
              </w:rPr>
            </w:pPr>
            <w:r w:rsidRPr="009558E6">
              <w:rPr>
                <w:rFonts w:asciiTheme="majorHAnsi" w:hAnsiTheme="majorHAnsi"/>
              </w:rPr>
              <w:t>pB</w:t>
            </w:r>
            <w:r w:rsidR="002F7B64" w:rsidRPr="009558E6">
              <w:rPr>
                <w:rFonts w:asciiTheme="majorHAnsi" w:hAnsiTheme="majorHAnsi"/>
                <w:vertAlign w:val="subscript"/>
              </w:rPr>
              <w:t>LIM</w:t>
            </w:r>
            <w:r w:rsidRPr="009558E6">
              <w:rPr>
                <w:rFonts w:asciiTheme="majorHAnsi" w:hAnsiTheme="majorHAnsi"/>
              </w:rPr>
              <w:t>%</w:t>
            </w:r>
          </w:p>
        </w:tc>
        <w:tc>
          <w:tcPr>
            <w:tcW w:w="5670" w:type="dxa"/>
            <w:tcBorders>
              <w:top w:val="single" w:sz="4" w:space="0" w:color="auto"/>
              <w:left w:val="single" w:sz="4" w:space="0" w:color="auto"/>
              <w:bottom w:val="single" w:sz="4" w:space="0" w:color="auto"/>
              <w:right w:val="single" w:sz="4" w:space="0" w:color="auto"/>
            </w:tcBorders>
            <w:hideMark/>
          </w:tcPr>
          <w:p w14:paraId="49B97E5E" w14:textId="71B5E837" w:rsidR="00814E7C" w:rsidRPr="009558E6" w:rsidRDefault="00814E7C" w:rsidP="008E5148">
            <w:pPr>
              <w:ind w:left="142" w:hanging="142"/>
              <w:contextualSpacing/>
              <w:jc w:val="both"/>
              <w:rPr>
                <w:rFonts w:asciiTheme="majorHAnsi" w:hAnsiTheme="majorHAnsi"/>
              </w:rPr>
            </w:pPr>
            <w:r w:rsidRPr="009558E6">
              <w:rPr>
                <w:rFonts w:asciiTheme="majorHAnsi" w:hAnsiTheme="majorHAnsi"/>
              </w:rPr>
              <w:t>2.1 Probabilité que la biomasse du stock reproducteur soit supérieure à B</w:t>
            </w:r>
            <w:r w:rsidRPr="009558E6">
              <w:rPr>
                <w:rFonts w:asciiTheme="majorHAnsi" w:hAnsiTheme="majorHAnsi"/>
                <w:vertAlign w:val="subscript"/>
              </w:rPr>
              <w:t>lim</w:t>
            </w:r>
            <w:r w:rsidRPr="009558E6">
              <w:rPr>
                <w:rFonts w:asciiTheme="majorHAnsi" w:hAnsiTheme="majorHAnsi"/>
              </w:rPr>
              <w:t xml:space="preserve"> (0,4 B</w:t>
            </w:r>
            <w:r w:rsidRPr="009558E6">
              <w:rPr>
                <w:rFonts w:asciiTheme="majorHAnsi" w:hAnsiTheme="majorHAnsi"/>
                <w:vertAlign w:val="subscript"/>
              </w:rPr>
              <w:t>PME</w:t>
            </w:r>
            <w:r w:rsidRPr="009558E6">
              <w:rPr>
                <w:rFonts w:asciiTheme="majorHAnsi" w:hAnsiTheme="majorHAnsi"/>
              </w:rPr>
              <w:t>)</w:t>
            </w:r>
            <w:r w:rsidRPr="009558E6">
              <w:rPr>
                <w:rFonts w:asciiTheme="majorHAnsi" w:hAnsiTheme="majorHAnsi"/>
                <w:vertAlign w:val="superscript"/>
                <w:lang w:eastAsia="en-GB"/>
              </w:rPr>
              <w:footnoteReference w:id="7"/>
            </w:r>
          </w:p>
        </w:tc>
        <w:tc>
          <w:tcPr>
            <w:tcW w:w="1134" w:type="dxa"/>
            <w:tcBorders>
              <w:top w:val="single" w:sz="4" w:space="0" w:color="auto"/>
              <w:left w:val="single" w:sz="4" w:space="0" w:color="auto"/>
              <w:bottom w:val="single" w:sz="4" w:space="0" w:color="auto"/>
              <w:right w:val="single" w:sz="4" w:space="0" w:color="auto"/>
            </w:tcBorders>
            <w:hideMark/>
          </w:tcPr>
          <w:p w14:paraId="6C31C07A" w14:textId="77777777" w:rsidR="00814E7C" w:rsidRPr="009558E6" w:rsidRDefault="00814E7C" w:rsidP="0035431C">
            <w:pPr>
              <w:ind w:left="142"/>
              <w:contextualSpacing/>
              <w:jc w:val="center"/>
              <w:rPr>
                <w:rFonts w:asciiTheme="majorHAnsi" w:hAnsiTheme="majorHAnsi"/>
              </w:rPr>
            </w:pPr>
            <w:r w:rsidRPr="009558E6">
              <w:rPr>
                <w:rFonts w:asciiTheme="majorHAnsi" w:hAnsiTheme="majorHAnsi"/>
              </w:rPr>
              <w:t>B/B</w:t>
            </w:r>
            <w:r w:rsidRPr="009558E6">
              <w:rPr>
                <w:rFonts w:asciiTheme="majorHAnsi" w:hAnsiTheme="majorHAnsi"/>
                <w:vertAlign w:val="subscript"/>
              </w:rPr>
              <w:t>PME</w:t>
            </w:r>
          </w:p>
        </w:tc>
        <w:tc>
          <w:tcPr>
            <w:tcW w:w="4957" w:type="dxa"/>
            <w:tcBorders>
              <w:top w:val="single" w:sz="4" w:space="0" w:color="auto"/>
              <w:left w:val="single" w:sz="4" w:space="0" w:color="auto"/>
              <w:bottom w:val="single" w:sz="4" w:space="0" w:color="auto"/>
              <w:right w:val="single" w:sz="4" w:space="0" w:color="auto"/>
            </w:tcBorders>
            <w:hideMark/>
          </w:tcPr>
          <w:p w14:paraId="4BB1EA7A" w14:textId="77777777" w:rsidR="00814E7C" w:rsidRPr="009558E6" w:rsidRDefault="00814E7C" w:rsidP="0035431C">
            <w:pPr>
              <w:ind w:left="142"/>
              <w:contextualSpacing/>
              <w:jc w:val="both"/>
              <w:rPr>
                <w:rFonts w:asciiTheme="majorHAnsi" w:hAnsiTheme="majorHAnsi"/>
              </w:rPr>
            </w:pPr>
            <w:r w:rsidRPr="009558E6">
              <w:rPr>
                <w:rFonts w:asciiTheme="majorHAnsi" w:hAnsiTheme="majorHAnsi"/>
              </w:rPr>
              <w:t>Nombre d'années pendant lesquelles B&gt;B</w:t>
            </w:r>
            <w:r w:rsidRPr="009558E6">
              <w:rPr>
                <w:rFonts w:asciiTheme="majorHAnsi" w:hAnsiTheme="majorHAnsi"/>
                <w:vertAlign w:val="subscript"/>
              </w:rPr>
              <w:t>lim</w:t>
            </w:r>
          </w:p>
        </w:tc>
      </w:tr>
      <w:tr w:rsidR="000A7818" w:rsidRPr="009558E6" w14:paraId="259A0230"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5E1DAF8D" w14:textId="204CE645" w:rsidR="00814E7C" w:rsidRPr="009558E6" w:rsidRDefault="00814E7C" w:rsidP="0035431C">
            <w:pPr>
              <w:ind w:left="22"/>
              <w:contextualSpacing/>
              <w:jc w:val="both"/>
              <w:rPr>
                <w:rFonts w:asciiTheme="majorHAnsi" w:eastAsiaTheme="minorEastAsia" w:hAnsiTheme="majorHAnsi"/>
              </w:rPr>
            </w:pPr>
            <w:r w:rsidRPr="009558E6">
              <w:rPr>
                <w:rFonts w:asciiTheme="majorHAnsi" w:hAnsiTheme="majorHAnsi"/>
              </w:rPr>
              <w:t>pB</w:t>
            </w:r>
            <w:r w:rsidR="002F7B64" w:rsidRPr="009558E6">
              <w:rPr>
                <w:rFonts w:asciiTheme="majorHAnsi" w:hAnsiTheme="majorHAnsi"/>
                <w:vertAlign w:val="subscript"/>
              </w:rPr>
              <w:t>INT</w:t>
            </w:r>
            <w:r w:rsidRPr="009558E6">
              <w:rPr>
                <w:rFonts w:asciiTheme="majorHAnsi" w:hAnsiTheme="majorHAnsi"/>
              </w:rPr>
              <w:t>%</w:t>
            </w:r>
          </w:p>
        </w:tc>
        <w:tc>
          <w:tcPr>
            <w:tcW w:w="5670" w:type="dxa"/>
            <w:tcBorders>
              <w:top w:val="single" w:sz="4" w:space="0" w:color="auto"/>
              <w:left w:val="single" w:sz="4" w:space="0" w:color="auto"/>
              <w:bottom w:val="single" w:sz="4" w:space="0" w:color="auto"/>
              <w:right w:val="single" w:sz="4" w:space="0" w:color="auto"/>
            </w:tcBorders>
            <w:hideMark/>
          </w:tcPr>
          <w:p w14:paraId="729C0DAB" w14:textId="2B375CC4" w:rsidR="00814E7C" w:rsidRPr="009558E6" w:rsidRDefault="00814E7C" w:rsidP="008E5148">
            <w:pPr>
              <w:ind w:left="142" w:hanging="142"/>
              <w:contextualSpacing/>
              <w:jc w:val="both"/>
              <w:rPr>
                <w:rFonts w:asciiTheme="majorHAnsi" w:hAnsiTheme="majorHAnsi"/>
                <w:b/>
              </w:rPr>
            </w:pPr>
            <w:r w:rsidRPr="009558E6">
              <w:rPr>
                <w:rFonts w:asciiTheme="majorHAnsi" w:hAnsiTheme="majorHAnsi"/>
                <w:b/>
              </w:rPr>
              <w:t>2.2 Probabilité B</w:t>
            </w:r>
            <w:r w:rsidRPr="009558E6">
              <w:rPr>
                <w:rFonts w:asciiTheme="majorHAnsi" w:hAnsiTheme="majorHAnsi"/>
                <w:b/>
                <w:vertAlign w:val="subscript"/>
              </w:rPr>
              <w:t>lim</w:t>
            </w:r>
            <w:r w:rsidRPr="009558E6">
              <w:rPr>
                <w:rFonts w:asciiTheme="majorHAnsi" w:hAnsiTheme="majorHAnsi"/>
                <w:b/>
              </w:rPr>
              <w:t>&lt;B&lt;B</w:t>
            </w:r>
            <w:r w:rsidRPr="009558E6">
              <w:rPr>
                <w:rFonts w:asciiTheme="majorHAnsi" w:hAnsiTheme="majorHAnsi"/>
                <w:b/>
                <w:vertAlign w:val="subscript"/>
              </w:rPr>
              <w:t>seuil</w:t>
            </w:r>
          </w:p>
        </w:tc>
        <w:tc>
          <w:tcPr>
            <w:tcW w:w="1134" w:type="dxa"/>
            <w:tcBorders>
              <w:top w:val="single" w:sz="4" w:space="0" w:color="auto"/>
              <w:left w:val="single" w:sz="4" w:space="0" w:color="auto"/>
              <w:bottom w:val="single" w:sz="4" w:space="0" w:color="auto"/>
              <w:right w:val="single" w:sz="4" w:space="0" w:color="auto"/>
            </w:tcBorders>
            <w:hideMark/>
          </w:tcPr>
          <w:p w14:paraId="67C548B0" w14:textId="77777777" w:rsidR="00814E7C" w:rsidRPr="009558E6" w:rsidRDefault="00814E7C" w:rsidP="0035431C">
            <w:pPr>
              <w:ind w:left="142"/>
              <w:contextualSpacing/>
              <w:jc w:val="center"/>
              <w:rPr>
                <w:rFonts w:asciiTheme="majorHAnsi" w:hAnsiTheme="majorHAnsi"/>
                <w:b/>
              </w:rPr>
            </w:pPr>
            <w:r w:rsidRPr="009558E6">
              <w:rPr>
                <w:rFonts w:asciiTheme="majorHAnsi" w:hAnsiTheme="majorHAnsi"/>
              </w:rPr>
              <w:t>B/B</w:t>
            </w:r>
            <w:r w:rsidRPr="009558E6">
              <w:rPr>
                <w:rFonts w:asciiTheme="majorHAnsi" w:hAnsiTheme="majorHAnsi"/>
                <w:vertAlign w:val="subscript"/>
              </w:rPr>
              <w:t>PME</w:t>
            </w:r>
          </w:p>
        </w:tc>
        <w:tc>
          <w:tcPr>
            <w:tcW w:w="4957" w:type="dxa"/>
            <w:tcBorders>
              <w:top w:val="single" w:sz="4" w:space="0" w:color="auto"/>
              <w:left w:val="single" w:sz="4" w:space="0" w:color="auto"/>
              <w:bottom w:val="single" w:sz="4" w:space="0" w:color="auto"/>
              <w:right w:val="single" w:sz="4" w:space="0" w:color="auto"/>
            </w:tcBorders>
            <w:hideMark/>
          </w:tcPr>
          <w:p w14:paraId="1682739D" w14:textId="77777777" w:rsidR="00814E7C" w:rsidRPr="009558E6" w:rsidRDefault="00814E7C" w:rsidP="0035431C">
            <w:pPr>
              <w:ind w:left="142"/>
              <w:contextualSpacing/>
              <w:jc w:val="both"/>
              <w:rPr>
                <w:rFonts w:asciiTheme="majorHAnsi" w:hAnsiTheme="majorHAnsi"/>
                <w:b/>
              </w:rPr>
            </w:pPr>
            <w:r w:rsidRPr="009558E6">
              <w:rPr>
                <w:rFonts w:asciiTheme="majorHAnsi" w:hAnsiTheme="majorHAnsi"/>
              </w:rPr>
              <w:t>Nombre d'années que B</w:t>
            </w:r>
            <w:r w:rsidRPr="009558E6">
              <w:rPr>
                <w:rFonts w:asciiTheme="majorHAnsi" w:hAnsiTheme="majorHAnsi"/>
                <w:vertAlign w:val="subscript"/>
              </w:rPr>
              <w:t>lim</w:t>
            </w:r>
            <w:r w:rsidRPr="009558E6">
              <w:rPr>
                <w:rFonts w:asciiTheme="majorHAnsi" w:hAnsiTheme="majorHAnsi"/>
              </w:rPr>
              <w:t>&lt;B&lt;B</w:t>
            </w:r>
            <w:r w:rsidRPr="009558E6">
              <w:rPr>
                <w:rFonts w:asciiTheme="majorHAnsi" w:hAnsiTheme="majorHAnsi"/>
                <w:vertAlign w:val="subscript"/>
              </w:rPr>
              <w:t>seuil</w:t>
            </w:r>
          </w:p>
        </w:tc>
      </w:tr>
      <w:tr w:rsidR="000A7818" w:rsidRPr="009558E6" w14:paraId="3F32D1F8"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62250DBE" w14:textId="77777777" w:rsidR="00814E7C" w:rsidRPr="009558E6" w:rsidRDefault="00814E7C" w:rsidP="0035431C">
            <w:pPr>
              <w:tabs>
                <w:tab w:val="left" w:pos="284"/>
              </w:tabs>
              <w:ind w:left="22"/>
              <w:contextualSpacing/>
              <w:jc w:val="both"/>
              <w:rPr>
                <w:rFonts w:asciiTheme="majorHAnsi" w:hAnsiTheme="majorHAnsi"/>
                <w:b/>
                <w:lang w:eastAsia="en-GB"/>
              </w:rPr>
            </w:pPr>
          </w:p>
        </w:tc>
        <w:tc>
          <w:tcPr>
            <w:tcW w:w="5670" w:type="dxa"/>
            <w:tcBorders>
              <w:top w:val="single" w:sz="4" w:space="0" w:color="auto"/>
              <w:left w:val="single" w:sz="4" w:space="0" w:color="auto"/>
              <w:bottom w:val="single" w:sz="4" w:space="0" w:color="auto"/>
              <w:right w:val="single" w:sz="4" w:space="0" w:color="auto"/>
            </w:tcBorders>
            <w:hideMark/>
          </w:tcPr>
          <w:p w14:paraId="2052AF1A" w14:textId="2EA7963C" w:rsidR="00814E7C" w:rsidRPr="009558E6" w:rsidRDefault="002F7B64" w:rsidP="008E5148">
            <w:pPr>
              <w:tabs>
                <w:tab w:val="left" w:pos="284"/>
              </w:tabs>
              <w:ind w:left="142" w:hanging="142"/>
              <w:contextualSpacing/>
              <w:jc w:val="both"/>
              <w:rPr>
                <w:rFonts w:asciiTheme="majorHAnsi" w:hAnsiTheme="majorHAnsi"/>
                <w:b/>
              </w:rPr>
            </w:pPr>
            <w:r w:rsidRPr="009558E6">
              <w:rPr>
                <w:rFonts w:asciiTheme="majorHAnsi" w:hAnsiTheme="majorHAnsi"/>
                <w:b/>
              </w:rPr>
              <w:t xml:space="preserve">3. </w:t>
            </w:r>
            <w:r w:rsidR="00814E7C" w:rsidRPr="009558E6">
              <w:rPr>
                <w:rFonts w:asciiTheme="majorHAnsi" w:hAnsiTheme="majorHAnsi"/>
                <w:b/>
              </w:rPr>
              <w:t>Production</w:t>
            </w:r>
          </w:p>
        </w:tc>
        <w:tc>
          <w:tcPr>
            <w:tcW w:w="1134" w:type="dxa"/>
            <w:tcBorders>
              <w:top w:val="single" w:sz="4" w:space="0" w:color="auto"/>
              <w:left w:val="single" w:sz="4" w:space="0" w:color="auto"/>
              <w:bottom w:val="single" w:sz="4" w:space="0" w:color="auto"/>
              <w:right w:val="single" w:sz="4" w:space="0" w:color="auto"/>
            </w:tcBorders>
          </w:tcPr>
          <w:p w14:paraId="1F142CBF" w14:textId="77777777" w:rsidR="00814E7C" w:rsidRPr="009558E6" w:rsidRDefault="00814E7C" w:rsidP="0035431C">
            <w:pPr>
              <w:ind w:left="142"/>
              <w:contextualSpacing/>
              <w:jc w:val="center"/>
              <w:rPr>
                <w:rFonts w:asciiTheme="majorHAnsi" w:hAnsiTheme="majorHAnsi"/>
                <w:b/>
                <w:lang w:eastAsia="en-GB"/>
              </w:rPr>
            </w:pPr>
          </w:p>
        </w:tc>
        <w:tc>
          <w:tcPr>
            <w:tcW w:w="4957" w:type="dxa"/>
            <w:tcBorders>
              <w:top w:val="single" w:sz="4" w:space="0" w:color="auto"/>
              <w:left w:val="single" w:sz="4" w:space="0" w:color="auto"/>
              <w:bottom w:val="single" w:sz="4" w:space="0" w:color="auto"/>
              <w:right w:val="single" w:sz="4" w:space="0" w:color="auto"/>
            </w:tcBorders>
          </w:tcPr>
          <w:p w14:paraId="64056CFB" w14:textId="77777777" w:rsidR="00814E7C" w:rsidRPr="009558E6" w:rsidRDefault="00814E7C" w:rsidP="0035431C">
            <w:pPr>
              <w:ind w:left="142"/>
              <w:contextualSpacing/>
              <w:jc w:val="both"/>
              <w:rPr>
                <w:rFonts w:asciiTheme="majorHAnsi" w:hAnsiTheme="majorHAnsi"/>
                <w:b/>
                <w:lang w:eastAsia="en-GB"/>
              </w:rPr>
            </w:pPr>
          </w:p>
        </w:tc>
      </w:tr>
      <w:tr w:rsidR="000A7818" w:rsidRPr="009558E6" w14:paraId="43FB5411"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3937E182" w14:textId="401B6F6F" w:rsidR="00814E7C" w:rsidRPr="009558E6" w:rsidRDefault="00814E7C" w:rsidP="0035431C">
            <w:pPr>
              <w:ind w:left="22"/>
              <w:contextualSpacing/>
              <w:jc w:val="both"/>
              <w:rPr>
                <w:rFonts w:asciiTheme="majorHAnsi" w:hAnsiTheme="majorHAnsi"/>
              </w:rPr>
            </w:pPr>
            <w:r w:rsidRPr="009558E6">
              <w:rPr>
                <w:rFonts w:asciiTheme="majorHAnsi" w:hAnsiTheme="majorHAnsi"/>
              </w:rPr>
              <w:t>ShortY (kt)</w:t>
            </w:r>
          </w:p>
        </w:tc>
        <w:tc>
          <w:tcPr>
            <w:tcW w:w="5670" w:type="dxa"/>
            <w:tcBorders>
              <w:top w:val="single" w:sz="4" w:space="0" w:color="auto"/>
              <w:left w:val="single" w:sz="4" w:space="0" w:color="auto"/>
              <w:bottom w:val="single" w:sz="4" w:space="0" w:color="auto"/>
              <w:right w:val="single" w:sz="4" w:space="0" w:color="auto"/>
            </w:tcBorders>
            <w:hideMark/>
          </w:tcPr>
          <w:p w14:paraId="1BADE971" w14:textId="428D13A8" w:rsidR="00814E7C" w:rsidRPr="009558E6" w:rsidRDefault="00814E7C" w:rsidP="008E5148">
            <w:pPr>
              <w:ind w:left="142" w:hanging="142"/>
              <w:contextualSpacing/>
              <w:jc w:val="both"/>
              <w:rPr>
                <w:rFonts w:asciiTheme="majorHAnsi" w:hAnsiTheme="majorHAnsi"/>
              </w:rPr>
            </w:pPr>
            <w:r w:rsidRPr="009558E6">
              <w:rPr>
                <w:rFonts w:asciiTheme="majorHAnsi" w:hAnsiTheme="majorHAnsi"/>
              </w:rPr>
              <w:t>3.1 Prise moyenne – à court terme</w:t>
            </w:r>
          </w:p>
        </w:tc>
        <w:tc>
          <w:tcPr>
            <w:tcW w:w="1134" w:type="dxa"/>
            <w:tcBorders>
              <w:top w:val="single" w:sz="4" w:space="0" w:color="auto"/>
              <w:left w:val="single" w:sz="4" w:space="0" w:color="auto"/>
              <w:bottom w:val="single" w:sz="4" w:space="0" w:color="auto"/>
              <w:right w:val="single" w:sz="4" w:space="0" w:color="auto"/>
            </w:tcBorders>
            <w:hideMark/>
          </w:tcPr>
          <w:p w14:paraId="79E15F6D" w14:textId="77777777" w:rsidR="00814E7C" w:rsidRPr="009558E6" w:rsidRDefault="00814E7C" w:rsidP="0035431C">
            <w:pPr>
              <w:ind w:left="142"/>
              <w:contextualSpacing/>
              <w:jc w:val="center"/>
              <w:rPr>
                <w:rFonts w:asciiTheme="majorHAnsi" w:hAnsiTheme="majorHAnsi"/>
              </w:rPr>
            </w:pPr>
            <w:r w:rsidRPr="009558E6">
              <w:rPr>
                <w:rFonts w:asciiTheme="majorHAnsi" w:hAnsiTheme="majorHAnsi"/>
              </w:rPr>
              <w:t>Prise</w:t>
            </w:r>
          </w:p>
        </w:tc>
        <w:tc>
          <w:tcPr>
            <w:tcW w:w="4957" w:type="dxa"/>
            <w:tcBorders>
              <w:top w:val="single" w:sz="4" w:space="0" w:color="auto"/>
              <w:left w:val="single" w:sz="4" w:space="0" w:color="auto"/>
              <w:bottom w:val="single" w:sz="4" w:space="0" w:color="auto"/>
              <w:right w:val="single" w:sz="4" w:space="0" w:color="auto"/>
            </w:tcBorders>
            <w:hideMark/>
          </w:tcPr>
          <w:p w14:paraId="5616CE75" w14:textId="77777777" w:rsidR="00814E7C" w:rsidRPr="009558E6" w:rsidRDefault="00814E7C" w:rsidP="0035431C">
            <w:pPr>
              <w:ind w:left="142"/>
              <w:contextualSpacing/>
              <w:jc w:val="both"/>
              <w:rPr>
                <w:rFonts w:asciiTheme="majorHAnsi" w:hAnsiTheme="majorHAnsi"/>
              </w:rPr>
            </w:pPr>
            <w:r w:rsidRPr="009558E6">
              <w:rPr>
                <w:rFonts w:asciiTheme="majorHAnsi" w:hAnsiTheme="majorHAnsi"/>
              </w:rPr>
              <w:t>Moyenne au cours de 1-3 ans</w:t>
            </w:r>
          </w:p>
        </w:tc>
      </w:tr>
      <w:tr w:rsidR="000A7818" w:rsidRPr="009558E6" w14:paraId="3F8FFD12"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4E5AB401" w14:textId="6EFD770F" w:rsidR="00814E7C" w:rsidRPr="009558E6" w:rsidRDefault="00814E7C" w:rsidP="0035431C">
            <w:pPr>
              <w:ind w:left="22"/>
              <w:contextualSpacing/>
              <w:jc w:val="both"/>
              <w:rPr>
                <w:rFonts w:asciiTheme="majorHAnsi" w:hAnsiTheme="majorHAnsi"/>
              </w:rPr>
            </w:pPr>
            <w:r w:rsidRPr="009558E6">
              <w:rPr>
                <w:rFonts w:asciiTheme="majorHAnsi" w:hAnsiTheme="majorHAnsi"/>
              </w:rPr>
              <w:t>MediumY (kt)</w:t>
            </w:r>
          </w:p>
        </w:tc>
        <w:tc>
          <w:tcPr>
            <w:tcW w:w="5670" w:type="dxa"/>
            <w:tcBorders>
              <w:top w:val="single" w:sz="4" w:space="0" w:color="auto"/>
              <w:left w:val="single" w:sz="4" w:space="0" w:color="auto"/>
              <w:bottom w:val="single" w:sz="4" w:space="0" w:color="auto"/>
              <w:right w:val="single" w:sz="4" w:space="0" w:color="auto"/>
            </w:tcBorders>
            <w:hideMark/>
          </w:tcPr>
          <w:p w14:paraId="1BD4E9CB" w14:textId="2FD30B06" w:rsidR="00814E7C" w:rsidRPr="009558E6" w:rsidRDefault="00814E7C" w:rsidP="008E5148">
            <w:pPr>
              <w:ind w:left="142" w:hanging="142"/>
              <w:contextualSpacing/>
              <w:jc w:val="both"/>
              <w:rPr>
                <w:rFonts w:asciiTheme="majorHAnsi" w:hAnsiTheme="majorHAnsi"/>
                <w:b/>
              </w:rPr>
            </w:pPr>
            <w:r w:rsidRPr="009558E6">
              <w:rPr>
                <w:rFonts w:asciiTheme="majorHAnsi" w:hAnsiTheme="majorHAnsi"/>
              </w:rPr>
              <w:t>3.2 Prise moyenne – à moyen terme</w:t>
            </w:r>
          </w:p>
        </w:tc>
        <w:tc>
          <w:tcPr>
            <w:tcW w:w="1134" w:type="dxa"/>
            <w:tcBorders>
              <w:top w:val="single" w:sz="4" w:space="0" w:color="auto"/>
              <w:left w:val="single" w:sz="4" w:space="0" w:color="auto"/>
              <w:bottom w:val="single" w:sz="4" w:space="0" w:color="auto"/>
              <w:right w:val="single" w:sz="4" w:space="0" w:color="auto"/>
            </w:tcBorders>
            <w:hideMark/>
          </w:tcPr>
          <w:p w14:paraId="5219CD83" w14:textId="77777777" w:rsidR="00814E7C" w:rsidRPr="009558E6" w:rsidRDefault="00814E7C" w:rsidP="0035431C">
            <w:pPr>
              <w:ind w:left="142"/>
              <w:contextualSpacing/>
              <w:jc w:val="center"/>
              <w:rPr>
                <w:rFonts w:asciiTheme="majorHAnsi" w:hAnsiTheme="majorHAnsi"/>
                <w:b/>
              </w:rPr>
            </w:pPr>
            <w:r w:rsidRPr="009558E6">
              <w:rPr>
                <w:rFonts w:asciiTheme="majorHAnsi" w:hAnsiTheme="majorHAnsi"/>
              </w:rPr>
              <w:t>Prise</w:t>
            </w:r>
          </w:p>
        </w:tc>
        <w:tc>
          <w:tcPr>
            <w:tcW w:w="4957" w:type="dxa"/>
            <w:tcBorders>
              <w:top w:val="single" w:sz="4" w:space="0" w:color="auto"/>
              <w:left w:val="single" w:sz="4" w:space="0" w:color="auto"/>
              <w:bottom w:val="single" w:sz="4" w:space="0" w:color="auto"/>
              <w:right w:val="single" w:sz="4" w:space="0" w:color="auto"/>
            </w:tcBorders>
            <w:hideMark/>
          </w:tcPr>
          <w:p w14:paraId="42EE0058" w14:textId="77777777" w:rsidR="00814E7C" w:rsidRPr="009558E6" w:rsidRDefault="00814E7C" w:rsidP="0035431C">
            <w:pPr>
              <w:ind w:left="142"/>
              <w:contextualSpacing/>
              <w:jc w:val="both"/>
              <w:rPr>
                <w:rFonts w:asciiTheme="majorHAnsi" w:hAnsiTheme="majorHAnsi"/>
                <w:b/>
              </w:rPr>
            </w:pPr>
            <w:r w:rsidRPr="009558E6">
              <w:rPr>
                <w:rFonts w:asciiTheme="majorHAnsi" w:hAnsiTheme="majorHAnsi"/>
              </w:rPr>
              <w:t>Moyenne au cours de 5-10 ans</w:t>
            </w:r>
          </w:p>
        </w:tc>
      </w:tr>
      <w:tr w:rsidR="000A7818" w:rsidRPr="009558E6" w14:paraId="1B6F94F8"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25676AE0" w14:textId="4860AEB7" w:rsidR="00814E7C" w:rsidRPr="009558E6" w:rsidRDefault="00814E7C" w:rsidP="0035431C">
            <w:pPr>
              <w:ind w:left="22"/>
              <w:contextualSpacing/>
              <w:jc w:val="both"/>
              <w:rPr>
                <w:rFonts w:asciiTheme="majorHAnsi" w:hAnsiTheme="majorHAnsi"/>
              </w:rPr>
            </w:pPr>
            <w:r w:rsidRPr="009558E6">
              <w:rPr>
                <w:rFonts w:asciiTheme="majorHAnsi" w:hAnsiTheme="majorHAnsi"/>
              </w:rPr>
              <w:t>LongY (kt)</w:t>
            </w:r>
          </w:p>
        </w:tc>
        <w:tc>
          <w:tcPr>
            <w:tcW w:w="5670" w:type="dxa"/>
            <w:tcBorders>
              <w:top w:val="single" w:sz="4" w:space="0" w:color="auto"/>
              <w:left w:val="single" w:sz="4" w:space="0" w:color="auto"/>
              <w:bottom w:val="single" w:sz="4" w:space="0" w:color="auto"/>
              <w:right w:val="single" w:sz="4" w:space="0" w:color="auto"/>
            </w:tcBorders>
            <w:hideMark/>
          </w:tcPr>
          <w:p w14:paraId="11EC71DC" w14:textId="08B86781" w:rsidR="00814E7C" w:rsidRPr="009558E6" w:rsidRDefault="00814E7C" w:rsidP="008E5148">
            <w:pPr>
              <w:ind w:left="142" w:hanging="142"/>
              <w:contextualSpacing/>
              <w:jc w:val="both"/>
              <w:rPr>
                <w:rFonts w:asciiTheme="majorHAnsi" w:hAnsiTheme="majorHAnsi"/>
                <w:b/>
              </w:rPr>
            </w:pPr>
            <w:r w:rsidRPr="009558E6">
              <w:rPr>
                <w:rFonts w:asciiTheme="majorHAnsi" w:hAnsiTheme="majorHAnsi"/>
                <w:b/>
                <w:bCs/>
              </w:rPr>
              <w:t>3.3 Prise moyenne – à long terme</w:t>
            </w:r>
          </w:p>
        </w:tc>
        <w:tc>
          <w:tcPr>
            <w:tcW w:w="1134" w:type="dxa"/>
            <w:tcBorders>
              <w:top w:val="single" w:sz="4" w:space="0" w:color="auto"/>
              <w:left w:val="single" w:sz="4" w:space="0" w:color="auto"/>
              <w:bottom w:val="single" w:sz="4" w:space="0" w:color="auto"/>
              <w:right w:val="single" w:sz="4" w:space="0" w:color="auto"/>
            </w:tcBorders>
            <w:hideMark/>
          </w:tcPr>
          <w:p w14:paraId="36D8C1FD" w14:textId="77777777" w:rsidR="00814E7C" w:rsidRPr="009558E6" w:rsidRDefault="00814E7C" w:rsidP="0035431C">
            <w:pPr>
              <w:ind w:left="142"/>
              <w:contextualSpacing/>
              <w:jc w:val="center"/>
              <w:rPr>
                <w:rFonts w:asciiTheme="majorHAnsi" w:hAnsiTheme="majorHAnsi"/>
                <w:b/>
              </w:rPr>
            </w:pPr>
            <w:r w:rsidRPr="009558E6">
              <w:rPr>
                <w:rFonts w:asciiTheme="majorHAnsi" w:hAnsiTheme="majorHAnsi"/>
              </w:rPr>
              <w:t>Prise</w:t>
            </w:r>
          </w:p>
        </w:tc>
        <w:tc>
          <w:tcPr>
            <w:tcW w:w="4957" w:type="dxa"/>
            <w:tcBorders>
              <w:top w:val="single" w:sz="4" w:space="0" w:color="auto"/>
              <w:left w:val="single" w:sz="4" w:space="0" w:color="auto"/>
              <w:bottom w:val="single" w:sz="4" w:space="0" w:color="auto"/>
              <w:right w:val="single" w:sz="4" w:space="0" w:color="auto"/>
            </w:tcBorders>
            <w:hideMark/>
          </w:tcPr>
          <w:p w14:paraId="3496E22D" w14:textId="77777777" w:rsidR="00814E7C" w:rsidRPr="009558E6" w:rsidRDefault="00814E7C" w:rsidP="0035431C">
            <w:pPr>
              <w:ind w:left="142"/>
              <w:contextualSpacing/>
              <w:jc w:val="both"/>
              <w:rPr>
                <w:rFonts w:asciiTheme="majorHAnsi" w:eastAsiaTheme="minorEastAsia" w:hAnsiTheme="majorHAnsi"/>
                <w:b/>
              </w:rPr>
            </w:pPr>
            <w:r w:rsidRPr="009558E6">
              <w:rPr>
                <w:rFonts w:asciiTheme="majorHAnsi" w:hAnsiTheme="majorHAnsi"/>
              </w:rPr>
              <w:t>Moyenne sur 15 et 30 ans</w:t>
            </w:r>
          </w:p>
        </w:tc>
      </w:tr>
      <w:tr w:rsidR="000A7818" w:rsidRPr="009558E6" w14:paraId="3C2DFDFA"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2809998A" w14:textId="77777777" w:rsidR="00814E7C" w:rsidRPr="009558E6" w:rsidRDefault="00814E7C" w:rsidP="0035431C">
            <w:pPr>
              <w:tabs>
                <w:tab w:val="left" w:pos="284"/>
              </w:tabs>
              <w:ind w:left="22"/>
              <w:contextualSpacing/>
              <w:jc w:val="both"/>
              <w:rPr>
                <w:rFonts w:asciiTheme="majorHAnsi" w:hAnsiTheme="majorHAnsi"/>
                <w:b/>
                <w:lang w:eastAsia="en-GB"/>
              </w:rPr>
            </w:pPr>
          </w:p>
        </w:tc>
        <w:tc>
          <w:tcPr>
            <w:tcW w:w="5670" w:type="dxa"/>
            <w:tcBorders>
              <w:top w:val="single" w:sz="4" w:space="0" w:color="auto"/>
              <w:left w:val="single" w:sz="4" w:space="0" w:color="auto"/>
              <w:bottom w:val="single" w:sz="4" w:space="0" w:color="auto"/>
              <w:right w:val="single" w:sz="4" w:space="0" w:color="auto"/>
            </w:tcBorders>
            <w:hideMark/>
          </w:tcPr>
          <w:p w14:paraId="22B29F8C" w14:textId="0B7BD0E5" w:rsidR="00814E7C" w:rsidRPr="009558E6" w:rsidRDefault="00814E7C" w:rsidP="008E5148">
            <w:pPr>
              <w:tabs>
                <w:tab w:val="left" w:pos="284"/>
              </w:tabs>
              <w:ind w:left="142" w:hanging="142"/>
              <w:contextualSpacing/>
              <w:jc w:val="both"/>
              <w:rPr>
                <w:rFonts w:asciiTheme="majorHAnsi" w:eastAsiaTheme="minorEastAsia" w:hAnsiTheme="majorHAnsi"/>
                <w:b/>
              </w:rPr>
            </w:pPr>
            <w:r w:rsidRPr="009558E6">
              <w:rPr>
                <w:rFonts w:asciiTheme="majorHAnsi" w:hAnsiTheme="majorHAnsi"/>
                <w:b/>
              </w:rPr>
              <w:t xml:space="preserve">4. Stabilité </w:t>
            </w:r>
          </w:p>
        </w:tc>
        <w:tc>
          <w:tcPr>
            <w:tcW w:w="1134" w:type="dxa"/>
            <w:tcBorders>
              <w:top w:val="single" w:sz="4" w:space="0" w:color="auto"/>
              <w:left w:val="single" w:sz="4" w:space="0" w:color="auto"/>
              <w:bottom w:val="single" w:sz="4" w:space="0" w:color="auto"/>
              <w:right w:val="single" w:sz="4" w:space="0" w:color="auto"/>
            </w:tcBorders>
          </w:tcPr>
          <w:p w14:paraId="399F9334" w14:textId="77777777" w:rsidR="00814E7C" w:rsidRPr="009558E6" w:rsidRDefault="00814E7C" w:rsidP="0035431C">
            <w:pPr>
              <w:ind w:left="142"/>
              <w:contextualSpacing/>
              <w:jc w:val="center"/>
              <w:rPr>
                <w:rFonts w:asciiTheme="majorHAnsi" w:hAnsiTheme="majorHAnsi"/>
                <w:b/>
                <w:lang w:eastAsia="en-GB"/>
              </w:rPr>
            </w:pPr>
          </w:p>
        </w:tc>
        <w:tc>
          <w:tcPr>
            <w:tcW w:w="4957" w:type="dxa"/>
            <w:tcBorders>
              <w:top w:val="single" w:sz="4" w:space="0" w:color="auto"/>
              <w:left w:val="single" w:sz="4" w:space="0" w:color="auto"/>
              <w:bottom w:val="single" w:sz="4" w:space="0" w:color="auto"/>
              <w:right w:val="single" w:sz="4" w:space="0" w:color="auto"/>
            </w:tcBorders>
          </w:tcPr>
          <w:p w14:paraId="39DF0776" w14:textId="77777777" w:rsidR="00814E7C" w:rsidRPr="009558E6" w:rsidRDefault="00814E7C" w:rsidP="0035431C">
            <w:pPr>
              <w:ind w:left="142"/>
              <w:contextualSpacing/>
              <w:jc w:val="both"/>
              <w:rPr>
                <w:rFonts w:asciiTheme="majorHAnsi" w:hAnsiTheme="majorHAnsi"/>
                <w:b/>
                <w:lang w:eastAsia="en-GB"/>
              </w:rPr>
            </w:pPr>
          </w:p>
        </w:tc>
      </w:tr>
      <w:tr w:rsidR="000A7818" w:rsidRPr="009558E6" w14:paraId="12CC3F9D"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1A926908" w14:textId="5A368482" w:rsidR="00814E7C" w:rsidRPr="009558E6" w:rsidRDefault="00814E7C" w:rsidP="0035431C">
            <w:pPr>
              <w:ind w:left="22"/>
              <w:contextualSpacing/>
              <w:jc w:val="both"/>
              <w:rPr>
                <w:rFonts w:asciiTheme="majorHAnsi" w:hAnsiTheme="majorHAnsi"/>
              </w:rPr>
            </w:pPr>
            <w:r w:rsidRPr="009558E6">
              <w:rPr>
                <w:rFonts w:asciiTheme="majorHAnsi" w:hAnsiTheme="majorHAnsi"/>
              </w:rPr>
              <w:t>MAP %</w:t>
            </w:r>
          </w:p>
        </w:tc>
        <w:tc>
          <w:tcPr>
            <w:tcW w:w="5670" w:type="dxa"/>
            <w:tcBorders>
              <w:top w:val="single" w:sz="4" w:space="0" w:color="auto"/>
              <w:left w:val="single" w:sz="4" w:space="0" w:color="auto"/>
              <w:bottom w:val="single" w:sz="4" w:space="0" w:color="auto"/>
              <w:right w:val="single" w:sz="4" w:space="0" w:color="auto"/>
            </w:tcBorders>
            <w:hideMark/>
          </w:tcPr>
          <w:p w14:paraId="4B753DEE" w14:textId="13540D64" w:rsidR="00814E7C" w:rsidRPr="009558E6" w:rsidRDefault="00814E7C" w:rsidP="008E5148">
            <w:pPr>
              <w:ind w:left="142" w:hanging="142"/>
              <w:contextualSpacing/>
              <w:jc w:val="both"/>
              <w:rPr>
                <w:rFonts w:asciiTheme="majorHAnsi" w:hAnsiTheme="majorHAnsi"/>
                <w:b/>
                <w:bCs/>
              </w:rPr>
            </w:pPr>
            <w:r w:rsidRPr="009558E6">
              <w:rPr>
                <w:rFonts w:asciiTheme="majorHAnsi" w:hAnsiTheme="majorHAnsi"/>
                <w:b/>
                <w:bCs/>
              </w:rPr>
              <w:t>4.1 Changement proportionnel absolu de la moyenne des prises</w:t>
            </w:r>
          </w:p>
        </w:tc>
        <w:tc>
          <w:tcPr>
            <w:tcW w:w="1134" w:type="dxa"/>
            <w:tcBorders>
              <w:top w:val="single" w:sz="4" w:space="0" w:color="auto"/>
              <w:left w:val="single" w:sz="4" w:space="0" w:color="auto"/>
              <w:bottom w:val="single" w:sz="4" w:space="0" w:color="auto"/>
              <w:right w:val="single" w:sz="4" w:space="0" w:color="auto"/>
            </w:tcBorders>
            <w:hideMark/>
          </w:tcPr>
          <w:p w14:paraId="6BD5B2B1" w14:textId="77777777" w:rsidR="00814E7C" w:rsidRPr="009558E6" w:rsidRDefault="00814E7C" w:rsidP="0035431C">
            <w:pPr>
              <w:ind w:left="142"/>
              <w:contextualSpacing/>
              <w:jc w:val="center"/>
              <w:rPr>
                <w:rFonts w:asciiTheme="majorHAnsi" w:hAnsiTheme="majorHAnsi"/>
              </w:rPr>
            </w:pPr>
            <w:r w:rsidRPr="009558E6">
              <w:rPr>
                <w:rFonts w:asciiTheme="majorHAnsi" w:hAnsiTheme="majorHAnsi"/>
              </w:rPr>
              <w:t>Prise (C)</w:t>
            </w:r>
          </w:p>
        </w:tc>
        <w:tc>
          <w:tcPr>
            <w:tcW w:w="4957" w:type="dxa"/>
            <w:tcBorders>
              <w:top w:val="single" w:sz="4" w:space="0" w:color="auto"/>
              <w:left w:val="single" w:sz="4" w:space="0" w:color="auto"/>
              <w:bottom w:val="single" w:sz="4" w:space="0" w:color="auto"/>
              <w:right w:val="single" w:sz="4" w:space="0" w:color="auto"/>
            </w:tcBorders>
            <w:hideMark/>
          </w:tcPr>
          <w:p w14:paraId="00352B56" w14:textId="77777777" w:rsidR="00814E7C" w:rsidRPr="009558E6" w:rsidRDefault="00814E7C" w:rsidP="0035431C">
            <w:pPr>
              <w:ind w:left="142"/>
              <w:contextualSpacing/>
              <w:jc w:val="both"/>
              <w:rPr>
                <w:rFonts w:asciiTheme="majorHAnsi" w:hAnsiTheme="majorHAnsi"/>
              </w:rPr>
            </w:pPr>
            <w:r w:rsidRPr="009558E6">
              <w:rPr>
                <w:rFonts w:asciiTheme="majorHAnsi" w:hAnsiTheme="majorHAnsi"/>
              </w:rPr>
              <w:t>Moyenne au cours de [x] ans pendant laquelle (C</w:t>
            </w:r>
            <w:r w:rsidRPr="009558E6">
              <w:rPr>
                <w:rFonts w:asciiTheme="majorHAnsi" w:hAnsiTheme="majorHAnsi"/>
                <w:vertAlign w:val="subscript"/>
              </w:rPr>
              <w:t>n</w:t>
            </w:r>
            <w:r w:rsidRPr="009558E6">
              <w:rPr>
                <w:rFonts w:asciiTheme="majorHAnsi" w:hAnsiTheme="majorHAnsi"/>
              </w:rPr>
              <w:t>-C</w:t>
            </w:r>
            <w:r w:rsidRPr="009558E6">
              <w:rPr>
                <w:rFonts w:asciiTheme="majorHAnsi" w:hAnsiTheme="majorHAnsi"/>
                <w:vertAlign w:val="subscript"/>
              </w:rPr>
              <w:t>n</w:t>
            </w:r>
            <w:r w:rsidRPr="009558E6">
              <w:rPr>
                <w:vertAlign w:val="subscript"/>
              </w:rPr>
              <w:t>-</w:t>
            </w:r>
            <w:r w:rsidRPr="009558E6">
              <w:rPr>
                <w:rFonts w:asciiTheme="majorHAnsi" w:hAnsiTheme="majorHAnsi"/>
                <w:vertAlign w:val="subscript"/>
              </w:rPr>
              <w:t>1</w:t>
            </w:r>
            <w:r w:rsidRPr="009558E6">
              <w:rPr>
                <w:rFonts w:asciiTheme="majorHAnsi" w:hAnsiTheme="majorHAnsi"/>
              </w:rPr>
              <w:t>)/ C</w:t>
            </w:r>
            <w:r w:rsidRPr="009558E6">
              <w:rPr>
                <w:rFonts w:asciiTheme="majorHAnsi" w:hAnsiTheme="majorHAnsi"/>
                <w:vertAlign w:val="subscript"/>
              </w:rPr>
              <w:t>n-1</w:t>
            </w:r>
          </w:p>
        </w:tc>
      </w:tr>
      <w:tr w:rsidR="000A7818" w:rsidRPr="009558E6" w14:paraId="79D6C720"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4CAE2A4A" w14:textId="2039F7ED" w:rsidR="00814E7C" w:rsidRPr="009558E6" w:rsidRDefault="000968AE" w:rsidP="0035431C">
            <w:pPr>
              <w:ind w:left="22"/>
              <w:contextualSpacing/>
              <w:jc w:val="both"/>
              <w:rPr>
                <w:rFonts w:asciiTheme="majorHAnsi" w:hAnsiTheme="majorHAnsi"/>
              </w:rPr>
            </w:pPr>
            <w:r w:rsidRPr="009558E6">
              <w:rPr>
                <w:rFonts w:asciiTheme="majorHAnsi" w:hAnsiTheme="majorHAnsi"/>
              </w:rPr>
              <w:t>var</w:t>
            </w:r>
          </w:p>
        </w:tc>
        <w:tc>
          <w:tcPr>
            <w:tcW w:w="5670" w:type="dxa"/>
            <w:tcBorders>
              <w:top w:val="single" w:sz="4" w:space="0" w:color="auto"/>
              <w:left w:val="single" w:sz="4" w:space="0" w:color="auto"/>
              <w:bottom w:val="single" w:sz="4" w:space="0" w:color="auto"/>
              <w:right w:val="single" w:sz="4" w:space="0" w:color="auto"/>
            </w:tcBorders>
            <w:hideMark/>
          </w:tcPr>
          <w:p w14:paraId="40B11472" w14:textId="7DD4181E" w:rsidR="00814E7C" w:rsidRPr="009558E6" w:rsidRDefault="00814E7C" w:rsidP="008E5148">
            <w:pPr>
              <w:ind w:left="142" w:hanging="142"/>
              <w:contextualSpacing/>
              <w:jc w:val="both"/>
              <w:rPr>
                <w:rFonts w:asciiTheme="majorHAnsi" w:hAnsiTheme="majorHAnsi"/>
              </w:rPr>
            </w:pPr>
            <w:r w:rsidRPr="009558E6">
              <w:rPr>
                <w:rFonts w:asciiTheme="majorHAnsi" w:hAnsiTheme="majorHAnsi"/>
              </w:rPr>
              <w:t>4.2 Variation de la capture</w:t>
            </w:r>
          </w:p>
        </w:tc>
        <w:tc>
          <w:tcPr>
            <w:tcW w:w="1134" w:type="dxa"/>
            <w:tcBorders>
              <w:top w:val="single" w:sz="4" w:space="0" w:color="auto"/>
              <w:left w:val="single" w:sz="4" w:space="0" w:color="auto"/>
              <w:bottom w:val="single" w:sz="4" w:space="0" w:color="auto"/>
              <w:right w:val="single" w:sz="4" w:space="0" w:color="auto"/>
            </w:tcBorders>
            <w:hideMark/>
          </w:tcPr>
          <w:p w14:paraId="646A3A47" w14:textId="77777777" w:rsidR="00814E7C" w:rsidRPr="009558E6" w:rsidRDefault="00814E7C" w:rsidP="0035431C">
            <w:pPr>
              <w:ind w:left="142"/>
              <w:contextualSpacing/>
              <w:jc w:val="center"/>
              <w:rPr>
                <w:rFonts w:asciiTheme="majorHAnsi" w:hAnsiTheme="majorHAnsi"/>
              </w:rPr>
            </w:pPr>
            <w:r w:rsidRPr="009558E6">
              <w:rPr>
                <w:rFonts w:asciiTheme="majorHAnsi" w:hAnsiTheme="majorHAnsi"/>
              </w:rPr>
              <w:t>Prise (C)</w:t>
            </w:r>
          </w:p>
        </w:tc>
        <w:tc>
          <w:tcPr>
            <w:tcW w:w="4957" w:type="dxa"/>
            <w:tcBorders>
              <w:top w:val="single" w:sz="4" w:space="0" w:color="auto"/>
              <w:left w:val="single" w:sz="4" w:space="0" w:color="auto"/>
              <w:bottom w:val="single" w:sz="4" w:space="0" w:color="auto"/>
              <w:right w:val="single" w:sz="4" w:space="0" w:color="auto"/>
            </w:tcBorders>
            <w:hideMark/>
          </w:tcPr>
          <w:p w14:paraId="5A4A922E" w14:textId="77777777" w:rsidR="00814E7C" w:rsidRPr="009558E6" w:rsidRDefault="00814E7C" w:rsidP="0035431C">
            <w:pPr>
              <w:ind w:left="142"/>
              <w:contextualSpacing/>
              <w:jc w:val="both"/>
              <w:rPr>
                <w:rFonts w:asciiTheme="majorHAnsi" w:hAnsiTheme="majorHAnsi"/>
              </w:rPr>
            </w:pPr>
            <w:r w:rsidRPr="009558E6">
              <w:rPr>
                <w:rFonts w:asciiTheme="majorHAnsi" w:hAnsiTheme="majorHAnsi"/>
              </w:rPr>
              <w:t>Variation au cours de [x] ans</w:t>
            </w:r>
          </w:p>
        </w:tc>
      </w:tr>
      <w:tr w:rsidR="000A7818" w:rsidRPr="009558E6" w14:paraId="03D532B2" w14:textId="77777777" w:rsidTr="008E5148">
        <w:trPr>
          <w:trHeight w:val="137"/>
        </w:trPr>
        <w:tc>
          <w:tcPr>
            <w:tcW w:w="1271" w:type="dxa"/>
            <w:tcBorders>
              <w:top w:val="single" w:sz="4" w:space="0" w:color="auto"/>
              <w:left w:val="single" w:sz="4" w:space="0" w:color="auto"/>
              <w:bottom w:val="single" w:sz="4" w:space="0" w:color="auto"/>
              <w:right w:val="single" w:sz="4" w:space="0" w:color="auto"/>
            </w:tcBorders>
          </w:tcPr>
          <w:p w14:paraId="1EA946FD" w14:textId="731E836C" w:rsidR="00814E7C" w:rsidRPr="009558E6" w:rsidRDefault="000968AE" w:rsidP="0035431C">
            <w:pPr>
              <w:ind w:left="22"/>
              <w:contextualSpacing/>
              <w:jc w:val="both"/>
              <w:rPr>
                <w:rFonts w:asciiTheme="majorHAnsi" w:hAnsiTheme="majorHAnsi"/>
              </w:rPr>
            </w:pPr>
            <w:r w:rsidRPr="009558E6">
              <w:rPr>
                <w:rFonts w:asciiTheme="majorHAnsi" w:hAnsiTheme="majorHAnsi"/>
              </w:rPr>
              <w:t>Pshut</w:t>
            </w:r>
          </w:p>
        </w:tc>
        <w:tc>
          <w:tcPr>
            <w:tcW w:w="5670" w:type="dxa"/>
            <w:tcBorders>
              <w:top w:val="single" w:sz="4" w:space="0" w:color="auto"/>
              <w:left w:val="single" w:sz="4" w:space="0" w:color="auto"/>
              <w:bottom w:val="single" w:sz="4" w:space="0" w:color="auto"/>
              <w:right w:val="single" w:sz="4" w:space="0" w:color="auto"/>
            </w:tcBorders>
            <w:hideMark/>
          </w:tcPr>
          <w:p w14:paraId="3FA1FD5A" w14:textId="248464A4" w:rsidR="00814E7C" w:rsidRPr="009558E6" w:rsidRDefault="00814E7C" w:rsidP="001253D6">
            <w:pPr>
              <w:ind w:left="142" w:hanging="142"/>
              <w:contextualSpacing/>
              <w:jc w:val="both"/>
              <w:rPr>
                <w:rFonts w:asciiTheme="majorHAnsi" w:hAnsiTheme="majorHAnsi"/>
              </w:rPr>
            </w:pPr>
            <w:r w:rsidRPr="009558E6">
              <w:rPr>
                <w:rFonts w:asciiTheme="majorHAnsi" w:hAnsiTheme="majorHAnsi"/>
              </w:rPr>
              <w:t>4.3 Probabilité de fermeture</w:t>
            </w:r>
          </w:p>
        </w:tc>
        <w:tc>
          <w:tcPr>
            <w:tcW w:w="1134" w:type="dxa"/>
            <w:tcBorders>
              <w:top w:val="single" w:sz="4" w:space="0" w:color="auto"/>
              <w:left w:val="single" w:sz="4" w:space="0" w:color="auto"/>
              <w:bottom w:val="single" w:sz="4" w:space="0" w:color="auto"/>
              <w:right w:val="single" w:sz="4" w:space="0" w:color="auto"/>
            </w:tcBorders>
            <w:hideMark/>
          </w:tcPr>
          <w:p w14:paraId="448140BC" w14:textId="07C7644B" w:rsidR="00814E7C" w:rsidRPr="009558E6" w:rsidRDefault="00814E7C" w:rsidP="0035431C">
            <w:pPr>
              <w:ind w:left="142"/>
              <w:contextualSpacing/>
              <w:jc w:val="center"/>
              <w:rPr>
                <w:rFonts w:asciiTheme="majorHAnsi" w:eastAsiaTheme="minorEastAsia" w:hAnsiTheme="majorHAnsi"/>
              </w:rPr>
            </w:pPr>
            <w:r w:rsidRPr="009558E6">
              <w:rPr>
                <w:rFonts w:asciiTheme="majorHAnsi" w:hAnsiTheme="majorHAnsi"/>
              </w:rPr>
              <w:t>TAC</w:t>
            </w:r>
          </w:p>
        </w:tc>
        <w:tc>
          <w:tcPr>
            <w:tcW w:w="4957" w:type="dxa"/>
            <w:tcBorders>
              <w:top w:val="single" w:sz="4" w:space="0" w:color="auto"/>
              <w:left w:val="single" w:sz="4" w:space="0" w:color="auto"/>
              <w:bottom w:val="single" w:sz="4" w:space="0" w:color="auto"/>
              <w:right w:val="single" w:sz="4" w:space="0" w:color="auto"/>
            </w:tcBorders>
            <w:hideMark/>
          </w:tcPr>
          <w:p w14:paraId="2D9D3A60" w14:textId="77777777" w:rsidR="00814E7C" w:rsidRPr="009558E6" w:rsidRDefault="00814E7C" w:rsidP="0035431C">
            <w:pPr>
              <w:ind w:left="142"/>
              <w:contextualSpacing/>
              <w:jc w:val="both"/>
              <w:rPr>
                <w:rFonts w:asciiTheme="majorHAnsi" w:hAnsiTheme="majorHAnsi"/>
              </w:rPr>
            </w:pPr>
            <w:r w:rsidRPr="009558E6">
              <w:rPr>
                <w:rFonts w:asciiTheme="majorHAnsi" w:hAnsiTheme="majorHAnsi"/>
              </w:rPr>
              <w:t>Nombre d'années pendant lesquelles TAC=0</w:t>
            </w:r>
          </w:p>
        </w:tc>
      </w:tr>
      <w:tr w:rsidR="000A7818" w:rsidRPr="009558E6" w14:paraId="3F8A8F19" w14:textId="77777777" w:rsidTr="008E5148">
        <w:trPr>
          <w:trHeight w:val="321"/>
        </w:trPr>
        <w:tc>
          <w:tcPr>
            <w:tcW w:w="1271" w:type="dxa"/>
            <w:tcBorders>
              <w:top w:val="single" w:sz="4" w:space="0" w:color="auto"/>
              <w:left w:val="single" w:sz="4" w:space="0" w:color="auto"/>
              <w:bottom w:val="single" w:sz="4" w:space="0" w:color="auto"/>
              <w:right w:val="single" w:sz="4" w:space="0" w:color="auto"/>
            </w:tcBorders>
          </w:tcPr>
          <w:p w14:paraId="458AE4D3" w14:textId="00EFC4D2" w:rsidR="00814E7C" w:rsidRPr="009558E6" w:rsidRDefault="000968AE" w:rsidP="0035431C">
            <w:pPr>
              <w:ind w:left="22"/>
              <w:contextualSpacing/>
              <w:jc w:val="both"/>
              <w:rPr>
                <w:rFonts w:asciiTheme="majorHAnsi" w:eastAsiaTheme="minorEastAsia" w:hAnsiTheme="majorHAnsi"/>
              </w:rPr>
            </w:pPr>
            <w:r w:rsidRPr="009558E6">
              <w:rPr>
                <w:rFonts w:asciiTheme="majorHAnsi" w:hAnsiTheme="majorHAnsi"/>
              </w:rPr>
              <w:t>P10%</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5068486" w14:textId="5F150C6F" w:rsidR="00814E7C" w:rsidRPr="009558E6" w:rsidRDefault="00814E7C" w:rsidP="001253D6">
            <w:pPr>
              <w:ind w:left="142" w:hanging="142"/>
              <w:contextualSpacing/>
              <w:jc w:val="both"/>
              <w:rPr>
                <w:rFonts w:asciiTheme="majorHAnsi" w:eastAsiaTheme="minorEastAsia" w:hAnsiTheme="majorHAnsi"/>
              </w:rPr>
            </w:pPr>
            <w:r w:rsidRPr="009558E6">
              <w:rPr>
                <w:rFonts w:asciiTheme="majorHAnsi" w:hAnsiTheme="majorHAnsi"/>
              </w:rPr>
              <w:t>4.4 Probabilité que le TAC change</w:t>
            </w:r>
            <w:r w:rsidRPr="009558E6">
              <w:rPr>
                <w:rFonts w:asciiTheme="majorHAnsi" w:hAnsiTheme="majorHAnsi"/>
                <w:b/>
                <w:bCs/>
              </w:rPr>
              <w:t xml:space="preserve"> </w:t>
            </w:r>
            <w:r w:rsidRPr="009558E6">
              <w:rPr>
                <w:rFonts w:asciiTheme="majorHAnsi" w:hAnsiTheme="majorHAnsi"/>
              </w:rPr>
              <w:t>au-dessus d'un certain niveau</w:t>
            </w:r>
            <w:r w:rsidRPr="009558E6">
              <w:rPr>
                <w:rFonts w:asciiTheme="majorHAnsi" w:eastAsiaTheme="minorEastAsia" w:hAnsiTheme="majorHAnsi"/>
                <w:vertAlign w:val="superscript"/>
                <w:lang w:eastAsia="ja-JP"/>
              </w:rPr>
              <w:footnoteReference w:id="8"/>
            </w:r>
          </w:p>
        </w:tc>
        <w:tc>
          <w:tcPr>
            <w:tcW w:w="1134" w:type="dxa"/>
            <w:tcBorders>
              <w:top w:val="single" w:sz="4" w:space="0" w:color="auto"/>
              <w:left w:val="single" w:sz="4" w:space="0" w:color="auto"/>
              <w:bottom w:val="single" w:sz="4" w:space="0" w:color="auto"/>
              <w:right w:val="single" w:sz="4" w:space="0" w:color="auto"/>
            </w:tcBorders>
            <w:vAlign w:val="center"/>
            <w:hideMark/>
          </w:tcPr>
          <w:p w14:paraId="0616C274" w14:textId="6DC23488" w:rsidR="00814E7C" w:rsidRPr="009558E6" w:rsidRDefault="00814E7C" w:rsidP="0035431C">
            <w:pPr>
              <w:ind w:left="142"/>
              <w:contextualSpacing/>
              <w:jc w:val="center"/>
              <w:rPr>
                <w:rFonts w:asciiTheme="majorHAnsi" w:eastAsiaTheme="minorEastAsia" w:hAnsiTheme="majorHAnsi"/>
              </w:rPr>
            </w:pPr>
            <w:r w:rsidRPr="009558E6">
              <w:rPr>
                <w:rFonts w:asciiTheme="majorHAnsi" w:hAnsiTheme="majorHAnsi"/>
              </w:rPr>
              <w:t>TAC</w:t>
            </w:r>
          </w:p>
        </w:tc>
        <w:tc>
          <w:tcPr>
            <w:tcW w:w="4957" w:type="dxa"/>
            <w:tcBorders>
              <w:top w:val="single" w:sz="4" w:space="0" w:color="auto"/>
              <w:left w:val="single" w:sz="4" w:space="0" w:color="auto"/>
              <w:bottom w:val="single" w:sz="4" w:space="0" w:color="auto"/>
              <w:right w:val="single" w:sz="4" w:space="0" w:color="auto"/>
            </w:tcBorders>
            <w:hideMark/>
          </w:tcPr>
          <w:p w14:paraId="322E9157" w14:textId="2DD5A0E0" w:rsidR="00814E7C" w:rsidRPr="009558E6" w:rsidRDefault="00814E7C" w:rsidP="0035431C">
            <w:pPr>
              <w:ind w:left="142"/>
              <w:contextualSpacing/>
              <w:jc w:val="both"/>
              <w:rPr>
                <w:rFonts w:asciiTheme="majorHAnsi" w:eastAsiaTheme="minorEastAsia" w:hAnsiTheme="majorHAnsi"/>
              </w:rPr>
            </w:pPr>
            <w:r w:rsidRPr="009558E6">
              <w:rPr>
                <w:rFonts w:asciiTheme="majorHAnsi" w:hAnsiTheme="majorHAnsi"/>
              </w:rPr>
              <w:t>Nombre de cycles de gestion pendant lesquels le ratio du changement</w:t>
            </w:r>
            <w:r w:rsidRPr="009558E6">
              <w:rPr>
                <w:rFonts w:asciiTheme="majorHAnsi" w:eastAsiaTheme="minorEastAsia" w:hAnsiTheme="majorHAnsi"/>
                <w:vertAlign w:val="superscript"/>
                <w:lang w:eastAsia="ja-JP"/>
              </w:rPr>
              <w:footnoteReference w:id="9"/>
            </w:r>
            <w:r w:rsidRPr="009558E6">
              <w:rPr>
                <w:rFonts w:asciiTheme="majorHAnsi" w:hAnsiTheme="majorHAnsi"/>
              </w:rPr>
              <w:t xml:space="preserve"> </w:t>
            </w:r>
            <w:r w:rsidR="001253D6" w:rsidRPr="009558E6">
              <w:rPr>
                <w:rFonts w:asciiTheme="majorHAnsi" w:hAnsiTheme="majorHAnsi"/>
              </w:rPr>
              <w:t>(</w:t>
            </w:r>
            <w:r w:rsidRPr="009558E6">
              <w:rPr>
                <w:rFonts w:asciiTheme="majorHAnsi" w:hAnsiTheme="majorHAnsi"/>
              </w:rPr>
              <w:t>TAC</w:t>
            </w:r>
            <w:r w:rsidRPr="009558E6">
              <w:rPr>
                <w:rFonts w:asciiTheme="majorHAnsi" w:hAnsiTheme="majorHAnsi"/>
                <w:vertAlign w:val="subscript"/>
              </w:rPr>
              <w:t>n</w:t>
            </w:r>
            <w:r w:rsidRPr="009558E6">
              <w:rPr>
                <w:rFonts w:asciiTheme="majorHAnsi" w:hAnsiTheme="majorHAnsi"/>
              </w:rPr>
              <w:t>-TAC</w:t>
            </w:r>
            <w:r w:rsidRPr="009558E6">
              <w:rPr>
                <w:rFonts w:asciiTheme="majorHAnsi" w:hAnsiTheme="majorHAnsi"/>
                <w:vertAlign w:val="subscript"/>
              </w:rPr>
              <w:t>n-1</w:t>
            </w:r>
            <w:r w:rsidR="008C65F9" w:rsidRPr="009558E6">
              <w:t>)</w:t>
            </w:r>
            <w:r w:rsidRPr="009558E6">
              <w:rPr>
                <w:rFonts w:asciiTheme="majorHAnsi" w:hAnsiTheme="majorHAnsi"/>
              </w:rPr>
              <w:t>/TAC</w:t>
            </w:r>
            <w:r w:rsidRPr="009558E6">
              <w:rPr>
                <w:rFonts w:asciiTheme="majorHAnsi" w:hAnsiTheme="majorHAnsi"/>
                <w:vertAlign w:val="subscript"/>
              </w:rPr>
              <w:t>n-1</w:t>
            </w:r>
            <w:r w:rsidRPr="009558E6">
              <w:rPr>
                <w:rFonts w:asciiTheme="majorHAnsi" w:hAnsiTheme="majorHAnsi"/>
              </w:rPr>
              <w:t xml:space="preserve"> &gt; X%</w:t>
            </w:r>
            <w:r w:rsidR="00DA7810" w:rsidRPr="009558E6">
              <w:rPr>
                <w:rFonts w:asciiTheme="majorHAnsi" w:hAnsiTheme="majorHAnsi"/>
              </w:rPr>
              <w:t xml:space="preserve"> </w:t>
            </w:r>
          </w:p>
        </w:tc>
      </w:tr>
      <w:tr w:rsidR="00A442C5" w:rsidRPr="009558E6" w14:paraId="4082F520" w14:textId="77777777" w:rsidTr="008E5148">
        <w:trPr>
          <w:trHeight w:val="91"/>
        </w:trPr>
        <w:tc>
          <w:tcPr>
            <w:tcW w:w="1271" w:type="dxa"/>
            <w:tcBorders>
              <w:top w:val="single" w:sz="4" w:space="0" w:color="auto"/>
              <w:left w:val="single" w:sz="4" w:space="0" w:color="auto"/>
              <w:bottom w:val="single" w:sz="4" w:space="0" w:color="auto"/>
              <w:right w:val="single" w:sz="4" w:space="0" w:color="auto"/>
            </w:tcBorders>
          </w:tcPr>
          <w:p w14:paraId="57412F5F" w14:textId="76FCE9D7" w:rsidR="00814E7C" w:rsidRPr="009558E6" w:rsidRDefault="000968AE" w:rsidP="0035431C">
            <w:pPr>
              <w:ind w:left="22"/>
              <w:contextualSpacing/>
              <w:jc w:val="both"/>
              <w:rPr>
                <w:rFonts w:asciiTheme="majorHAnsi" w:hAnsiTheme="majorHAnsi"/>
              </w:rPr>
            </w:pPr>
            <w:r w:rsidRPr="009558E6">
              <w:rPr>
                <w:rFonts w:asciiTheme="majorHAnsi" w:hAnsiTheme="majorHAnsi"/>
              </w:rPr>
              <w:t>MaxTACc</w:t>
            </w:r>
          </w:p>
        </w:tc>
        <w:tc>
          <w:tcPr>
            <w:tcW w:w="5670" w:type="dxa"/>
            <w:tcBorders>
              <w:top w:val="single" w:sz="4" w:space="0" w:color="auto"/>
              <w:left w:val="single" w:sz="4" w:space="0" w:color="auto"/>
              <w:bottom w:val="single" w:sz="4" w:space="0" w:color="auto"/>
              <w:right w:val="single" w:sz="4" w:space="0" w:color="auto"/>
            </w:tcBorders>
            <w:hideMark/>
          </w:tcPr>
          <w:p w14:paraId="41A0796A" w14:textId="7C795F12" w:rsidR="00814E7C" w:rsidRPr="009558E6" w:rsidRDefault="00814E7C" w:rsidP="001253D6">
            <w:pPr>
              <w:ind w:left="142" w:hanging="142"/>
              <w:contextualSpacing/>
              <w:jc w:val="both"/>
              <w:rPr>
                <w:rFonts w:asciiTheme="majorHAnsi" w:eastAsiaTheme="minorEastAsia" w:hAnsiTheme="majorHAnsi"/>
              </w:rPr>
            </w:pPr>
            <w:r w:rsidRPr="009558E6">
              <w:rPr>
                <w:rFonts w:asciiTheme="majorHAnsi" w:hAnsiTheme="majorHAnsi"/>
              </w:rPr>
              <w:t>4.5 Montant maximum de changement du TAC entre périodes de gestion</w:t>
            </w:r>
          </w:p>
        </w:tc>
        <w:tc>
          <w:tcPr>
            <w:tcW w:w="1134" w:type="dxa"/>
            <w:tcBorders>
              <w:top w:val="single" w:sz="4" w:space="0" w:color="auto"/>
              <w:left w:val="single" w:sz="4" w:space="0" w:color="auto"/>
              <w:bottom w:val="single" w:sz="4" w:space="0" w:color="auto"/>
              <w:right w:val="single" w:sz="4" w:space="0" w:color="auto"/>
            </w:tcBorders>
            <w:hideMark/>
          </w:tcPr>
          <w:p w14:paraId="445EAE5A" w14:textId="77777777" w:rsidR="00814E7C" w:rsidRPr="009558E6" w:rsidRDefault="00814E7C" w:rsidP="0035431C">
            <w:pPr>
              <w:ind w:left="142"/>
              <w:contextualSpacing/>
              <w:jc w:val="center"/>
              <w:rPr>
                <w:rFonts w:asciiTheme="majorHAnsi" w:eastAsiaTheme="minorEastAsia" w:hAnsiTheme="majorHAnsi"/>
              </w:rPr>
            </w:pPr>
            <w:r w:rsidRPr="009558E6">
              <w:rPr>
                <w:rFonts w:asciiTheme="majorHAnsi" w:hAnsiTheme="majorHAnsi"/>
              </w:rPr>
              <w:t>TAC</w:t>
            </w:r>
          </w:p>
        </w:tc>
        <w:tc>
          <w:tcPr>
            <w:tcW w:w="4957" w:type="dxa"/>
            <w:tcBorders>
              <w:top w:val="single" w:sz="4" w:space="0" w:color="auto"/>
              <w:left w:val="single" w:sz="4" w:space="0" w:color="auto"/>
              <w:bottom w:val="single" w:sz="4" w:space="0" w:color="auto"/>
              <w:right w:val="single" w:sz="4" w:space="0" w:color="auto"/>
            </w:tcBorders>
            <w:hideMark/>
          </w:tcPr>
          <w:p w14:paraId="7F537A2C" w14:textId="77777777" w:rsidR="00814E7C" w:rsidRPr="009558E6" w:rsidRDefault="00814E7C" w:rsidP="0035431C">
            <w:pPr>
              <w:ind w:left="142"/>
              <w:contextualSpacing/>
              <w:jc w:val="both"/>
              <w:rPr>
                <w:rFonts w:asciiTheme="majorHAnsi" w:eastAsiaTheme="minorEastAsia" w:hAnsiTheme="majorHAnsi"/>
              </w:rPr>
            </w:pPr>
            <w:r w:rsidRPr="009558E6">
              <w:rPr>
                <w:rFonts w:asciiTheme="majorHAnsi" w:hAnsiTheme="majorHAnsi"/>
              </w:rPr>
              <w:t xml:space="preserve">Ratio maximum de changement </w:t>
            </w:r>
            <w:r w:rsidRPr="009558E6">
              <w:rPr>
                <w:rFonts w:asciiTheme="majorHAnsi" w:hAnsiTheme="majorHAnsi"/>
                <w:vertAlign w:val="superscript"/>
                <w:lang w:eastAsia="en-GB"/>
              </w:rPr>
              <w:footnoteReference w:id="10"/>
            </w:r>
          </w:p>
        </w:tc>
      </w:tr>
      <w:bookmarkEnd w:id="2"/>
    </w:tbl>
    <w:p w14:paraId="7B359834" w14:textId="77777777" w:rsidR="00E90236" w:rsidRPr="009558E6" w:rsidRDefault="00E90236" w:rsidP="0035431C">
      <w:pPr>
        <w:spacing w:after="0" w:line="240" w:lineRule="auto"/>
        <w:contextualSpacing/>
        <w:jc w:val="both"/>
        <w:rPr>
          <w:rFonts w:asciiTheme="majorHAnsi" w:hAnsiTheme="majorHAnsi" w:cs="Cambria-Italic"/>
          <w:sz w:val="20"/>
          <w:szCs w:val="20"/>
        </w:rPr>
      </w:pPr>
    </w:p>
    <w:sectPr w:rsidR="00E90236" w:rsidRPr="009558E6" w:rsidSect="00C645F7">
      <w:headerReference w:type="default" r:id="rId19"/>
      <w:footnotePr>
        <w:numRestart w:val="eachSect"/>
      </w:footnotePr>
      <w:pgSz w:w="16838" w:h="11906" w:orient="landscape" w:code="9"/>
      <w:pgMar w:top="113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8C129" w14:textId="77777777" w:rsidR="005D6C3F" w:rsidRDefault="005D6C3F" w:rsidP="00221024">
      <w:pPr>
        <w:spacing w:after="0" w:line="240" w:lineRule="auto"/>
      </w:pPr>
      <w:r>
        <w:separator/>
      </w:r>
    </w:p>
  </w:endnote>
  <w:endnote w:type="continuationSeparator" w:id="0">
    <w:p w14:paraId="36CCBD56" w14:textId="77777777" w:rsidR="005D6C3F" w:rsidRDefault="005D6C3F" w:rsidP="00221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BoldItalic">
    <w:altName w:val="Cambria"/>
    <w:panose1 w:val="00000000000000000000"/>
    <w:charset w:val="00"/>
    <w:family w:val="roman"/>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mbria-Italic">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82850201"/>
      <w:docPartObj>
        <w:docPartGallery w:val="Page Numbers (Bottom of Page)"/>
        <w:docPartUnique/>
      </w:docPartObj>
    </w:sdtPr>
    <w:sdtEndPr>
      <w:rPr>
        <w:rFonts w:asciiTheme="majorHAnsi" w:hAnsiTheme="majorHAnsi"/>
      </w:rPr>
    </w:sdtEndPr>
    <w:sdtContent>
      <w:p w14:paraId="116960E2" w14:textId="0945BFF7" w:rsidR="003379C1" w:rsidRPr="003379C1" w:rsidRDefault="003379C1" w:rsidP="003379C1">
        <w:pPr>
          <w:pStyle w:val="Footer"/>
          <w:jc w:val="center"/>
          <w:rPr>
            <w:rFonts w:asciiTheme="majorHAnsi" w:hAnsiTheme="majorHAnsi"/>
            <w:sz w:val="20"/>
            <w:szCs w:val="20"/>
          </w:rPr>
        </w:pPr>
        <w:r w:rsidRPr="003379C1">
          <w:rPr>
            <w:rFonts w:asciiTheme="majorHAnsi" w:hAnsiTheme="majorHAnsi"/>
            <w:sz w:val="20"/>
            <w:szCs w:val="20"/>
          </w:rPr>
          <w:fldChar w:fldCharType="begin"/>
        </w:r>
        <w:r w:rsidRPr="003379C1">
          <w:rPr>
            <w:rFonts w:asciiTheme="majorHAnsi" w:hAnsiTheme="majorHAnsi"/>
            <w:sz w:val="20"/>
            <w:szCs w:val="20"/>
          </w:rPr>
          <w:instrText xml:space="preserve"> PAGE </w:instrText>
        </w:r>
        <w:r w:rsidRPr="003379C1">
          <w:rPr>
            <w:rFonts w:asciiTheme="majorHAnsi" w:hAnsiTheme="majorHAnsi"/>
            <w:sz w:val="20"/>
            <w:szCs w:val="20"/>
          </w:rPr>
          <w:fldChar w:fldCharType="separate"/>
        </w:r>
        <w:r w:rsidRPr="003379C1">
          <w:rPr>
            <w:rFonts w:asciiTheme="majorHAnsi" w:hAnsiTheme="majorHAnsi"/>
            <w:noProof/>
            <w:sz w:val="20"/>
            <w:szCs w:val="20"/>
          </w:rPr>
          <w:t>2</w:t>
        </w:r>
        <w:r w:rsidRPr="003379C1">
          <w:rPr>
            <w:rFonts w:asciiTheme="majorHAnsi" w:hAnsiTheme="maj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2314" w14:textId="77777777" w:rsidR="00AD144B" w:rsidRDefault="00AD1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41153049"/>
      <w:docPartObj>
        <w:docPartGallery w:val="Page Numbers (Bottom of Page)"/>
        <w:docPartUnique/>
      </w:docPartObj>
    </w:sdtPr>
    <w:sdtEndPr/>
    <w:sdtContent>
      <w:p w14:paraId="27A204F7" w14:textId="7E430C0D" w:rsidR="00AD144B" w:rsidRPr="00E7295C" w:rsidRDefault="00E7295C" w:rsidP="00E7295C">
        <w:pPr>
          <w:pStyle w:val="Footer"/>
          <w:jc w:val="center"/>
          <w:rPr>
            <w:sz w:val="20"/>
            <w:szCs w:val="20"/>
          </w:rPr>
        </w:pPr>
        <w:r w:rsidRPr="008E5148">
          <w:rPr>
            <w:rFonts w:asciiTheme="majorHAnsi" w:hAnsiTheme="majorHAnsi"/>
            <w:sz w:val="20"/>
            <w:szCs w:val="20"/>
          </w:rPr>
          <w:fldChar w:fldCharType="begin"/>
        </w:r>
        <w:r w:rsidRPr="008E5148">
          <w:rPr>
            <w:rFonts w:asciiTheme="majorHAnsi" w:hAnsiTheme="majorHAnsi"/>
            <w:sz w:val="20"/>
            <w:szCs w:val="20"/>
          </w:rPr>
          <w:instrText xml:space="preserve"> PAGE </w:instrText>
        </w:r>
        <w:r w:rsidRPr="008E5148">
          <w:rPr>
            <w:rFonts w:asciiTheme="majorHAnsi" w:hAnsiTheme="majorHAnsi"/>
            <w:sz w:val="20"/>
            <w:szCs w:val="20"/>
          </w:rPr>
          <w:fldChar w:fldCharType="separate"/>
        </w:r>
        <w:r w:rsidRPr="008E5148">
          <w:rPr>
            <w:rFonts w:asciiTheme="majorHAnsi" w:hAnsiTheme="majorHAnsi"/>
            <w:noProof/>
            <w:sz w:val="20"/>
            <w:szCs w:val="20"/>
          </w:rPr>
          <w:t>2</w:t>
        </w:r>
        <w:r w:rsidRPr="008E5148">
          <w:rPr>
            <w:rFonts w:asciiTheme="majorHAnsi" w:hAnsiTheme="majorHAnsi"/>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1323" w14:textId="77777777" w:rsidR="00AD144B" w:rsidRDefault="00AD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8645" w14:textId="77777777" w:rsidR="005D6C3F" w:rsidRDefault="005D6C3F" w:rsidP="00221024">
      <w:pPr>
        <w:spacing w:after="0" w:line="240" w:lineRule="auto"/>
      </w:pPr>
      <w:r>
        <w:separator/>
      </w:r>
    </w:p>
  </w:footnote>
  <w:footnote w:type="continuationSeparator" w:id="0">
    <w:p w14:paraId="0239CC1B" w14:textId="77777777" w:rsidR="005D6C3F" w:rsidRDefault="005D6C3F" w:rsidP="00221024">
      <w:pPr>
        <w:spacing w:after="0" w:line="240" w:lineRule="auto"/>
      </w:pPr>
      <w:r>
        <w:continuationSeparator/>
      </w:r>
    </w:p>
  </w:footnote>
  <w:footnote w:id="1">
    <w:p w14:paraId="221603A9" w14:textId="10AAFBD4" w:rsidR="00AD144B" w:rsidRPr="00C645F7" w:rsidRDefault="00AD144B" w:rsidP="005F7F71">
      <w:pPr>
        <w:pStyle w:val="FootnoteText"/>
        <w:jc w:val="both"/>
        <w:rPr>
          <w:rFonts w:asciiTheme="majorHAnsi" w:hAnsiTheme="majorHAnsi"/>
          <w:sz w:val="16"/>
          <w:szCs w:val="16"/>
        </w:rPr>
      </w:pPr>
      <w:r w:rsidRPr="00C645F7">
        <w:rPr>
          <w:rStyle w:val="FootnoteReference"/>
          <w:rFonts w:asciiTheme="majorHAnsi" w:hAnsiTheme="majorHAnsi"/>
          <w:sz w:val="16"/>
          <w:szCs w:val="16"/>
        </w:rPr>
        <w:footnoteRef/>
      </w:r>
      <w:r w:rsidR="00DA7810" w:rsidRPr="00C645F7">
        <w:rPr>
          <w:rFonts w:asciiTheme="majorHAnsi" w:hAnsiTheme="majorHAnsi"/>
          <w:sz w:val="16"/>
          <w:szCs w:val="16"/>
        </w:rPr>
        <w:t xml:space="preserve"> </w:t>
      </w:r>
      <w:r w:rsidRPr="00C645F7">
        <w:rPr>
          <w:rFonts w:asciiTheme="majorHAnsi" w:hAnsiTheme="majorHAnsi"/>
          <w:sz w:val="16"/>
          <w:szCs w:val="16"/>
        </w:rPr>
        <w:t>B/B</w:t>
      </w:r>
      <w:r w:rsidRPr="00C645F7">
        <w:rPr>
          <w:rFonts w:asciiTheme="majorHAnsi" w:hAnsiTheme="majorHAnsi"/>
          <w:sz w:val="16"/>
          <w:szCs w:val="16"/>
          <w:vertAlign w:val="subscript"/>
        </w:rPr>
        <w:t>PME</w:t>
      </w:r>
      <w:r w:rsidRPr="00C645F7">
        <w:rPr>
          <w:rFonts w:asciiTheme="majorHAnsi" w:hAnsiTheme="majorHAnsi"/>
          <w:sz w:val="16"/>
          <w:szCs w:val="16"/>
        </w:rPr>
        <w:t xml:space="preserve"> et F/F</w:t>
      </w:r>
      <w:r w:rsidRPr="00C645F7">
        <w:rPr>
          <w:rFonts w:asciiTheme="majorHAnsi" w:hAnsiTheme="majorHAnsi"/>
          <w:sz w:val="16"/>
          <w:szCs w:val="16"/>
          <w:vertAlign w:val="subscript"/>
        </w:rPr>
        <w:t>PME</w:t>
      </w:r>
      <w:r w:rsidRPr="00C645F7">
        <w:rPr>
          <w:rFonts w:asciiTheme="majorHAnsi" w:hAnsiTheme="majorHAnsi"/>
          <w:sz w:val="16"/>
          <w:szCs w:val="16"/>
        </w:rPr>
        <w:t xml:space="preserve"> : Dans chaque évaluation de </w:t>
      </w:r>
      <w:r w:rsidR="00573EAC" w:rsidRPr="00C645F7">
        <w:rPr>
          <w:rFonts w:asciiTheme="majorHAnsi" w:hAnsiTheme="majorHAnsi"/>
          <w:sz w:val="16"/>
          <w:szCs w:val="16"/>
        </w:rPr>
        <w:t>référence</w:t>
      </w:r>
      <w:r w:rsidRPr="00C645F7">
        <w:rPr>
          <w:rFonts w:asciiTheme="majorHAnsi" w:hAnsiTheme="majorHAnsi"/>
          <w:sz w:val="16"/>
          <w:szCs w:val="16"/>
        </w:rPr>
        <w:t>, les trajectoires estimées de B/B</w:t>
      </w:r>
      <w:r w:rsidRPr="00C645F7">
        <w:rPr>
          <w:rFonts w:asciiTheme="majorHAnsi" w:hAnsiTheme="majorHAnsi"/>
          <w:sz w:val="16"/>
          <w:szCs w:val="16"/>
          <w:vertAlign w:val="subscript"/>
        </w:rPr>
        <w:t>PME</w:t>
      </w:r>
      <w:r w:rsidRPr="00C645F7">
        <w:rPr>
          <w:rFonts w:asciiTheme="majorHAnsi" w:hAnsiTheme="majorHAnsi"/>
          <w:sz w:val="16"/>
          <w:szCs w:val="16"/>
        </w:rPr>
        <w:t xml:space="preserve"> et F/F</w:t>
      </w:r>
      <w:r w:rsidRPr="00C645F7">
        <w:rPr>
          <w:rFonts w:asciiTheme="majorHAnsi" w:hAnsiTheme="majorHAnsi"/>
          <w:sz w:val="16"/>
          <w:szCs w:val="16"/>
          <w:vertAlign w:val="subscript"/>
        </w:rPr>
        <w:t>PME</w:t>
      </w:r>
      <w:r w:rsidRPr="00C645F7">
        <w:rPr>
          <w:rFonts w:asciiTheme="majorHAnsi" w:hAnsiTheme="majorHAnsi"/>
          <w:sz w:val="16"/>
          <w:szCs w:val="16"/>
        </w:rPr>
        <w:t xml:space="preserve"> sont tracées (superposées) par-dessus celles utilisées dans les OM (figures 19 et 20 du document consolidé sur la MSE (</w:t>
      </w:r>
      <w:r w:rsidR="00DF6354" w:rsidRPr="00C645F7">
        <w:rPr>
          <w:rFonts w:ascii="Cambria" w:hAnsi="Cambria"/>
          <w:sz w:val="16"/>
          <w:szCs w:val="16"/>
        </w:rPr>
        <w:t xml:space="preserve">Merino </w:t>
      </w:r>
      <w:r w:rsidR="00DF6354" w:rsidRPr="00C645F7">
        <w:rPr>
          <w:rFonts w:ascii="Cambria" w:hAnsi="Cambria"/>
          <w:i/>
          <w:iCs/>
          <w:sz w:val="16"/>
          <w:szCs w:val="16"/>
        </w:rPr>
        <w:t>et al</w:t>
      </w:r>
      <w:r w:rsidR="00DF6354" w:rsidRPr="00C645F7">
        <w:rPr>
          <w:rFonts w:ascii="Cambria" w:hAnsi="Cambria"/>
          <w:sz w:val="16"/>
          <w:szCs w:val="16"/>
        </w:rPr>
        <w:t>. 2020)</w:t>
      </w:r>
      <w:r w:rsidRPr="00C645F7">
        <w:rPr>
          <w:rFonts w:asciiTheme="majorHAnsi" w:hAnsiTheme="majorHAnsi"/>
          <w:sz w:val="16"/>
          <w:szCs w:val="16"/>
        </w:rPr>
        <w:t xml:space="preserve">). Le SCRS comparerait la nouvelle trajectoire estimée du stock avec les réalités potentielles du stock envisagé dans les OM. Si la nouvelle tendance s'inscrit dans les tendances considérées dans les OM, il n'y a pas d’EC. Les critères, tels qu'ils sont rédigés, impliquent que si, au cours d'une seule année, la biomasse ou la mortalité par pêche </w:t>
      </w:r>
      <w:r w:rsidR="0013729E" w:rsidRPr="00C645F7">
        <w:rPr>
          <w:rFonts w:asciiTheme="majorHAnsi" w:hAnsiTheme="majorHAnsi"/>
          <w:sz w:val="16"/>
          <w:szCs w:val="16"/>
        </w:rPr>
        <w:t xml:space="preserve">relative </w:t>
      </w:r>
      <w:r w:rsidRPr="00C645F7">
        <w:rPr>
          <w:rFonts w:asciiTheme="majorHAnsi" w:hAnsiTheme="majorHAnsi"/>
          <w:sz w:val="16"/>
          <w:szCs w:val="16"/>
        </w:rPr>
        <w:t xml:space="preserve">se situe en dehors des valeurs considérées dans les OM, une </w:t>
      </w:r>
      <w:r w:rsidR="00ED5AB4" w:rsidRPr="00C645F7">
        <w:rPr>
          <w:rFonts w:asciiTheme="majorHAnsi" w:hAnsiTheme="majorHAnsi"/>
          <w:sz w:val="16"/>
          <w:szCs w:val="16"/>
        </w:rPr>
        <w:t>E</w:t>
      </w:r>
      <w:r w:rsidR="0013729E" w:rsidRPr="00C645F7">
        <w:rPr>
          <w:rFonts w:asciiTheme="majorHAnsi" w:hAnsiTheme="majorHAnsi"/>
          <w:sz w:val="16"/>
          <w:szCs w:val="16"/>
        </w:rPr>
        <w:t>C</w:t>
      </w:r>
      <w:r w:rsidRPr="00C645F7">
        <w:rPr>
          <w:rFonts w:asciiTheme="majorHAnsi" w:hAnsiTheme="majorHAnsi"/>
          <w:sz w:val="16"/>
          <w:szCs w:val="16"/>
        </w:rPr>
        <w:t xml:space="preserve"> serait identifiée par le SCRS.</w:t>
      </w:r>
    </w:p>
  </w:footnote>
  <w:footnote w:id="2">
    <w:p w14:paraId="419735D9" w14:textId="035EA739" w:rsidR="00AD144B" w:rsidRPr="00C645F7" w:rsidRDefault="00AD144B" w:rsidP="005F7F71">
      <w:pPr>
        <w:pStyle w:val="FootnoteText"/>
        <w:jc w:val="both"/>
        <w:rPr>
          <w:rFonts w:asciiTheme="majorHAnsi" w:hAnsiTheme="majorHAnsi"/>
          <w:sz w:val="16"/>
          <w:szCs w:val="16"/>
        </w:rPr>
      </w:pPr>
      <w:r w:rsidRPr="00C645F7">
        <w:rPr>
          <w:rStyle w:val="FootnoteReference"/>
          <w:rFonts w:asciiTheme="majorHAnsi" w:hAnsiTheme="majorHAnsi"/>
          <w:sz w:val="16"/>
          <w:szCs w:val="16"/>
        </w:rPr>
        <w:footnoteRef/>
      </w:r>
      <w:r w:rsidRPr="00C645F7">
        <w:rPr>
          <w:rFonts w:asciiTheme="majorHAnsi" w:hAnsiTheme="majorHAnsi"/>
          <w:sz w:val="16"/>
          <w:szCs w:val="16"/>
        </w:rPr>
        <w:t xml:space="preserve"> Valeurs de croissance, de maturité et de mortalité naturelle, établies dans le document consolidé </w:t>
      </w:r>
      <w:hyperlink r:id="rId1" w:history="1">
        <w:r w:rsidRPr="00C645F7">
          <w:rPr>
            <w:rStyle w:val="Hyperlink"/>
            <w:rFonts w:asciiTheme="majorHAnsi" w:hAnsiTheme="majorHAnsi"/>
            <w:color w:val="auto"/>
            <w:sz w:val="16"/>
            <w:szCs w:val="16"/>
            <w:u w:val="none"/>
          </w:rPr>
          <w:t>(</w:t>
        </w:r>
        <w:r w:rsidR="00DF6354" w:rsidRPr="00C645F7">
          <w:rPr>
            <w:rFonts w:ascii="Cambria" w:hAnsi="Cambria"/>
            <w:sz w:val="16"/>
            <w:szCs w:val="16"/>
          </w:rPr>
          <w:t xml:space="preserve">Merino </w:t>
        </w:r>
        <w:r w:rsidR="00DF6354" w:rsidRPr="00C645F7">
          <w:rPr>
            <w:rFonts w:ascii="Cambria" w:hAnsi="Cambria"/>
            <w:i/>
            <w:iCs/>
            <w:sz w:val="16"/>
            <w:szCs w:val="16"/>
          </w:rPr>
          <w:t>et al</w:t>
        </w:r>
        <w:r w:rsidR="00DF6354" w:rsidRPr="00C645F7">
          <w:rPr>
            <w:rFonts w:ascii="Cambria" w:hAnsi="Cambria"/>
            <w:sz w:val="16"/>
            <w:szCs w:val="16"/>
          </w:rPr>
          <w:t>. 2020)</w:t>
        </w:r>
      </w:hyperlink>
      <w:r w:rsidR="005C1804" w:rsidRPr="00C645F7">
        <w:rPr>
          <w:rStyle w:val="Hyperlink"/>
          <w:rFonts w:asciiTheme="majorHAnsi" w:hAnsiTheme="majorHAnsi"/>
          <w:color w:val="auto"/>
          <w:sz w:val="16"/>
          <w:szCs w:val="16"/>
          <w:u w:val="none"/>
        </w:rPr>
        <w:t>.</w:t>
      </w:r>
    </w:p>
  </w:footnote>
  <w:footnote w:id="3">
    <w:p w14:paraId="60F99C4C" w14:textId="4D6FC605" w:rsidR="00AD144B" w:rsidRPr="00C645F7" w:rsidRDefault="00AD144B" w:rsidP="005F7F71">
      <w:pPr>
        <w:pStyle w:val="FootnoteText"/>
        <w:jc w:val="both"/>
        <w:rPr>
          <w:rFonts w:asciiTheme="majorHAnsi" w:hAnsiTheme="majorHAnsi"/>
          <w:sz w:val="16"/>
          <w:szCs w:val="16"/>
        </w:rPr>
      </w:pPr>
      <w:r w:rsidRPr="00C645F7">
        <w:rPr>
          <w:rStyle w:val="FootnoteReference"/>
          <w:rFonts w:asciiTheme="majorHAnsi" w:hAnsiTheme="majorHAnsi"/>
          <w:sz w:val="16"/>
          <w:szCs w:val="16"/>
        </w:rPr>
        <w:footnoteRef/>
      </w:r>
      <w:r w:rsidR="00DA7810" w:rsidRPr="00C645F7">
        <w:rPr>
          <w:rFonts w:asciiTheme="majorHAnsi" w:hAnsiTheme="majorHAnsi"/>
          <w:sz w:val="16"/>
          <w:szCs w:val="16"/>
        </w:rPr>
        <w:t xml:space="preserve"> </w:t>
      </w:r>
      <w:sdt>
        <w:sdtPr>
          <w:rPr>
            <w:rFonts w:asciiTheme="majorHAnsi" w:hAnsiTheme="majorHAnsi"/>
            <w:sz w:val="16"/>
            <w:szCs w:val="16"/>
          </w:rPr>
          <w:tag w:val="goog_rdk_77"/>
          <w:id w:val="1185487799"/>
        </w:sdtPr>
        <w:sdtEndPr/>
        <w:sdtContent>
          <w:r w:rsidRPr="00C645F7">
            <w:rPr>
              <w:rFonts w:asciiTheme="majorHAnsi" w:hAnsiTheme="majorHAnsi"/>
              <w:sz w:val="16"/>
              <w:szCs w:val="16"/>
            </w:rPr>
            <w:t xml:space="preserve">CPUE </w:t>
          </w:r>
        </w:sdtContent>
      </w:sdt>
      <w:sdt>
        <w:sdtPr>
          <w:rPr>
            <w:rFonts w:asciiTheme="majorHAnsi" w:hAnsiTheme="majorHAnsi"/>
            <w:sz w:val="16"/>
            <w:szCs w:val="16"/>
          </w:rPr>
          <w:tag w:val="goog_rdk_78"/>
          <w:id w:val="2070377811"/>
        </w:sdtPr>
        <w:sdtEndPr/>
        <w:sdtContent>
          <w:r w:rsidRPr="00C645F7">
            <w:rPr>
              <w:rFonts w:asciiTheme="majorHAnsi" w:hAnsiTheme="majorHAnsi"/>
              <w:sz w:val="16"/>
              <w:szCs w:val="16"/>
            </w:rPr>
            <w:t>(</w:t>
          </w:r>
        </w:sdtContent>
      </w:sdt>
      <w:r w:rsidRPr="00C645F7">
        <w:rPr>
          <w:rFonts w:asciiTheme="majorHAnsi" w:hAnsiTheme="majorHAnsi"/>
          <w:sz w:val="16"/>
          <w:szCs w:val="16"/>
        </w:rPr>
        <w:t>pour le principe de la dynamique des stocks uniquement)</w:t>
      </w:r>
      <w:sdt>
        <w:sdtPr>
          <w:rPr>
            <w:rFonts w:asciiTheme="majorHAnsi" w:hAnsiTheme="majorHAnsi"/>
            <w:sz w:val="16"/>
            <w:szCs w:val="16"/>
          </w:rPr>
          <w:tag w:val="goog_rdk_81"/>
          <w:id w:val="1525754800"/>
        </w:sdtPr>
        <w:sdtEndPr/>
        <w:sdtContent>
          <w:r w:rsidRPr="00C645F7">
            <w:rPr>
              <w:rFonts w:asciiTheme="majorHAnsi" w:hAnsiTheme="majorHAnsi"/>
              <w:sz w:val="16"/>
              <w:szCs w:val="16"/>
            </w:rPr>
            <w:t xml:space="preserve">: </w:t>
          </w:r>
        </w:sdtContent>
      </w:sdt>
      <w:r w:rsidRPr="00C645F7">
        <w:rPr>
          <w:rFonts w:asciiTheme="majorHAnsi" w:hAnsiTheme="majorHAnsi"/>
          <w:sz w:val="16"/>
          <w:szCs w:val="16"/>
        </w:rPr>
        <w:t xml:space="preserve"> Le SCRS actualiserait chaque année les CPUE standardisées et tracerait les nouvelles séries temporelles par-dessus celles utilisées dans la MSE (figure 23 du document consolidé sur la MSE (</w:t>
      </w:r>
      <w:r w:rsidR="00DF6354" w:rsidRPr="00C645F7">
        <w:rPr>
          <w:rFonts w:ascii="Cambria" w:hAnsi="Cambria"/>
          <w:sz w:val="16"/>
          <w:szCs w:val="16"/>
        </w:rPr>
        <w:t xml:space="preserve">Merino </w:t>
      </w:r>
      <w:r w:rsidR="00DF6354" w:rsidRPr="00C645F7">
        <w:rPr>
          <w:rFonts w:ascii="Cambria" w:hAnsi="Cambria"/>
          <w:i/>
          <w:iCs/>
          <w:sz w:val="16"/>
          <w:szCs w:val="16"/>
        </w:rPr>
        <w:t>et al</w:t>
      </w:r>
      <w:r w:rsidR="00DF6354" w:rsidRPr="00C645F7">
        <w:rPr>
          <w:rFonts w:ascii="Cambria" w:hAnsi="Cambria"/>
          <w:sz w:val="16"/>
          <w:szCs w:val="16"/>
        </w:rPr>
        <w:t>. 2020)</w:t>
      </w:r>
      <w:r w:rsidRPr="00C645F7">
        <w:rPr>
          <w:rFonts w:asciiTheme="majorHAnsi" w:hAnsiTheme="majorHAnsi"/>
          <w:sz w:val="16"/>
          <w:szCs w:val="16"/>
        </w:rPr>
        <w:t>. La tendance devrait se situer dans les valeurs considérées dans les OM pour chaque année.</w:t>
      </w:r>
    </w:p>
  </w:footnote>
  <w:footnote w:id="4">
    <w:p w14:paraId="62EE00F9" w14:textId="540C9C2F" w:rsidR="00AD144B" w:rsidRPr="00C645F7" w:rsidRDefault="00AD144B" w:rsidP="005F7F71">
      <w:pPr>
        <w:pStyle w:val="FootnoteText"/>
        <w:jc w:val="both"/>
        <w:rPr>
          <w:rFonts w:asciiTheme="majorHAnsi" w:hAnsiTheme="majorHAnsi"/>
          <w:sz w:val="16"/>
          <w:szCs w:val="16"/>
        </w:rPr>
      </w:pPr>
      <w:r w:rsidRPr="00C645F7">
        <w:rPr>
          <w:rStyle w:val="FootnoteReference"/>
          <w:rFonts w:asciiTheme="majorHAnsi" w:hAnsiTheme="majorHAnsi"/>
          <w:sz w:val="16"/>
          <w:szCs w:val="16"/>
        </w:rPr>
        <w:footnoteRef/>
      </w:r>
      <w:r w:rsidR="00DA7810" w:rsidRPr="00C645F7">
        <w:rPr>
          <w:rFonts w:asciiTheme="majorHAnsi" w:hAnsiTheme="majorHAnsi"/>
          <w:sz w:val="16"/>
          <w:szCs w:val="16"/>
        </w:rPr>
        <w:t xml:space="preserve"> </w:t>
      </w:r>
      <w:r w:rsidRPr="00C645F7">
        <w:rPr>
          <w:rFonts w:asciiTheme="majorHAnsi" w:hAnsiTheme="majorHAnsi"/>
          <w:sz w:val="16"/>
          <w:szCs w:val="16"/>
        </w:rPr>
        <w:t xml:space="preserve"> B/B</w:t>
      </w:r>
      <w:r w:rsidRPr="00C645F7">
        <w:rPr>
          <w:rFonts w:asciiTheme="majorHAnsi" w:hAnsiTheme="majorHAnsi"/>
          <w:sz w:val="16"/>
          <w:szCs w:val="16"/>
          <w:vertAlign w:val="subscript"/>
        </w:rPr>
        <w:t>PME</w:t>
      </w:r>
      <w:r w:rsidRPr="00C645F7">
        <w:rPr>
          <w:rFonts w:asciiTheme="majorHAnsi" w:hAnsiTheme="majorHAnsi"/>
          <w:sz w:val="16"/>
          <w:szCs w:val="16"/>
        </w:rPr>
        <w:t xml:space="preserve"> et F/F</w:t>
      </w:r>
      <w:r w:rsidRPr="00C645F7">
        <w:rPr>
          <w:rFonts w:asciiTheme="majorHAnsi" w:hAnsiTheme="majorHAnsi"/>
          <w:sz w:val="16"/>
          <w:szCs w:val="16"/>
          <w:vertAlign w:val="subscript"/>
        </w:rPr>
        <w:t>PME</w:t>
      </w:r>
      <w:r w:rsidRPr="00C645F7">
        <w:rPr>
          <w:rFonts w:asciiTheme="majorHAnsi" w:hAnsiTheme="majorHAnsi"/>
          <w:sz w:val="16"/>
          <w:szCs w:val="16"/>
        </w:rPr>
        <w:t xml:space="preserve"> : Tous les 3 ans (itération de MP), les séries </w:t>
      </w:r>
      <w:r w:rsidR="00970628" w:rsidRPr="00C645F7">
        <w:rPr>
          <w:rFonts w:asciiTheme="majorHAnsi" w:hAnsiTheme="majorHAnsi"/>
          <w:sz w:val="16"/>
          <w:szCs w:val="16"/>
        </w:rPr>
        <w:t xml:space="preserve">de </w:t>
      </w:r>
      <w:r w:rsidRPr="00C645F7">
        <w:rPr>
          <w:rFonts w:asciiTheme="majorHAnsi" w:hAnsiTheme="majorHAnsi"/>
          <w:sz w:val="16"/>
          <w:szCs w:val="16"/>
        </w:rPr>
        <w:t xml:space="preserve">B et F </w:t>
      </w:r>
      <w:r w:rsidR="00970628" w:rsidRPr="00C645F7">
        <w:rPr>
          <w:rFonts w:asciiTheme="majorHAnsi" w:hAnsiTheme="majorHAnsi"/>
          <w:sz w:val="16"/>
          <w:szCs w:val="16"/>
        </w:rPr>
        <w:t xml:space="preserve">relatives </w:t>
      </w:r>
      <w:r w:rsidRPr="00C645F7">
        <w:rPr>
          <w:rFonts w:asciiTheme="majorHAnsi" w:hAnsiTheme="majorHAnsi"/>
          <w:sz w:val="16"/>
          <w:szCs w:val="16"/>
        </w:rPr>
        <w:t xml:space="preserve">estimées par la MP sont tracées (superposées), </w:t>
      </w:r>
      <w:r w:rsidR="00061893" w:rsidRPr="00C645F7">
        <w:rPr>
          <w:rFonts w:asciiTheme="majorHAnsi" w:hAnsiTheme="majorHAnsi"/>
          <w:sz w:val="16"/>
          <w:szCs w:val="16"/>
        </w:rPr>
        <w:t>par-dessus</w:t>
      </w:r>
      <w:r w:rsidRPr="00C645F7">
        <w:rPr>
          <w:rFonts w:asciiTheme="majorHAnsi" w:hAnsiTheme="majorHAnsi"/>
          <w:sz w:val="16"/>
          <w:szCs w:val="16"/>
        </w:rPr>
        <w:t xml:space="preserve"> celles estimées par la MP dans les itérations de la MSE (figures 21-22 du document consolidé sur la MSE (SCRS/2020/153rev)). On compare les « trajectoires estimées » et les « trajectoires estimées considérées dans la MSE ». La tendance devrait se situer dans les valeurs considérées dans les OM pour chaque année et, dans le cas contraire, le SCRS identifierait une EC.</w:t>
      </w:r>
    </w:p>
    <w:p w14:paraId="02D0A646" w14:textId="7556CBCB" w:rsidR="00DF6354" w:rsidRPr="00C645F7" w:rsidRDefault="00DF6354" w:rsidP="00D65269">
      <w:pPr>
        <w:spacing w:after="0" w:line="240" w:lineRule="auto"/>
        <w:rPr>
          <w:sz w:val="16"/>
          <w:szCs w:val="16"/>
        </w:rPr>
      </w:pPr>
      <w:r w:rsidRPr="00C645F7">
        <w:rPr>
          <w:rFonts w:ascii="Cambria" w:eastAsia="Calibri" w:hAnsi="Cambria" w:cs="Calibri"/>
          <w:sz w:val="16"/>
          <w:szCs w:val="16"/>
          <w:lang w:val="en-US"/>
        </w:rPr>
        <w:t>Merino G., Kell L.T., Arrizabalaga H., Santiago J. 2020. Updated consolidated report for North Atlantic albacore management strategy evaluation.</w:t>
      </w:r>
      <w:r w:rsidRPr="00C645F7">
        <w:rPr>
          <w:lang w:val="en-US"/>
        </w:rPr>
        <w:t xml:space="preserve"> </w:t>
      </w:r>
      <w:r w:rsidRPr="00C645F7">
        <w:rPr>
          <w:rFonts w:ascii="Cambria" w:eastAsia="Calibri" w:hAnsi="Cambria" w:cs="Calibri"/>
          <w:sz w:val="16"/>
          <w:szCs w:val="16"/>
        </w:rPr>
        <w:t>Col. Vol. Sci. Pap. ICCAT 77 (7), 428-461.</w:t>
      </w:r>
    </w:p>
  </w:footnote>
  <w:footnote w:id="5">
    <w:p w14:paraId="7B02B24D" w14:textId="77777777" w:rsidR="00AD144B" w:rsidRPr="00C645F7" w:rsidRDefault="00AD144B" w:rsidP="008E5148">
      <w:pPr>
        <w:pStyle w:val="FootnoteText"/>
        <w:contextualSpacing/>
        <w:jc w:val="both"/>
        <w:rPr>
          <w:rFonts w:asciiTheme="majorHAnsi" w:hAnsiTheme="majorHAnsi"/>
          <w:sz w:val="16"/>
          <w:szCs w:val="16"/>
        </w:rPr>
      </w:pPr>
      <w:r w:rsidRPr="00C645F7">
        <w:rPr>
          <w:rStyle w:val="FootnoteReference"/>
          <w:rFonts w:asciiTheme="majorHAnsi" w:hAnsiTheme="majorHAnsi"/>
          <w:sz w:val="16"/>
          <w:szCs w:val="16"/>
        </w:rPr>
        <w:footnoteRef/>
      </w:r>
      <w:r w:rsidRPr="00C645F7">
        <w:rPr>
          <w:rFonts w:asciiTheme="majorHAnsi" w:hAnsiTheme="majorHAnsi"/>
          <w:sz w:val="16"/>
          <w:szCs w:val="16"/>
        </w:rPr>
        <w:t>Cet indicateur fournit une indication de la CPUE escomptée des poissons adultes car il est postulé que la CPUE suit la biomasse.</w:t>
      </w:r>
    </w:p>
  </w:footnote>
  <w:footnote w:id="6">
    <w:p w14:paraId="317F2078" w14:textId="77777777" w:rsidR="00AD144B" w:rsidRPr="00C645F7" w:rsidRDefault="00AD144B" w:rsidP="008E5148">
      <w:pPr>
        <w:pStyle w:val="FootnoteText"/>
        <w:contextualSpacing/>
        <w:jc w:val="both"/>
        <w:rPr>
          <w:rFonts w:asciiTheme="majorHAnsi" w:hAnsiTheme="majorHAnsi"/>
          <w:sz w:val="16"/>
          <w:szCs w:val="16"/>
        </w:rPr>
      </w:pPr>
      <w:r w:rsidRPr="00C645F7">
        <w:rPr>
          <w:rStyle w:val="FootnoteReference"/>
          <w:rFonts w:asciiTheme="majorHAnsi" w:hAnsiTheme="majorHAnsi"/>
          <w:sz w:val="16"/>
          <w:szCs w:val="16"/>
        </w:rPr>
        <w:footnoteRef/>
      </w:r>
      <w:r w:rsidRPr="00C645F7">
        <w:rPr>
          <w:rFonts w:asciiTheme="majorHAnsi" w:hAnsiTheme="majorHAnsi"/>
          <w:sz w:val="16"/>
          <w:szCs w:val="16"/>
        </w:rPr>
        <w:t xml:space="preserve">Cet indicateur n’est utile que pour différencier la performance des stratégies qui remplissent l’objectif représenté au point 1.4. </w:t>
      </w:r>
    </w:p>
  </w:footnote>
  <w:footnote w:id="7">
    <w:p w14:paraId="750D7607" w14:textId="03748B1D" w:rsidR="00AD144B" w:rsidRPr="00C645F7" w:rsidRDefault="00AD144B" w:rsidP="008C65F9">
      <w:pPr>
        <w:spacing w:after="0" w:line="240" w:lineRule="auto"/>
        <w:contextualSpacing/>
        <w:jc w:val="both"/>
        <w:rPr>
          <w:rFonts w:ascii="Cambria" w:hAnsi="Cambria"/>
          <w:sz w:val="16"/>
          <w:szCs w:val="16"/>
        </w:rPr>
      </w:pPr>
      <w:r w:rsidRPr="00C645F7">
        <w:rPr>
          <w:rStyle w:val="FootnoteReference"/>
          <w:rFonts w:asciiTheme="majorHAnsi" w:hAnsiTheme="majorHAnsi"/>
          <w:sz w:val="16"/>
          <w:szCs w:val="16"/>
        </w:rPr>
        <w:footnoteRef/>
      </w:r>
      <w:r w:rsidR="00DA7810" w:rsidRPr="00C645F7">
        <w:rPr>
          <w:rFonts w:asciiTheme="majorHAnsi" w:hAnsiTheme="majorHAnsi"/>
          <w:sz w:val="16"/>
          <w:szCs w:val="16"/>
        </w:rPr>
        <w:t xml:space="preserve"> </w:t>
      </w:r>
      <w:r w:rsidRPr="00C645F7">
        <w:rPr>
          <w:rFonts w:asciiTheme="majorHAnsi" w:hAnsiTheme="majorHAnsi"/>
          <w:sz w:val="16"/>
          <w:szCs w:val="16"/>
        </w:rPr>
        <w:t>Cela diffère légèrement de la situation de se situer à 1 - probabilité de fermeture</w:t>
      </w:r>
      <w:r w:rsidR="008C65F9" w:rsidRPr="00C645F7">
        <w:rPr>
          <w:rFonts w:asciiTheme="majorHAnsi" w:hAnsiTheme="majorHAnsi"/>
          <w:sz w:val="16"/>
          <w:szCs w:val="16"/>
        </w:rPr>
        <w:t xml:space="preserve"> (</w:t>
      </w:r>
      <w:r w:rsidRPr="00C645F7">
        <w:rPr>
          <w:rFonts w:asciiTheme="majorHAnsi" w:hAnsiTheme="majorHAnsi"/>
          <w:sz w:val="16"/>
          <w:szCs w:val="16"/>
        </w:rPr>
        <w:t>4.3</w:t>
      </w:r>
      <w:r w:rsidR="008C65F9" w:rsidRPr="00C645F7">
        <w:rPr>
          <w:rFonts w:asciiTheme="majorHAnsi" w:hAnsiTheme="majorHAnsi"/>
          <w:sz w:val="16"/>
          <w:szCs w:val="16"/>
        </w:rPr>
        <w:t>)</w:t>
      </w:r>
      <w:r w:rsidRPr="00C645F7">
        <w:rPr>
          <w:rFonts w:asciiTheme="majorHAnsi" w:hAnsiTheme="majorHAnsi"/>
          <w:sz w:val="16"/>
          <w:szCs w:val="16"/>
        </w:rPr>
        <w:t>, compte tenu du choix d'avoir un cycle de gestion de 3 ans. Lors du prochain cycle de gestion après lequel il a été déterminé que B est inférieur à B</w:t>
      </w:r>
      <w:r w:rsidRPr="00C645F7">
        <w:rPr>
          <w:rFonts w:asciiTheme="majorHAnsi" w:hAnsiTheme="majorHAnsi"/>
          <w:sz w:val="16"/>
          <w:szCs w:val="16"/>
          <w:vertAlign w:val="subscript"/>
        </w:rPr>
        <w:t>lim</w:t>
      </w:r>
      <w:r w:rsidRPr="00C645F7">
        <w:rPr>
          <w:rFonts w:asciiTheme="majorHAnsi" w:hAnsiTheme="majorHAnsi"/>
          <w:sz w:val="16"/>
          <w:szCs w:val="16"/>
        </w:rPr>
        <w:t>, le TAC est fixé pendant trois ans au niveau correspondant à F</w:t>
      </w:r>
      <w:r w:rsidRPr="00C645F7">
        <w:rPr>
          <w:rFonts w:asciiTheme="majorHAnsi" w:hAnsiTheme="majorHAnsi"/>
          <w:sz w:val="16"/>
          <w:szCs w:val="16"/>
          <w:vertAlign w:val="subscript"/>
        </w:rPr>
        <w:t>lim</w:t>
      </w:r>
      <w:r w:rsidRPr="00C645F7">
        <w:rPr>
          <w:rFonts w:asciiTheme="majorHAnsi" w:hAnsiTheme="majorHAnsi"/>
          <w:sz w:val="16"/>
          <w:szCs w:val="16"/>
        </w:rPr>
        <w:t xml:space="preserve"> et la prise restera à ce niveau minimum pendant trois ans. Il se peut toutefois que la biomasse réagisse rapidement à la baisse de F et qu'elle augmente rapidement de telle façon qu'une ou plus des trois années du cycle entraînera B&gt;B</w:t>
      </w:r>
      <w:r w:rsidRPr="00C645F7">
        <w:rPr>
          <w:rFonts w:asciiTheme="majorHAnsi" w:hAnsiTheme="majorHAnsi"/>
          <w:sz w:val="16"/>
          <w:szCs w:val="16"/>
          <w:vertAlign w:val="subscript"/>
        </w:rPr>
        <w:t>lim</w:t>
      </w:r>
      <w:r w:rsidRPr="00C645F7">
        <w:rPr>
          <w:rFonts w:asciiTheme="majorHAnsi" w:hAnsiTheme="majorHAnsi"/>
          <w:sz w:val="16"/>
          <w:szCs w:val="16"/>
        </w:rPr>
        <w:t>.</w:t>
      </w:r>
      <w:r w:rsidRPr="00C645F7">
        <w:rPr>
          <w:rFonts w:ascii="Cambria" w:hAnsi="Cambria"/>
          <w:sz w:val="16"/>
          <w:szCs w:val="16"/>
        </w:rPr>
        <w:t xml:space="preserve"> </w:t>
      </w:r>
    </w:p>
  </w:footnote>
  <w:footnote w:id="8">
    <w:p w14:paraId="2075F3F7" w14:textId="231AAB91" w:rsidR="00AD144B" w:rsidRPr="00C645F7" w:rsidRDefault="00AD144B" w:rsidP="008E5148">
      <w:pPr>
        <w:pStyle w:val="FootnoteText"/>
        <w:contextualSpacing/>
        <w:jc w:val="both"/>
        <w:rPr>
          <w:rFonts w:asciiTheme="majorHAnsi" w:hAnsiTheme="majorHAnsi"/>
          <w:sz w:val="16"/>
          <w:szCs w:val="16"/>
        </w:rPr>
      </w:pPr>
      <w:r w:rsidRPr="00C645F7">
        <w:rPr>
          <w:rStyle w:val="FootnoteReference"/>
          <w:rFonts w:asciiTheme="majorHAnsi" w:hAnsiTheme="majorHAnsi"/>
          <w:sz w:val="16"/>
          <w:szCs w:val="16"/>
        </w:rPr>
        <w:footnoteRef/>
      </w:r>
      <w:r w:rsidR="00DA7810" w:rsidRPr="00C645F7">
        <w:rPr>
          <w:rFonts w:asciiTheme="majorHAnsi" w:hAnsiTheme="majorHAnsi"/>
          <w:sz w:val="16"/>
          <w:szCs w:val="16"/>
        </w:rPr>
        <w:t xml:space="preserve">  </w:t>
      </w:r>
      <w:r w:rsidRPr="00C645F7">
        <w:rPr>
          <w:rFonts w:asciiTheme="majorHAnsi" w:hAnsiTheme="majorHAnsi"/>
          <w:sz w:val="16"/>
          <w:szCs w:val="16"/>
        </w:rPr>
        <w:t>Utile en l’absence de limitations liées au TAC dans la règle de contrôle de l’exploitation.</w:t>
      </w:r>
    </w:p>
  </w:footnote>
  <w:footnote w:id="9">
    <w:p w14:paraId="681D034D" w14:textId="77777777" w:rsidR="00AD144B" w:rsidRPr="00C645F7" w:rsidRDefault="00AD144B" w:rsidP="008E5148">
      <w:pPr>
        <w:pStyle w:val="FootnoteText"/>
        <w:contextualSpacing/>
        <w:jc w:val="both"/>
        <w:rPr>
          <w:rFonts w:asciiTheme="majorHAnsi" w:hAnsiTheme="majorHAnsi"/>
          <w:sz w:val="16"/>
          <w:szCs w:val="16"/>
        </w:rPr>
      </w:pPr>
      <w:r w:rsidRPr="00C645F7">
        <w:rPr>
          <w:rStyle w:val="FootnoteReference"/>
          <w:rFonts w:asciiTheme="majorHAnsi" w:hAnsiTheme="majorHAnsi"/>
          <w:sz w:val="16"/>
          <w:szCs w:val="16"/>
        </w:rPr>
        <w:footnoteRef/>
      </w:r>
      <w:r w:rsidRPr="00C645F7">
        <w:rPr>
          <w:rFonts w:asciiTheme="majorHAnsi" w:hAnsiTheme="majorHAnsi"/>
          <w:sz w:val="16"/>
          <w:szCs w:val="16"/>
        </w:rPr>
        <w:t>Changements positifs et négatifs à déclarer séparément.</w:t>
      </w:r>
    </w:p>
  </w:footnote>
  <w:footnote w:id="10">
    <w:p w14:paraId="3C148022" w14:textId="77777777" w:rsidR="00AD144B" w:rsidRPr="00240B8F" w:rsidRDefault="00AD144B" w:rsidP="00814E7C">
      <w:pPr>
        <w:pStyle w:val="FootnoteText"/>
        <w:jc w:val="both"/>
        <w:rPr>
          <w:rFonts w:asciiTheme="majorHAnsi" w:hAnsiTheme="majorHAnsi"/>
          <w:sz w:val="16"/>
          <w:szCs w:val="16"/>
        </w:rPr>
      </w:pPr>
      <w:r w:rsidRPr="00C645F7">
        <w:rPr>
          <w:rStyle w:val="FootnoteReference"/>
          <w:rFonts w:asciiTheme="majorHAnsi" w:hAnsiTheme="majorHAnsi"/>
          <w:sz w:val="16"/>
          <w:szCs w:val="16"/>
        </w:rPr>
        <w:footnoteRef/>
      </w:r>
      <w:r w:rsidRPr="00C645F7">
        <w:rPr>
          <w:rFonts w:asciiTheme="majorHAnsi" w:hAnsiTheme="majorHAnsi"/>
          <w:sz w:val="16"/>
          <w:szCs w:val="16"/>
        </w:rPr>
        <w:t>Changements positifs et négatifs à déclarer séparément.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E0918" w14:textId="77AF4DC3" w:rsidR="0035431C" w:rsidRPr="0035431C" w:rsidRDefault="0035431C" w:rsidP="00A30A5F">
    <w:pPr>
      <w:widowControl w:val="0"/>
      <w:pBdr>
        <w:top w:val="nil"/>
        <w:left w:val="nil"/>
        <w:bottom w:val="nil"/>
        <w:right w:val="nil"/>
        <w:between w:val="nil"/>
      </w:pBdr>
      <w:autoSpaceDE w:val="0"/>
      <w:autoSpaceDN w:val="0"/>
      <w:adjustRightInd w:val="0"/>
      <w:spacing w:after="0" w:line="240" w:lineRule="exact"/>
      <w:ind w:left="5812" w:hanging="5812"/>
      <w:rPr>
        <w:rFonts w:ascii="Cambria" w:eastAsia="Yu Mincho" w:hAnsi="Cambria" w:cs="Calibri"/>
        <w:b/>
        <w:bCs/>
        <w:color w:val="000000"/>
        <w:sz w:val="28"/>
        <w:szCs w:val="20"/>
      </w:rPr>
    </w:pPr>
    <w:r w:rsidRPr="0035431C">
      <w:rPr>
        <w:rFonts w:ascii="Cambria" w:eastAsia="Yu Mincho" w:hAnsi="Cambria" w:cs="Calibri"/>
        <w:b/>
        <w:bCs/>
        <w:color w:val="000000"/>
        <w:sz w:val="20"/>
        <w:szCs w:val="20"/>
      </w:rPr>
      <w:t xml:space="preserve">COMMISSION 2021 </w:t>
    </w:r>
    <w:r w:rsidRPr="0035431C">
      <w:rPr>
        <w:rFonts w:ascii="Cambria" w:eastAsia="Yu Mincho" w:hAnsi="Cambria" w:cs="Calibri"/>
        <w:b/>
        <w:bCs/>
        <w:color w:val="000000"/>
        <w:sz w:val="20"/>
        <w:szCs w:val="20"/>
      </w:rPr>
      <w:tab/>
    </w:r>
    <w:r w:rsidRPr="0035431C">
      <w:rPr>
        <w:rFonts w:ascii="Cambria" w:eastAsia="Yu Mincho" w:hAnsi="Cambria" w:cs="Calibri"/>
        <w:b/>
        <w:bCs/>
        <w:color w:val="000000"/>
        <w:sz w:val="28"/>
        <w:szCs w:val="28"/>
      </w:rPr>
      <w:t>Doc. Nº PA2-61</w:t>
    </w:r>
    <w:r>
      <w:rPr>
        <w:rFonts w:ascii="Cambria" w:eastAsia="Yu Mincho" w:hAnsi="Cambria" w:cs="Calibri"/>
        <w:b/>
        <w:bCs/>
        <w:color w:val="000000"/>
        <w:sz w:val="28"/>
        <w:szCs w:val="28"/>
      </w:rPr>
      <w:t>3</w:t>
    </w:r>
    <w:r w:rsidR="00A30A5F">
      <w:rPr>
        <w:rFonts w:ascii="Cambria" w:eastAsia="Yu Mincho" w:hAnsi="Cambria" w:cs="Calibri"/>
        <w:b/>
        <w:bCs/>
        <w:color w:val="000000"/>
        <w:sz w:val="28"/>
        <w:szCs w:val="28"/>
      </w:rPr>
      <w:t>B</w:t>
    </w:r>
    <w:r w:rsidRPr="0035431C">
      <w:rPr>
        <w:rFonts w:ascii="Cambria" w:eastAsia="Yu Mincho" w:hAnsi="Cambria" w:cs="Calibri"/>
        <w:b/>
        <w:bCs/>
        <w:color w:val="000000"/>
        <w:sz w:val="28"/>
        <w:szCs w:val="28"/>
      </w:rPr>
      <w:t>/2021</w:t>
    </w:r>
  </w:p>
  <w:p w14:paraId="59CFB469" w14:textId="20EAD5A3" w:rsidR="0035431C" w:rsidRPr="0035431C" w:rsidRDefault="0035431C" w:rsidP="0035431C">
    <w:pPr>
      <w:widowControl w:val="0"/>
      <w:pBdr>
        <w:top w:val="nil"/>
        <w:left w:val="nil"/>
        <w:bottom w:val="nil"/>
        <w:right w:val="nil"/>
        <w:between w:val="nil"/>
      </w:pBdr>
      <w:tabs>
        <w:tab w:val="left" w:pos="7320"/>
      </w:tabs>
      <w:autoSpaceDE w:val="0"/>
      <w:autoSpaceDN w:val="0"/>
      <w:adjustRightInd w:val="0"/>
      <w:spacing w:after="0" w:line="240" w:lineRule="exact"/>
      <w:rPr>
        <w:rFonts w:ascii="Cambria" w:eastAsia="Yu Mincho" w:hAnsi="Cambria" w:cs="Calibri"/>
        <w:b/>
        <w:bCs/>
        <w:color w:val="000000"/>
        <w:sz w:val="20"/>
        <w:szCs w:val="20"/>
      </w:rPr>
    </w:pPr>
    <w:r w:rsidRPr="0035431C">
      <w:rPr>
        <w:rFonts w:ascii="Cambria" w:eastAsia="Yu Mincho" w:hAnsi="Cambria" w:cs="Calibri"/>
        <w:b/>
        <w:bCs/>
        <w:color w:val="000000"/>
        <w:sz w:val="20"/>
        <w:szCs w:val="20"/>
        <w:lang w:val="es-ES"/>
      </w:rPr>
      <w:fldChar w:fldCharType="begin"/>
    </w:r>
    <w:r w:rsidRPr="0035431C">
      <w:rPr>
        <w:rFonts w:ascii="Cambria" w:eastAsia="Yu Mincho" w:hAnsi="Cambria" w:cs="Calibri"/>
        <w:b/>
        <w:bCs/>
        <w:color w:val="000000"/>
        <w:sz w:val="20"/>
        <w:szCs w:val="20"/>
      </w:rPr>
      <w:instrText xml:space="preserve"> TIME \@ "d MMMM yyyy" </w:instrText>
    </w:r>
    <w:r w:rsidRPr="0035431C">
      <w:rPr>
        <w:rFonts w:ascii="Cambria" w:eastAsia="Yu Mincho" w:hAnsi="Cambria" w:cs="Calibri"/>
        <w:b/>
        <w:bCs/>
        <w:color w:val="000000"/>
        <w:sz w:val="20"/>
        <w:szCs w:val="20"/>
        <w:lang w:val="es-ES"/>
      </w:rPr>
      <w:fldChar w:fldCharType="separate"/>
    </w:r>
    <w:r w:rsidR="00E638EE">
      <w:rPr>
        <w:rFonts w:ascii="Cambria" w:eastAsia="Yu Mincho" w:hAnsi="Cambria" w:cs="Calibri"/>
        <w:b/>
        <w:bCs/>
        <w:noProof/>
        <w:color w:val="000000"/>
        <w:sz w:val="20"/>
        <w:szCs w:val="20"/>
      </w:rPr>
      <w:t>17 décembre 2021</w:t>
    </w:r>
    <w:r w:rsidRPr="0035431C">
      <w:rPr>
        <w:rFonts w:ascii="Cambria" w:eastAsia="Yu Mincho" w:hAnsi="Cambria" w:cs="Calibri"/>
        <w:b/>
        <w:bCs/>
        <w:color w:val="000000"/>
        <w:sz w:val="20"/>
        <w:szCs w:val="20"/>
        <w:lang w:val="es-ES"/>
      </w:rPr>
      <w:fldChar w:fldCharType="end"/>
    </w:r>
    <w:r w:rsidRPr="0035431C">
      <w:rPr>
        <w:rFonts w:ascii="Cambria" w:eastAsia="Yu Mincho" w:hAnsi="Cambria" w:cs="Calibri"/>
        <w:b/>
        <w:bCs/>
        <w:color w:val="000000"/>
        <w:sz w:val="20"/>
        <w:szCs w:val="20"/>
      </w:rPr>
      <w:t xml:space="preserve">; </w:t>
    </w:r>
    <w:r w:rsidRPr="0035431C">
      <w:rPr>
        <w:rFonts w:ascii="Cambria" w:eastAsia="Yu Mincho" w:hAnsi="Cambria" w:cs="Calibri"/>
        <w:b/>
        <w:bCs/>
        <w:color w:val="000000"/>
        <w:sz w:val="20"/>
        <w:szCs w:val="20"/>
      </w:rPr>
      <w:fldChar w:fldCharType="begin"/>
    </w:r>
    <w:r w:rsidRPr="0035431C">
      <w:rPr>
        <w:rFonts w:ascii="Cambria" w:eastAsia="Yu Mincho" w:hAnsi="Cambria" w:cs="Calibri"/>
        <w:b/>
        <w:bCs/>
        <w:color w:val="000000"/>
        <w:sz w:val="20"/>
        <w:szCs w:val="20"/>
      </w:rPr>
      <w:instrText xml:space="preserve"> TIME \@ "HH:mm" </w:instrText>
    </w:r>
    <w:r w:rsidRPr="0035431C">
      <w:rPr>
        <w:rFonts w:ascii="Cambria" w:eastAsia="Yu Mincho" w:hAnsi="Cambria" w:cs="Calibri"/>
        <w:b/>
        <w:bCs/>
        <w:color w:val="000000"/>
        <w:sz w:val="20"/>
        <w:szCs w:val="20"/>
      </w:rPr>
      <w:fldChar w:fldCharType="separate"/>
    </w:r>
    <w:r w:rsidR="00E638EE">
      <w:rPr>
        <w:rFonts w:ascii="Cambria" w:eastAsia="Yu Mincho" w:hAnsi="Cambria" w:cs="Calibri"/>
        <w:b/>
        <w:bCs/>
        <w:noProof/>
        <w:color w:val="000000"/>
        <w:sz w:val="20"/>
        <w:szCs w:val="20"/>
      </w:rPr>
      <w:t>08:40</w:t>
    </w:r>
    <w:r w:rsidRPr="0035431C">
      <w:rPr>
        <w:rFonts w:ascii="Cambria" w:eastAsia="Yu Mincho" w:hAnsi="Cambria" w:cs="Calibri"/>
        <w:b/>
        <w:bCs/>
        <w:color w:val="000000"/>
        <w:sz w:val="20"/>
        <w:szCs w:val="20"/>
      </w:rPr>
      <w:fldChar w:fldCharType="end"/>
    </w:r>
  </w:p>
  <w:p w14:paraId="1049000E" w14:textId="77777777" w:rsidR="0035431C" w:rsidRPr="0035431C" w:rsidRDefault="0035431C" w:rsidP="0035431C">
    <w:pPr>
      <w:widowControl w:val="0"/>
      <w:pBdr>
        <w:top w:val="nil"/>
        <w:left w:val="nil"/>
        <w:bottom w:val="nil"/>
        <w:right w:val="nil"/>
        <w:between w:val="nil"/>
      </w:pBdr>
      <w:tabs>
        <w:tab w:val="left" w:pos="7320"/>
      </w:tabs>
      <w:autoSpaceDE w:val="0"/>
      <w:autoSpaceDN w:val="0"/>
      <w:adjustRightInd w:val="0"/>
      <w:spacing w:after="0" w:line="240" w:lineRule="exact"/>
      <w:rPr>
        <w:rFonts w:ascii="Calibri" w:eastAsia="Yu Mincho" w:hAnsi="Calibri" w:cs="Calibri"/>
        <w:color w:val="000000"/>
      </w:rPr>
    </w:pPr>
    <w:r w:rsidRPr="0035431C">
      <w:rPr>
        <w:rFonts w:ascii="Cambria" w:eastAsia="Yu Mincho" w:hAnsi="Cambria" w:cs="Calibri"/>
        <w:b/>
        <w:bCs/>
        <w:noProof/>
        <w:color w:val="000000"/>
        <w:sz w:val="20"/>
        <w:szCs w:val="20"/>
        <w:lang w:val="en-US"/>
      </w:rPr>
      <mc:AlternateContent>
        <mc:Choice Requires="wps">
          <w:drawing>
            <wp:anchor distT="0" distB="0" distL="114300" distR="114300" simplePos="0" relativeHeight="251661312" behindDoc="0" locked="0" layoutInCell="1" allowOverlap="1" wp14:anchorId="5B93DFBE" wp14:editId="52FB60E0">
              <wp:simplePos x="0" y="0"/>
              <wp:positionH relativeFrom="column">
                <wp:posOffset>0</wp:posOffset>
              </wp:positionH>
              <wp:positionV relativeFrom="paragraph">
                <wp:posOffset>17145</wp:posOffset>
              </wp:positionV>
              <wp:extent cx="5715000" cy="0"/>
              <wp:effectExtent l="9525" t="7620" r="952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A88C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BF36" w14:textId="5F2636D1" w:rsidR="00FD0C04" w:rsidRPr="0035431C" w:rsidRDefault="00FD0C04" w:rsidP="0035431C">
    <w:pPr>
      <w:widowControl w:val="0"/>
      <w:pBdr>
        <w:top w:val="nil"/>
        <w:left w:val="nil"/>
        <w:bottom w:val="nil"/>
        <w:right w:val="nil"/>
        <w:between w:val="nil"/>
      </w:pBdr>
      <w:tabs>
        <w:tab w:val="left" w:pos="7320"/>
      </w:tabs>
      <w:autoSpaceDE w:val="0"/>
      <w:autoSpaceDN w:val="0"/>
      <w:adjustRightInd w:val="0"/>
      <w:spacing w:after="0" w:line="240" w:lineRule="exact"/>
      <w:rPr>
        <w:rFonts w:ascii="Calibri" w:eastAsia="Yu Mincho"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4145" w14:textId="03D0E0CB" w:rsidR="00A458E5" w:rsidRPr="00256E6A" w:rsidRDefault="00A458E5" w:rsidP="00256E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C2E0" w14:textId="2124401A" w:rsidR="00AD144B" w:rsidRDefault="00AD14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3ACD0" w14:textId="17007FF0" w:rsidR="006D3E16" w:rsidRPr="00256E6A" w:rsidRDefault="006D3E16" w:rsidP="00256E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BD25" w14:textId="3DC3F1E9" w:rsidR="00AD144B" w:rsidRDefault="00AD144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839C" w14:textId="77777777" w:rsidR="008E5148" w:rsidRPr="00256E6A" w:rsidRDefault="008E5148" w:rsidP="00256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63C"/>
    <w:multiLevelType w:val="hybridMultilevel"/>
    <w:tmpl w:val="B4F82A5A"/>
    <w:lvl w:ilvl="0" w:tplc="F13C0D1E">
      <w:start w:val="2"/>
      <w:numFmt w:val="bullet"/>
      <w:lvlText w:val=""/>
      <w:lvlJc w:val="left"/>
      <w:pPr>
        <w:ind w:left="720" w:hanging="360"/>
      </w:pPr>
      <w:rPr>
        <w:rFonts w:ascii="Symbol" w:eastAsia="SimSun"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B359F5"/>
    <w:multiLevelType w:val="multilevel"/>
    <w:tmpl w:val="BA18CF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0D63E2"/>
    <w:multiLevelType w:val="hybridMultilevel"/>
    <w:tmpl w:val="4ADA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80CEA"/>
    <w:multiLevelType w:val="hybridMultilevel"/>
    <w:tmpl w:val="22929B0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E85523"/>
    <w:multiLevelType w:val="hybridMultilevel"/>
    <w:tmpl w:val="D84C5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D0445"/>
    <w:multiLevelType w:val="hybridMultilevel"/>
    <w:tmpl w:val="DB306F34"/>
    <w:lvl w:ilvl="0" w:tplc="0809000F">
      <w:start w:val="1"/>
      <w:numFmt w:val="decimal"/>
      <w:lvlText w:val="%1."/>
      <w:lvlJc w:val="left"/>
      <w:pPr>
        <w:ind w:left="720" w:hanging="360"/>
      </w:pPr>
    </w:lvl>
    <w:lvl w:ilvl="1" w:tplc="04090017">
      <w:start w:val="1"/>
      <w:numFmt w:val="lowerLetter"/>
      <w:lvlText w:val="%2)"/>
      <w:lvlJc w:val="left"/>
      <w:pPr>
        <w:ind w:left="1440" w:hanging="360"/>
      </w:pPr>
      <w:rPr>
        <w:sz w:val="20"/>
        <w:szCs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A3E57"/>
    <w:multiLevelType w:val="hybridMultilevel"/>
    <w:tmpl w:val="A6E07486"/>
    <w:lvl w:ilvl="0" w:tplc="C98442CE">
      <w:start w:val="1"/>
      <w:numFmt w:val="decimal"/>
      <w:lvlText w:val="%1."/>
      <w:lvlJc w:val="left"/>
      <w:pPr>
        <w:ind w:left="360" w:hanging="360"/>
      </w:pPr>
      <w:rPr>
        <w:rFonts w:ascii="Times New Roman" w:hAnsi="Times New Roman" w:cs="Times New Roman" w:hint="default"/>
        <w:color w:val="auto"/>
      </w:rPr>
    </w:lvl>
    <w:lvl w:ilvl="1" w:tplc="AA54C37E">
      <w:start w:val="1"/>
      <w:numFmt w:val="lowerLetter"/>
      <w:lvlText w:val="%2)"/>
      <w:lvlJc w:val="left"/>
      <w:pPr>
        <w:ind w:left="1080" w:hanging="360"/>
      </w:pPr>
      <w:rPr>
        <w:rFonts w:ascii="Times New Roman" w:hAnsi="Times New Roman" w:cs="Times New Roman" w:hint="default"/>
        <w:u w:val="non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3022B6"/>
    <w:multiLevelType w:val="hybridMultilevel"/>
    <w:tmpl w:val="8DAC8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2449B"/>
    <w:multiLevelType w:val="hybridMultilevel"/>
    <w:tmpl w:val="4C66371E"/>
    <w:lvl w:ilvl="0" w:tplc="08E6DF5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0817C3"/>
    <w:multiLevelType w:val="hybridMultilevel"/>
    <w:tmpl w:val="908A83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BAB0591"/>
    <w:multiLevelType w:val="hybridMultilevel"/>
    <w:tmpl w:val="E61A0930"/>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AB314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247647"/>
    <w:multiLevelType w:val="hybridMultilevel"/>
    <w:tmpl w:val="B882E09C"/>
    <w:lvl w:ilvl="0" w:tplc="762872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56690"/>
    <w:multiLevelType w:val="hybridMultilevel"/>
    <w:tmpl w:val="FFD09AD2"/>
    <w:lvl w:ilvl="0" w:tplc="76287224">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41FC1914"/>
    <w:multiLevelType w:val="hybridMultilevel"/>
    <w:tmpl w:val="8054A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A4582D"/>
    <w:multiLevelType w:val="hybridMultilevel"/>
    <w:tmpl w:val="F7AC4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51891"/>
    <w:multiLevelType w:val="hybridMultilevel"/>
    <w:tmpl w:val="4C9EC592"/>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52A0A"/>
    <w:multiLevelType w:val="hybridMultilevel"/>
    <w:tmpl w:val="2EB66B0C"/>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B6EEE"/>
    <w:multiLevelType w:val="hybridMultilevel"/>
    <w:tmpl w:val="D8BE975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51E1E"/>
    <w:multiLevelType w:val="hybridMultilevel"/>
    <w:tmpl w:val="CFE6520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C543E"/>
    <w:multiLevelType w:val="hybridMultilevel"/>
    <w:tmpl w:val="3CA2A588"/>
    <w:lvl w:ilvl="0" w:tplc="7628722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25465"/>
    <w:multiLevelType w:val="hybridMultilevel"/>
    <w:tmpl w:val="7CB82668"/>
    <w:lvl w:ilvl="0" w:tplc="75C68D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3C30EDE"/>
    <w:multiLevelType w:val="hybridMultilevel"/>
    <w:tmpl w:val="21480740"/>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F6470E"/>
    <w:multiLevelType w:val="hybridMultilevel"/>
    <w:tmpl w:val="68340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EB785A"/>
    <w:multiLevelType w:val="hybridMultilevel"/>
    <w:tmpl w:val="FC14132C"/>
    <w:lvl w:ilvl="0" w:tplc="977052BA">
      <w:start w:val="13"/>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7810CC"/>
    <w:multiLevelType w:val="hybridMultilevel"/>
    <w:tmpl w:val="05B0939C"/>
    <w:lvl w:ilvl="0" w:tplc="76287224">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15:restartNumberingAfterBreak="0">
    <w:nsid w:val="76AF63DF"/>
    <w:multiLevelType w:val="hybridMultilevel"/>
    <w:tmpl w:val="7CCC22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8662BDE"/>
    <w:multiLevelType w:val="hybridMultilevel"/>
    <w:tmpl w:val="1CCAE1E4"/>
    <w:lvl w:ilvl="0" w:tplc="A79204C4">
      <w:start w:val="4"/>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F4A1CD"/>
    <w:multiLevelType w:val="hybridMultilevel"/>
    <w:tmpl w:val="FE7A4B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A60167A"/>
    <w:multiLevelType w:val="hybridMultilevel"/>
    <w:tmpl w:val="6EE49A70"/>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D61795"/>
    <w:multiLevelType w:val="hybridMultilevel"/>
    <w:tmpl w:val="B7D4C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E410F3"/>
    <w:multiLevelType w:val="hybridMultilevel"/>
    <w:tmpl w:val="E9389B2C"/>
    <w:lvl w:ilvl="0" w:tplc="762872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FF534C8"/>
    <w:multiLevelType w:val="hybridMultilevel"/>
    <w:tmpl w:val="39B07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4"/>
  </w:num>
  <w:num w:numId="3">
    <w:abstractNumId w:val="28"/>
  </w:num>
  <w:num w:numId="4">
    <w:abstractNumId w:val="25"/>
  </w:num>
  <w:num w:numId="5">
    <w:abstractNumId w:val="14"/>
  </w:num>
  <w:num w:numId="6">
    <w:abstractNumId w:val="35"/>
  </w:num>
  <w:num w:numId="7">
    <w:abstractNumId w:val="13"/>
  </w:num>
  <w:num w:numId="8">
    <w:abstractNumId w:val="29"/>
  </w:num>
  <w:num w:numId="9">
    <w:abstractNumId w:val="36"/>
  </w:num>
  <w:num w:numId="10">
    <w:abstractNumId w:val="20"/>
  </w:num>
  <w:num w:numId="11">
    <w:abstractNumId w:val="10"/>
  </w:num>
  <w:num w:numId="12">
    <w:abstractNumId w:val="8"/>
  </w:num>
  <w:num w:numId="13">
    <w:abstractNumId w:val="33"/>
  </w:num>
  <w:num w:numId="14">
    <w:abstractNumId w:val="15"/>
  </w:num>
  <w:num w:numId="15">
    <w:abstractNumId w:val="26"/>
  </w:num>
  <w:num w:numId="16">
    <w:abstractNumId w:val="5"/>
  </w:num>
  <w:num w:numId="17">
    <w:abstractNumId w:val="11"/>
  </w:num>
  <w:num w:numId="18">
    <w:abstractNumId w:val="16"/>
  </w:num>
  <w:num w:numId="19">
    <w:abstractNumId w:val="2"/>
  </w:num>
  <w:num w:numId="20">
    <w:abstractNumId w:val="24"/>
  </w:num>
  <w:num w:numId="21">
    <w:abstractNumId w:val="0"/>
  </w:num>
  <w:num w:numId="22">
    <w:abstractNumId w:val="4"/>
  </w:num>
  <w:num w:numId="23">
    <w:abstractNumId w:val="23"/>
  </w:num>
  <w:num w:numId="24">
    <w:abstractNumId w:val="7"/>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1"/>
  </w:num>
  <w:num w:numId="29">
    <w:abstractNumId w:val="31"/>
  </w:num>
  <w:num w:numId="30">
    <w:abstractNumId w:val="18"/>
  </w:num>
  <w:num w:numId="31">
    <w:abstractNumId w:val="19"/>
  </w:num>
  <w:num w:numId="32">
    <w:abstractNumId w:val="22"/>
  </w:num>
  <w:num w:numId="33">
    <w:abstractNumId w:val="12"/>
  </w:num>
  <w:num w:numId="34">
    <w:abstractNumId w:val="1"/>
  </w:num>
  <w:num w:numId="35">
    <w:abstractNumId w:val="17"/>
  </w:num>
  <w:num w:numId="36">
    <w:abstractNumId w:val="30"/>
  </w:num>
  <w:num w:numId="37">
    <w:abstractNumId w:val="2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EF"/>
    <w:rsid w:val="000057BE"/>
    <w:rsid w:val="00005F4A"/>
    <w:rsid w:val="00014AA4"/>
    <w:rsid w:val="00021885"/>
    <w:rsid w:val="00021A75"/>
    <w:rsid w:val="000231AE"/>
    <w:rsid w:val="00027391"/>
    <w:rsid w:val="00027BC9"/>
    <w:rsid w:val="00027C7B"/>
    <w:rsid w:val="00032774"/>
    <w:rsid w:val="00045636"/>
    <w:rsid w:val="00051C50"/>
    <w:rsid w:val="00051F43"/>
    <w:rsid w:val="0005697F"/>
    <w:rsid w:val="00061893"/>
    <w:rsid w:val="00066882"/>
    <w:rsid w:val="00070B88"/>
    <w:rsid w:val="0007125D"/>
    <w:rsid w:val="00084DF3"/>
    <w:rsid w:val="0008645A"/>
    <w:rsid w:val="000872AC"/>
    <w:rsid w:val="0009340A"/>
    <w:rsid w:val="00095AD0"/>
    <w:rsid w:val="000968AE"/>
    <w:rsid w:val="000A211B"/>
    <w:rsid w:val="000A2625"/>
    <w:rsid w:val="000A3DD3"/>
    <w:rsid w:val="000A7818"/>
    <w:rsid w:val="000B30CD"/>
    <w:rsid w:val="000C3972"/>
    <w:rsid w:val="000C5790"/>
    <w:rsid w:val="000C6975"/>
    <w:rsid w:val="000D0A75"/>
    <w:rsid w:val="000D0C14"/>
    <w:rsid w:val="000D511E"/>
    <w:rsid w:val="000E215D"/>
    <w:rsid w:val="000F2C04"/>
    <w:rsid w:val="000F2FA4"/>
    <w:rsid w:val="001127F1"/>
    <w:rsid w:val="001149FE"/>
    <w:rsid w:val="00114FD3"/>
    <w:rsid w:val="00115BC6"/>
    <w:rsid w:val="0011642B"/>
    <w:rsid w:val="00116D57"/>
    <w:rsid w:val="0011718C"/>
    <w:rsid w:val="001209D9"/>
    <w:rsid w:val="00121C8D"/>
    <w:rsid w:val="001253D6"/>
    <w:rsid w:val="00125BDC"/>
    <w:rsid w:val="00127C26"/>
    <w:rsid w:val="0013729E"/>
    <w:rsid w:val="00141744"/>
    <w:rsid w:val="00142BF7"/>
    <w:rsid w:val="001518DC"/>
    <w:rsid w:val="00151D39"/>
    <w:rsid w:val="00152BB2"/>
    <w:rsid w:val="0015457D"/>
    <w:rsid w:val="00154F51"/>
    <w:rsid w:val="001554B9"/>
    <w:rsid w:val="00155648"/>
    <w:rsid w:val="00156F6F"/>
    <w:rsid w:val="00163D73"/>
    <w:rsid w:val="00166669"/>
    <w:rsid w:val="00166C00"/>
    <w:rsid w:val="001731EC"/>
    <w:rsid w:val="001819A6"/>
    <w:rsid w:val="001848E9"/>
    <w:rsid w:val="00190ABE"/>
    <w:rsid w:val="001A4215"/>
    <w:rsid w:val="001A493F"/>
    <w:rsid w:val="001A7333"/>
    <w:rsid w:val="001B242C"/>
    <w:rsid w:val="001B30A2"/>
    <w:rsid w:val="001B4D8E"/>
    <w:rsid w:val="001C5BAA"/>
    <w:rsid w:val="001C6653"/>
    <w:rsid w:val="001D5017"/>
    <w:rsid w:val="001D6352"/>
    <w:rsid w:val="001D6472"/>
    <w:rsid w:val="001E6606"/>
    <w:rsid w:val="001E686E"/>
    <w:rsid w:val="001F008A"/>
    <w:rsid w:val="001F41EA"/>
    <w:rsid w:val="001F4473"/>
    <w:rsid w:val="00203477"/>
    <w:rsid w:val="0021193F"/>
    <w:rsid w:val="002205D2"/>
    <w:rsid w:val="00220BBA"/>
    <w:rsid w:val="00221024"/>
    <w:rsid w:val="002219ED"/>
    <w:rsid w:val="00227B89"/>
    <w:rsid w:val="00230641"/>
    <w:rsid w:val="00240863"/>
    <w:rsid w:val="00240B8F"/>
    <w:rsid w:val="002459AB"/>
    <w:rsid w:val="002463DB"/>
    <w:rsid w:val="0025327E"/>
    <w:rsid w:val="002535A2"/>
    <w:rsid w:val="00256E6A"/>
    <w:rsid w:val="00261F1B"/>
    <w:rsid w:val="00267D0F"/>
    <w:rsid w:val="00277CB3"/>
    <w:rsid w:val="0028098A"/>
    <w:rsid w:val="00281087"/>
    <w:rsid w:val="00283584"/>
    <w:rsid w:val="002A1B7B"/>
    <w:rsid w:val="002B5BFA"/>
    <w:rsid w:val="002C2140"/>
    <w:rsid w:val="002D0F4E"/>
    <w:rsid w:val="002D20A0"/>
    <w:rsid w:val="002D4F31"/>
    <w:rsid w:val="002E2C7F"/>
    <w:rsid w:val="002E4B6C"/>
    <w:rsid w:val="002E5BC3"/>
    <w:rsid w:val="002F62BC"/>
    <w:rsid w:val="002F7B64"/>
    <w:rsid w:val="0030042E"/>
    <w:rsid w:val="0031174B"/>
    <w:rsid w:val="0031572D"/>
    <w:rsid w:val="0032242F"/>
    <w:rsid w:val="00322B56"/>
    <w:rsid w:val="00323959"/>
    <w:rsid w:val="00327911"/>
    <w:rsid w:val="003379C1"/>
    <w:rsid w:val="003433B2"/>
    <w:rsid w:val="00352AD5"/>
    <w:rsid w:val="00352B6B"/>
    <w:rsid w:val="003530D1"/>
    <w:rsid w:val="0035431C"/>
    <w:rsid w:val="00360113"/>
    <w:rsid w:val="00367F9A"/>
    <w:rsid w:val="0037484F"/>
    <w:rsid w:val="00376922"/>
    <w:rsid w:val="00381439"/>
    <w:rsid w:val="00386433"/>
    <w:rsid w:val="003917E0"/>
    <w:rsid w:val="00393177"/>
    <w:rsid w:val="003958A3"/>
    <w:rsid w:val="003979B2"/>
    <w:rsid w:val="003B1C55"/>
    <w:rsid w:val="003C7691"/>
    <w:rsid w:val="003D0275"/>
    <w:rsid w:val="003D6E2A"/>
    <w:rsid w:val="003F10BD"/>
    <w:rsid w:val="003F7AFD"/>
    <w:rsid w:val="00413492"/>
    <w:rsid w:val="004151B5"/>
    <w:rsid w:val="00417DD4"/>
    <w:rsid w:val="00443FC4"/>
    <w:rsid w:val="004457F2"/>
    <w:rsid w:val="00454439"/>
    <w:rsid w:val="00454640"/>
    <w:rsid w:val="00464A02"/>
    <w:rsid w:val="004721D7"/>
    <w:rsid w:val="00472729"/>
    <w:rsid w:val="004727B4"/>
    <w:rsid w:val="00481112"/>
    <w:rsid w:val="00482409"/>
    <w:rsid w:val="004836FE"/>
    <w:rsid w:val="00484981"/>
    <w:rsid w:val="00486391"/>
    <w:rsid w:val="004869EF"/>
    <w:rsid w:val="00493FF6"/>
    <w:rsid w:val="004A0314"/>
    <w:rsid w:val="004B2655"/>
    <w:rsid w:val="004D13E2"/>
    <w:rsid w:val="004D37AE"/>
    <w:rsid w:val="004D777C"/>
    <w:rsid w:val="004D7BCC"/>
    <w:rsid w:val="004E55E4"/>
    <w:rsid w:val="004E611F"/>
    <w:rsid w:val="004F35DC"/>
    <w:rsid w:val="004F4D3C"/>
    <w:rsid w:val="0050065A"/>
    <w:rsid w:val="00522958"/>
    <w:rsid w:val="00523F86"/>
    <w:rsid w:val="00531860"/>
    <w:rsid w:val="0054057C"/>
    <w:rsid w:val="0055362E"/>
    <w:rsid w:val="00554AA0"/>
    <w:rsid w:val="0055737E"/>
    <w:rsid w:val="005573DD"/>
    <w:rsid w:val="00572FD3"/>
    <w:rsid w:val="00573EAC"/>
    <w:rsid w:val="00590D97"/>
    <w:rsid w:val="00595F98"/>
    <w:rsid w:val="005A3184"/>
    <w:rsid w:val="005A3F95"/>
    <w:rsid w:val="005A4ED1"/>
    <w:rsid w:val="005A571A"/>
    <w:rsid w:val="005A6C8D"/>
    <w:rsid w:val="005B3017"/>
    <w:rsid w:val="005B3924"/>
    <w:rsid w:val="005B5742"/>
    <w:rsid w:val="005C1804"/>
    <w:rsid w:val="005D03A0"/>
    <w:rsid w:val="005D10B2"/>
    <w:rsid w:val="005D151C"/>
    <w:rsid w:val="005D1E94"/>
    <w:rsid w:val="005D6C3F"/>
    <w:rsid w:val="005E402A"/>
    <w:rsid w:val="005E6377"/>
    <w:rsid w:val="005E7C01"/>
    <w:rsid w:val="005F0605"/>
    <w:rsid w:val="005F7F71"/>
    <w:rsid w:val="00602B38"/>
    <w:rsid w:val="00602FF4"/>
    <w:rsid w:val="006033DB"/>
    <w:rsid w:val="00603C12"/>
    <w:rsid w:val="00610DF8"/>
    <w:rsid w:val="00614662"/>
    <w:rsid w:val="00620D74"/>
    <w:rsid w:val="006329CE"/>
    <w:rsid w:val="00634C2F"/>
    <w:rsid w:val="00640E15"/>
    <w:rsid w:val="0065156C"/>
    <w:rsid w:val="006528D4"/>
    <w:rsid w:val="00656697"/>
    <w:rsid w:val="006627BE"/>
    <w:rsid w:val="0067037C"/>
    <w:rsid w:val="006714D7"/>
    <w:rsid w:val="00690513"/>
    <w:rsid w:val="00691C03"/>
    <w:rsid w:val="006A34A5"/>
    <w:rsid w:val="006A4A38"/>
    <w:rsid w:val="006B0443"/>
    <w:rsid w:val="006B22BF"/>
    <w:rsid w:val="006B23AA"/>
    <w:rsid w:val="006B38B8"/>
    <w:rsid w:val="006B3A7A"/>
    <w:rsid w:val="006B3C06"/>
    <w:rsid w:val="006B404A"/>
    <w:rsid w:val="006B4BA7"/>
    <w:rsid w:val="006C274A"/>
    <w:rsid w:val="006C58DC"/>
    <w:rsid w:val="006C7028"/>
    <w:rsid w:val="006D3E16"/>
    <w:rsid w:val="006D5300"/>
    <w:rsid w:val="006D7816"/>
    <w:rsid w:val="006E2077"/>
    <w:rsid w:val="006E24BD"/>
    <w:rsid w:val="006E3D43"/>
    <w:rsid w:val="006F2110"/>
    <w:rsid w:val="006F330B"/>
    <w:rsid w:val="006F36E6"/>
    <w:rsid w:val="00721874"/>
    <w:rsid w:val="007245D4"/>
    <w:rsid w:val="00730569"/>
    <w:rsid w:val="00730BF6"/>
    <w:rsid w:val="0073728F"/>
    <w:rsid w:val="00746660"/>
    <w:rsid w:val="0075044E"/>
    <w:rsid w:val="00754547"/>
    <w:rsid w:val="00764122"/>
    <w:rsid w:val="007724D0"/>
    <w:rsid w:val="007737A7"/>
    <w:rsid w:val="00780A6D"/>
    <w:rsid w:val="007845D9"/>
    <w:rsid w:val="00786DBE"/>
    <w:rsid w:val="007A2125"/>
    <w:rsid w:val="007A7556"/>
    <w:rsid w:val="007B070B"/>
    <w:rsid w:val="007B1F4B"/>
    <w:rsid w:val="007B3001"/>
    <w:rsid w:val="007B3553"/>
    <w:rsid w:val="007C4D3D"/>
    <w:rsid w:val="007F01E3"/>
    <w:rsid w:val="007F07E0"/>
    <w:rsid w:val="007F6BAE"/>
    <w:rsid w:val="007F7273"/>
    <w:rsid w:val="0080138D"/>
    <w:rsid w:val="00804245"/>
    <w:rsid w:val="00805118"/>
    <w:rsid w:val="00805BE5"/>
    <w:rsid w:val="00814E7C"/>
    <w:rsid w:val="008238B7"/>
    <w:rsid w:val="00824303"/>
    <w:rsid w:val="008259FD"/>
    <w:rsid w:val="0083183A"/>
    <w:rsid w:val="008353F2"/>
    <w:rsid w:val="00835AE3"/>
    <w:rsid w:val="0083605B"/>
    <w:rsid w:val="00836483"/>
    <w:rsid w:val="00842470"/>
    <w:rsid w:val="00844A29"/>
    <w:rsid w:val="00857FCA"/>
    <w:rsid w:val="008605AB"/>
    <w:rsid w:val="008625CC"/>
    <w:rsid w:val="008708E8"/>
    <w:rsid w:val="00880692"/>
    <w:rsid w:val="00882E28"/>
    <w:rsid w:val="008835F3"/>
    <w:rsid w:val="008844A8"/>
    <w:rsid w:val="0088641F"/>
    <w:rsid w:val="00891AD7"/>
    <w:rsid w:val="00897261"/>
    <w:rsid w:val="00897E98"/>
    <w:rsid w:val="008B0E80"/>
    <w:rsid w:val="008B6ACC"/>
    <w:rsid w:val="008C65F9"/>
    <w:rsid w:val="008D0A00"/>
    <w:rsid w:val="008D21CF"/>
    <w:rsid w:val="008D46C1"/>
    <w:rsid w:val="008E5148"/>
    <w:rsid w:val="008F3DF3"/>
    <w:rsid w:val="009049FD"/>
    <w:rsid w:val="00904CA5"/>
    <w:rsid w:val="009128D6"/>
    <w:rsid w:val="009201A0"/>
    <w:rsid w:val="009270D9"/>
    <w:rsid w:val="009348C9"/>
    <w:rsid w:val="00940300"/>
    <w:rsid w:val="00946D05"/>
    <w:rsid w:val="009558E6"/>
    <w:rsid w:val="00956062"/>
    <w:rsid w:val="00956F4C"/>
    <w:rsid w:val="00961ABA"/>
    <w:rsid w:val="00963560"/>
    <w:rsid w:val="00970628"/>
    <w:rsid w:val="009722EE"/>
    <w:rsid w:val="00972C79"/>
    <w:rsid w:val="00980513"/>
    <w:rsid w:val="00982C54"/>
    <w:rsid w:val="009948AC"/>
    <w:rsid w:val="0099697B"/>
    <w:rsid w:val="00996DA5"/>
    <w:rsid w:val="00996FE2"/>
    <w:rsid w:val="009B103D"/>
    <w:rsid w:val="009B40C7"/>
    <w:rsid w:val="009B4BA5"/>
    <w:rsid w:val="009B70E3"/>
    <w:rsid w:val="009B73DF"/>
    <w:rsid w:val="009C1FF2"/>
    <w:rsid w:val="009C4F7F"/>
    <w:rsid w:val="009D467A"/>
    <w:rsid w:val="009D7659"/>
    <w:rsid w:val="009E2FCC"/>
    <w:rsid w:val="009E7CF9"/>
    <w:rsid w:val="009F235E"/>
    <w:rsid w:val="009F38EF"/>
    <w:rsid w:val="00A00CB0"/>
    <w:rsid w:val="00A026C1"/>
    <w:rsid w:val="00A02816"/>
    <w:rsid w:val="00A03168"/>
    <w:rsid w:val="00A06D70"/>
    <w:rsid w:val="00A13E77"/>
    <w:rsid w:val="00A14A04"/>
    <w:rsid w:val="00A30A5F"/>
    <w:rsid w:val="00A330F5"/>
    <w:rsid w:val="00A34D58"/>
    <w:rsid w:val="00A35C04"/>
    <w:rsid w:val="00A36E16"/>
    <w:rsid w:val="00A442C5"/>
    <w:rsid w:val="00A458E5"/>
    <w:rsid w:val="00A52EDB"/>
    <w:rsid w:val="00A5323E"/>
    <w:rsid w:val="00A548BE"/>
    <w:rsid w:val="00A561B5"/>
    <w:rsid w:val="00A64FAC"/>
    <w:rsid w:val="00A656E1"/>
    <w:rsid w:val="00A70B4C"/>
    <w:rsid w:val="00A76B45"/>
    <w:rsid w:val="00A8049C"/>
    <w:rsid w:val="00A82C49"/>
    <w:rsid w:val="00A848A8"/>
    <w:rsid w:val="00A85F6E"/>
    <w:rsid w:val="00A860D4"/>
    <w:rsid w:val="00A95462"/>
    <w:rsid w:val="00A9644C"/>
    <w:rsid w:val="00A97859"/>
    <w:rsid w:val="00AA3548"/>
    <w:rsid w:val="00AB54BC"/>
    <w:rsid w:val="00AB7E7A"/>
    <w:rsid w:val="00AC7E44"/>
    <w:rsid w:val="00AD0460"/>
    <w:rsid w:val="00AD144B"/>
    <w:rsid w:val="00AD5D90"/>
    <w:rsid w:val="00AD631C"/>
    <w:rsid w:val="00AE247E"/>
    <w:rsid w:val="00AE2B98"/>
    <w:rsid w:val="00AE4C82"/>
    <w:rsid w:val="00AE4E16"/>
    <w:rsid w:val="00AF3D7B"/>
    <w:rsid w:val="00AF60AF"/>
    <w:rsid w:val="00AF73AB"/>
    <w:rsid w:val="00B004B6"/>
    <w:rsid w:val="00B046A3"/>
    <w:rsid w:val="00B07572"/>
    <w:rsid w:val="00B15147"/>
    <w:rsid w:val="00B22CAC"/>
    <w:rsid w:val="00B30816"/>
    <w:rsid w:val="00B414B3"/>
    <w:rsid w:val="00B42769"/>
    <w:rsid w:val="00B43266"/>
    <w:rsid w:val="00B44D55"/>
    <w:rsid w:val="00B57041"/>
    <w:rsid w:val="00B575DD"/>
    <w:rsid w:val="00B622B8"/>
    <w:rsid w:val="00B62F58"/>
    <w:rsid w:val="00B651A1"/>
    <w:rsid w:val="00B65B45"/>
    <w:rsid w:val="00B67F56"/>
    <w:rsid w:val="00B70F96"/>
    <w:rsid w:val="00B77A52"/>
    <w:rsid w:val="00B926EF"/>
    <w:rsid w:val="00B940AA"/>
    <w:rsid w:val="00BA01C9"/>
    <w:rsid w:val="00BA02E2"/>
    <w:rsid w:val="00BA0515"/>
    <w:rsid w:val="00BA3E58"/>
    <w:rsid w:val="00BA5EB3"/>
    <w:rsid w:val="00BB0628"/>
    <w:rsid w:val="00BB129D"/>
    <w:rsid w:val="00BB4250"/>
    <w:rsid w:val="00BC0C10"/>
    <w:rsid w:val="00BC1232"/>
    <w:rsid w:val="00BC1EDE"/>
    <w:rsid w:val="00BC3E14"/>
    <w:rsid w:val="00BC7219"/>
    <w:rsid w:val="00BD04A7"/>
    <w:rsid w:val="00BD4533"/>
    <w:rsid w:val="00BD5668"/>
    <w:rsid w:val="00BD7C86"/>
    <w:rsid w:val="00BE3DA2"/>
    <w:rsid w:val="00BE607E"/>
    <w:rsid w:val="00BF0738"/>
    <w:rsid w:val="00BF459A"/>
    <w:rsid w:val="00C11FB1"/>
    <w:rsid w:val="00C146BD"/>
    <w:rsid w:val="00C24FE8"/>
    <w:rsid w:val="00C27041"/>
    <w:rsid w:val="00C36F01"/>
    <w:rsid w:val="00C427FB"/>
    <w:rsid w:val="00C46BBE"/>
    <w:rsid w:val="00C55587"/>
    <w:rsid w:val="00C573E5"/>
    <w:rsid w:val="00C577E3"/>
    <w:rsid w:val="00C6044C"/>
    <w:rsid w:val="00C645BA"/>
    <w:rsid w:val="00C645F7"/>
    <w:rsid w:val="00C7359D"/>
    <w:rsid w:val="00C754B9"/>
    <w:rsid w:val="00C75D58"/>
    <w:rsid w:val="00C91443"/>
    <w:rsid w:val="00C928DB"/>
    <w:rsid w:val="00C972B1"/>
    <w:rsid w:val="00CB2CA2"/>
    <w:rsid w:val="00CB5D5E"/>
    <w:rsid w:val="00CC42CE"/>
    <w:rsid w:val="00CC49E4"/>
    <w:rsid w:val="00CC7944"/>
    <w:rsid w:val="00CD3624"/>
    <w:rsid w:val="00CD3E2D"/>
    <w:rsid w:val="00CD7E50"/>
    <w:rsid w:val="00CE5C40"/>
    <w:rsid w:val="00CE6736"/>
    <w:rsid w:val="00CE6E66"/>
    <w:rsid w:val="00CE75A6"/>
    <w:rsid w:val="00CE7D5C"/>
    <w:rsid w:val="00CF2E40"/>
    <w:rsid w:val="00CF67D7"/>
    <w:rsid w:val="00CF7709"/>
    <w:rsid w:val="00D00965"/>
    <w:rsid w:val="00D0231B"/>
    <w:rsid w:val="00D02869"/>
    <w:rsid w:val="00D05C5A"/>
    <w:rsid w:val="00D1030D"/>
    <w:rsid w:val="00D17FE1"/>
    <w:rsid w:val="00D22602"/>
    <w:rsid w:val="00D237CC"/>
    <w:rsid w:val="00D26E3B"/>
    <w:rsid w:val="00D2704B"/>
    <w:rsid w:val="00D411E2"/>
    <w:rsid w:val="00D46410"/>
    <w:rsid w:val="00D466ED"/>
    <w:rsid w:val="00D604EB"/>
    <w:rsid w:val="00D65269"/>
    <w:rsid w:val="00D67C1F"/>
    <w:rsid w:val="00D75E51"/>
    <w:rsid w:val="00D821EA"/>
    <w:rsid w:val="00D838DA"/>
    <w:rsid w:val="00D841F9"/>
    <w:rsid w:val="00D8447A"/>
    <w:rsid w:val="00D90A7D"/>
    <w:rsid w:val="00D97F58"/>
    <w:rsid w:val="00DA2EB6"/>
    <w:rsid w:val="00DA7810"/>
    <w:rsid w:val="00DB2565"/>
    <w:rsid w:val="00DB3D01"/>
    <w:rsid w:val="00DB3EBE"/>
    <w:rsid w:val="00DB5446"/>
    <w:rsid w:val="00DC2A8D"/>
    <w:rsid w:val="00DD0346"/>
    <w:rsid w:val="00DD0652"/>
    <w:rsid w:val="00DE0856"/>
    <w:rsid w:val="00DE41D1"/>
    <w:rsid w:val="00DE6C3E"/>
    <w:rsid w:val="00DF1160"/>
    <w:rsid w:val="00DF6354"/>
    <w:rsid w:val="00E027CC"/>
    <w:rsid w:val="00E06E1E"/>
    <w:rsid w:val="00E114D4"/>
    <w:rsid w:val="00E11A95"/>
    <w:rsid w:val="00E246B5"/>
    <w:rsid w:val="00E247D5"/>
    <w:rsid w:val="00E3169A"/>
    <w:rsid w:val="00E3236D"/>
    <w:rsid w:val="00E360C4"/>
    <w:rsid w:val="00E36BA6"/>
    <w:rsid w:val="00E40165"/>
    <w:rsid w:val="00E41166"/>
    <w:rsid w:val="00E514EF"/>
    <w:rsid w:val="00E555A1"/>
    <w:rsid w:val="00E62A97"/>
    <w:rsid w:val="00E638EE"/>
    <w:rsid w:val="00E7295C"/>
    <w:rsid w:val="00E867E9"/>
    <w:rsid w:val="00E87179"/>
    <w:rsid w:val="00E90236"/>
    <w:rsid w:val="00E95328"/>
    <w:rsid w:val="00E96A63"/>
    <w:rsid w:val="00E974CD"/>
    <w:rsid w:val="00EA4138"/>
    <w:rsid w:val="00EB49E5"/>
    <w:rsid w:val="00EB6CD6"/>
    <w:rsid w:val="00EB79A9"/>
    <w:rsid w:val="00EC5D5D"/>
    <w:rsid w:val="00ED2E59"/>
    <w:rsid w:val="00ED5AB4"/>
    <w:rsid w:val="00F003EE"/>
    <w:rsid w:val="00F03242"/>
    <w:rsid w:val="00F10DA9"/>
    <w:rsid w:val="00F1464F"/>
    <w:rsid w:val="00F15765"/>
    <w:rsid w:val="00F20E63"/>
    <w:rsid w:val="00F31AB0"/>
    <w:rsid w:val="00F32586"/>
    <w:rsid w:val="00F3326E"/>
    <w:rsid w:val="00F36323"/>
    <w:rsid w:val="00F3787A"/>
    <w:rsid w:val="00F61935"/>
    <w:rsid w:val="00F63744"/>
    <w:rsid w:val="00F64802"/>
    <w:rsid w:val="00F7343E"/>
    <w:rsid w:val="00F7392D"/>
    <w:rsid w:val="00F77329"/>
    <w:rsid w:val="00F80B4C"/>
    <w:rsid w:val="00F82571"/>
    <w:rsid w:val="00F8295B"/>
    <w:rsid w:val="00F85586"/>
    <w:rsid w:val="00F85BC3"/>
    <w:rsid w:val="00F866B8"/>
    <w:rsid w:val="00F91367"/>
    <w:rsid w:val="00F94058"/>
    <w:rsid w:val="00F96D17"/>
    <w:rsid w:val="00F96D57"/>
    <w:rsid w:val="00FA5B93"/>
    <w:rsid w:val="00FA5F56"/>
    <w:rsid w:val="00FA6971"/>
    <w:rsid w:val="00FB2DEE"/>
    <w:rsid w:val="00FC6216"/>
    <w:rsid w:val="00FD0C04"/>
    <w:rsid w:val="00FD1975"/>
    <w:rsid w:val="00FD1C3B"/>
    <w:rsid w:val="00FD3F5E"/>
    <w:rsid w:val="00FD549F"/>
    <w:rsid w:val="00FE3099"/>
    <w:rsid w:val="00FF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A6103"/>
  <w15:chartTrackingRefBased/>
  <w15:docId w15:val="{8E88525F-EED2-4417-8A22-2E8ADE6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587"/>
    <w:rPr>
      <w:rFonts w:ascii="Segoe UI" w:hAnsi="Segoe UI" w:cs="Segoe UI"/>
      <w:sz w:val="18"/>
      <w:szCs w:val="18"/>
    </w:rPr>
  </w:style>
  <w:style w:type="paragraph" w:customStyle="1" w:styleId="Default">
    <w:name w:val="Default"/>
    <w:rsid w:val="00C55587"/>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7245D4"/>
    <w:pPr>
      <w:ind w:left="720"/>
      <w:contextualSpacing/>
    </w:pPr>
  </w:style>
  <w:style w:type="character" w:styleId="PlaceholderText">
    <w:name w:val="Placeholder Text"/>
    <w:basedOn w:val="DefaultParagraphFont"/>
    <w:uiPriority w:val="99"/>
    <w:semiHidden/>
    <w:rsid w:val="00386433"/>
    <w:rPr>
      <w:color w:val="808080"/>
    </w:rPr>
  </w:style>
  <w:style w:type="table" w:styleId="TableGrid">
    <w:name w:val="Table Grid"/>
    <w:basedOn w:val="TableNormal"/>
    <w:uiPriority w:val="39"/>
    <w:rsid w:val="00A85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0ABE"/>
    <w:rPr>
      <w:sz w:val="16"/>
      <w:szCs w:val="16"/>
    </w:rPr>
  </w:style>
  <w:style w:type="paragraph" w:styleId="CommentText">
    <w:name w:val="annotation text"/>
    <w:basedOn w:val="Normal"/>
    <w:link w:val="CommentTextChar"/>
    <w:uiPriority w:val="99"/>
    <w:unhideWhenUsed/>
    <w:rsid w:val="00190ABE"/>
    <w:pPr>
      <w:spacing w:line="240" w:lineRule="auto"/>
    </w:pPr>
    <w:rPr>
      <w:sz w:val="20"/>
      <w:szCs w:val="20"/>
    </w:rPr>
  </w:style>
  <w:style w:type="character" w:customStyle="1" w:styleId="CommentTextChar">
    <w:name w:val="Comment Text Char"/>
    <w:basedOn w:val="DefaultParagraphFont"/>
    <w:link w:val="CommentText"/>
    <w:uiPriority w:val="99"/>
    <w:rsid w:val="00190ABE"/>
    <w:rPr>
      <w:sz w:val="20"/>
      <w:szCs w:val="20"/>
    </w:rPr>
  </w:style>
  <w:style w:type="paragraph" w:styleId="CommentSubject">
    <w:name w:val="annotation subject"/>
    <w:basedOn w:val="CommentText"/>
    <w:next w:val="CommentText"/>
    <w:link w:val="CommentSubjectChar"/>
    <w:uiPriority w:val="99"/>
    <w:semiHidden/>
    <w:unhideWhenUsed/>
    <w:rsid w:val="00190ABE"/>
    <w:rPr>
      <w:b/>
      <w:bCs/>
    </w:rPr>
  </w:style>
  <w:style w:type="character" w:customStyle="1" w:styleId="CommentSubjectChar">
    <w:name w:val="Comment Subject Char"/>
    <w:basedOn w:val="CommentTextChar"/>
    <w:link w:val="CommentSubject"/>
    <w:uiPriority w:val="99"/>
    <w:semiHidden/>
    <w:rsid w:val="00190ABE"/>
    <w:rPr>
      <w:b/>
      <w:bCs/>
      <w:sz w:val="20"/>
      <w:szCs w:val="20"/>
    </w:rPr>
  </w:style>
  <w:style w:type="character" w:styleId="Hyperlink">
    <w:name w:val="Hyperlink"/>
    <w:basedOn w:val="DefaultParagraphFont"/>
    <w:uiPriority w:val="99"/>
    <w:unhideWhenUsed/>
    <w:rsid w:val="00A656E1"/>
    <w:rPr>
      <w:color w:val="0000FF" w:themeColor="hyperlink"/>
      <w:u w:val="single"/>
    </w:rPr>
  </w:style>
  <w:style w:type="character" w:customStyle="1" w:styleId="UnresolvedMention1">
    <w:name w:val="Unresolved Mention1"/>
    <w:basedOn w:val="DefaultParagraphFont"/>
    <w:uiPriority w:val="99"/>
    <w:semiHidden/>
    <w:unhideWhenUsed/>
    <w:rsid w:val="00A656E1"/>
    <w:rPr>
      <w:color w:val="605E5C"/>
      <w:shd w:val="clear" w:color="auto" w:fill="E1DFDD"/>
    </w:rPr>
  </w:style>
  <w:style w:type="paragraph" w:styleId="Revision">
    <w:name w:val="Revision"/>
    <w:hidden/>
    <w:uiPriority w:val="99"/>
    <w:semiHidden/>
    <w:rsid w:val="001C6653"/>
    <w:pPr>
      <w:spacing w:after="0" w:line="240" w:lineRule="auto"/>
    </w:pPr>
  </w:style>
  <w:style w:type="paragraph" w:styleId="NormalWeb">
    <w:name w:val="Normal (Web)"/>
    <w:basedOn w:val="Normal"/>
    <w:uiPriority w:val="99"/>
    <w:semiHidden/>
    <w:unhideWhenUsed/>
    <w:rsid w:val="005A318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1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24"/>
  </w:style>
  <w:style w:type="paragraph" w:styleId="Footer">
    <w:name w:val="footer"/>
    <w:basedOn w:val="Normal"/>
    <w:link w:val="FooterChar"/>
    <w:uiPriority w:val="99"/>
    <w:unhideWhenUsed/>
    <w:rsid w:val="00221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24"/>
  </w:style>
  <w:style w:type="paragraph" w:styleId="FootnoteText">
    <w:name w:val="footnote text"/>
    <w:aliases w:val="ft"/>
    <w:basedOn w:val="Normal"/>
    <w:link w:val="FootnoteTextChar"/>
    <w:uiPriority w:val="99"/>
    <w:unhideWhenUsed/>
    <w:rsid w:val="002459AB"/>
    <w:pPr>
      <w:snapToGrid w:val="0"/>
      <w:spacing w:after="0" w:line="240" w:lineRule="auto"/>
    </w:pPr>
    <w:rPr>
      <w:rFonts w:ascii="Calibri" w:eastAsia="SimSun" w:hAnsi="Calibri" w:cs="Calibri"/>
      <w:lang w:eastAsia="zh-CN"/>
    </w:rPr>
  </w:style>
  <w:style w:type="character" w:customStyle="1" w:styleId="FootnoteTextChar">
    <w:name w:val="Footnote Text Char"/>
    <w:aliases w:val="ft Char"/>
    <w:basedOn w:val="DefaultParagraphFont"/>
    <w:link w:val="FootnoteText"/>
    <w:uiPriority w:val="99"/>
    <w:rsid w:val="002459AB"/>
    <w:rPr>
      <w:rFonts w:ascii="Calibri" w:eastAsia="SimSun" w:hAnsi="Calibri" w:cs="Calibri"/>
      <w:lang w:eastAsia="zh-CN"/>
    </w:rPr>
  </w:style>
  <w:style w:type="character" w:styleId="FootnoteReference">
    <w:name w:val="footnote reference"/>
    <w:aliases w:val="fr"/>
    <w:basedOn w:val="DefaultParagraphFont"/>
    <w:uiPriority w:val="99"/>
    <w:unhideWhenUsed/>
    <w:rsid w:val="002459AB"/>
    <w:rPr>
      <w:vertAlign w:val="superscript"/>
    </w:rPr>
  </w:style>
  <w:style w:type="character" w:customStyle="1" w:styleId="fontstyle11">
    <w:name w:val="fontstyle11"/>
    <w:basedOn w:val="DefaultParagraphFont"/>
    <w:rsid w:val="001209D9"/>
    <w:rPr>
      <w:rFonts w:ascii="Cambria" w:hAnsi="Cambria" w:hint="default"/>
      <w:b w:val="0"/>
      <w:bCs w:val="0"/>
      <w:i w:val="0"/>
      <w:iCs w:val="0"/>
      <w:color w:val="000000"/>
      <w:sz w:val="20"/>
      <w:szCs w:val="20"/>
    </w:rPr>
  </w:style>
  <w:style w:type="paragraph" w:styleId="Title">
    <w:name w:val="Title"/>
    <w:basedOn w:val="Normal"/>
    <w:next w:val="Normal"/>
    <w:link w:val="TitleChar"/>
    <w:qFormat/>
    <w:rsid w:val="007B30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B3001"/>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7B3001"/>
    <w:rPr>
      <w:b/>
      <w:bCs/>
      <w:smallCaps/>
      <w:spacing w:val="5"/>
    </w:rPr>
  </w:style>
  <w:style w:type="table" w:customStyle="1" w:styleId="TableGrid1">
    <w:name w:val="Table Grid1"/>
    <w:basedOn w:val="TableNormal"/>
    <w:next w:val="TableGrid"/>
    <w:uiPriority w:val="39"/>
    <w:rsid w:val="00814E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82571"/>
    <w:rPr>
      <w:color w:val="800080" w:themeColor="followedHyperlink"/>
      <w:u w:val="single"/>
    </w:rPr>
  </w:style>
  <w:style w:type="table" w:customStyle="1" w:styleId="TableGrid2">
    <w:name w:val="Table Grid2"/>
    <w:basedOn w:val="TableNormal"/>
    <w:next w:val="TableGrid"/>
    <w:uiPriority w:val="39"/>
    <w:rsid w:val="0037484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59555">
      <w:bodyDiv w:val="1"/>
      <w:marLeft w:val="0"/>
      <w:marRight w:val="0"/>
      <w:marTop w:val="0"/>
      <w:marBottom w:val="0"/>
      <w:divBdr>
        <w:top w:val="none" w:sz="0" w:space="0" w:color="auto"/>
        <w:left w:val="none" w:sz="0" w:space="0" w:color="auto"/>
        <w:bottom w:val="none" w:sz="0" w:space="0" w:color="auto"/>
        <w:right w:val="none" w:sz="0" w:space="0" w:color="auto"/>
      </w:divBdr>
    </w:div>
    <w:div w:id="305398667">
      <w:bodyDiv w:val="1"/>
      <w:marLeft w:val="0"/>
      <w:marRight w:val="0"/>
      <w:marTop w:val="0"/>
      <w:marBottom w:val="0"/>
      <w:divBdr>
        <w:top w:val="none" w:sz="0" w:space="0" w:color="auto"/>
        <w:left w:val="none" w:sz="0" w:space="0" w:color="auto"/>
        <w:bottom w:val="none" w:sz="0" w:space="0" w:color="auto"/>
        <w:right w:val="none" w:sz="0" w:space="0" w:color="auto"/>
      </w:divBdr>
    </w:div>
    <w:div w:id="545988013">
      <w:bodyDiv w:val="1"/>
      <w:marLeft w:val="0"/>
      <w:marRight w:val="0"/>
      <w:marTop w:val="0"/>
      <w:marBottom w:val="0"/>
      <w:divBdr>
        <w:top w:val="none" w:sz="0" w:space="0" w:color="auto"/>
        <w:left w:val="none" w:sz="0" w:space="0" w:color="auto"/>
        <w:bottom w:val="none" w:sz="0" w:space="0" w:color="auto"/>
        <w:right w:val="none" w:sz="0" w:space="0" w:color="auto"/>
      </w:divBdr>
      <w:divsChild>
        <w:div w:id="613482874">
          <w:marLeft w:val="0"/>
          <w:marRight w:val="0"/>
          <w:marTop w:val="0"/>
          <w:marBottom w:val="0"/>
          <w:divBdr>
            <w:top w:val="none" w:sz="0" w:space="0" w:color="auto"/>
            <w:left w:val="none" w:sz="0" w:space="0" w:color="auto"/>
            <w:bottom w:val="none" w:sz="0" w:space="0" w:color="auto"/>
            <w:right w:val="none" w:sz="0" w:space="0" w:color="auto"/>
          </w:divBdr>
          <w:divsChild>
            <w:div w:id="524172186">
              <w:marLeft w:val="0"/>
              <w:marRight w:val="0"/>
              <w:marTop w:val="0"/>
              <w:marBottom w:val="0"/>
              <w:divBdr>
                <w:top w:val="none" w:sz="0" w:space="0" w:color="auto"/>
                <w:left w:val="none" w:sz="0" w:space="0" w:color="auto"/>
                <w:bottom w:val="none" w:sz="0" w:space="0" w:color="auto"/>
                <w:right w:val="none" w:sz="0" w:space="0" w:color="auto"/>
              </w:divBdr>
              <w:divsChild>
                <w:div w:id="16983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67798">
      <w:bodyDiv w:val="1"/>
      <w:marLeft w:val="0"/>
      <w:marRight w:val="0"/>
      <w:marTop w:val="0"/>
      <w:marBottom w:val="0"/>
      <w:divBdr>
        <w:top w:val="none" w:sz="0" w:space="0" w:color="auto"/>
        <w:left w:val="none" w:sz="0" w:space="0" w:color="auto"/>
        <w:bottom w:val="none" w:sz="0" w:space="0" w:color="auto"/>
        <w:right w:val="none" w:sz="0" w:space="0" w:color="auto"/>
      </w:divBdr>
      <w:divsChild>
        <w:div w:id="1615595589">
          <w:marLeft w:val="0"/>
          <w:marRight w:val="0"/>
          <w:marTop w:val="0"/>
          <w:marBottom w:val="0"/>
          <w:divBdr>
            <w:top w:val="none" w:sz="0" w:space="0" w:color="auto"/>
            <w:left w:val="none" w:sz="0" w:space="0" w:color="auto"/>
            <w:bottom w:val="none" w:sz="0" w:space="0" w:color="auto"/>
            <w:right w:val="none" w:sz="0" w:space="0" w:color="auto"/>
          </w:divBdr>
        </w:div>
        <w:div w:id="1248492797">
          <w:marLeft w:val="0"/>
          <w:marRight w:val="0"/>
          <w:marTop w:val="0"/>
          <w:marBottom w:val="0"/>
          <w:divBdr>
            <w:top w:val="none" w:sz="0" w:space="0" w:color="auto"/>
            <w:left w:val="none" w:sz="0" w:space="0" w:color="auto"/>
            <w:bottom w:val="none" w:sz="0" w:space="0" w:color="auto"/>
            <w:right w:val="none" w:sz="0" w:space="0" w:color="auto"/>
          </w:divBdr>
        </w:div>
        <w:div w:id="390665170">
          <w:marLeft w:val="0"/>
          <w:marRight w:val="0"/>
          <w:marTop w:val="0"/>
          <w:marBottom w:val="0"/>
          <w:divBdr>
            <w:top w:val="none" w:sz="0" w:space="0" w:color="auto"/>
            <w:left w:val="none" w:sz="0" w:space="0" w:color="auto"/>
            <w:bottom w:val="none" w:sz="0" w:space="0" w:color="auto"/>
            <w:right w:val="none" w:sz="0" w:space="0" w:color="auto"/>
          </w:divBdr>
        </w:div>
      </w:divsChild>
    </w:div>
    <w:div w:id="1887598471">
      <w:bodyDiv w:val="1"/>
      <w:marLeft w:val="0"/>
      <w:marRight w:val="0"/>
      <w:marTop w:val="0"/>
      <w:marBottom w:val="0"/>
      <w:divBdr>
        <w:top w:val="none" w:sz="0" w:space="0" w:color="auto"/>
        <w:left w:val="none" w:sz="0" w:space="0" w:color="auto"/>
        <w:bottom w:val="none" w:sz="0" w:space="0" w:color="auto"/>
        <w:right w:val="none" w:sz="0" w:space="0" w:color="auto"/>
      </w:divBdr>
      <w:divsChild>
        <w:div w:id="224729233">
          <w:marLeft w:val="0"/>
          <w:marRight w:val="0"/>
          <w:marTop w:val="0"/>
          <w:marBottom w:val="0"/>
          <w:divBdr>
            <w:top w:val="none" w:sz="0" w:space="0" w:color="auto"/>
            <w:left w:val="none" w:sz="0" w:space="0" w:color="auto"/>
            <w:bottom w:val="none" w:sz="0" w:space="0" w:color="auto"/>
            <w:right w:val="none" w:sz="0" w:space="0" w:color="auto"/>
          </w:divBdr>
          <w:divsChild>
            <w:div w:id="332342418">
              <w:marLeft w:val="0"/>
              <w:marRight w:val="0"/>
              <w:marTop w:val="0"/>
              <w:marBottom w:val="0"/>
              <w:divBdr>
                <w:top w:val="none" w:sz="0" w:space="0" w:color="auto"/>
                <w:left w:val="none" w:sz="0" w:space="0" w:color="auto"/>
                <w:bottom w:val="none" w:sz="0" w:space="0" w:color="auto"/>
                <w:right w:val="none" w:sz="0" w:space="0" w:color="auto"/>
              </w:divBdr>
              <w:divsChild>
                <w:div w:id="1841696573">
                  <w:marLeft w:val="0"/>
                  <w:marRight w:val="0"/>
                  <w:marTop w:val="0"/>
                  <w:marBottom w:val="0"/>
                  <w:divBdr>
                    <w:top w:val="none" w:sz="0" w:space="0" w:color="auto"/>
                    <w:left w:val="none" w:sz="0" w:space="0" w:color="auto"/>
                    <w:bottom w:val="none" w:sz="0" w:space="0" w:color="auto"/>
                    <w:right w:val="none" w:sz="0" w:space="0" w:color="auto"/>
                  </w:divBdr>
                </w:div>
              </w:divsChild>
            </w:div>
            <w:div w:id="738942012">
              <w:marLeft w:val="0"/>
              <w:marRight w:val="0"/>
              <w:marTop w:val="0"/>
              <w:marBottom w:val="0"/>
              <w:divBdr>
                <w:top w:val="none" w:sz="0" w:space="0" w:color="auto"/>
                <w:left w:val="none" w:sz="0" w:space="0" w:color="auto"/>
                <w:bottom w:val="none" w:sz="0" w:space="0" w:color="auto"/>
                <w:right w:val="none" w:sz="0" w:space="0" w:color="auto"/>
              </w:divBdr>
              <w:divsChild>
                <w:div w:id="867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57305">
      <w:bodyDiv w:val="1"/>
      <w:marLeft w:val="0"/>
      <w:marRight w:val="0"/>
      <w:marTop w:val="0"/>
      <w:marBottom w:val="0"/>
      <w:divBdr>
        <w:top w:val="none" w:sz="0" w:space="0" w:color="auto"/>
        <w:left w:val="none" w:sz="0" w:space="0" w:color="auto"/>
        <w:bottom w:val="none" w:sz="0" w:space="0" w:color="auto"/>
        <w:right w:val="none" w:sz="0" w:space="0" w:color="auto"/>
      </w:divBdr>
    </w:div>
    <w:div w:id="2010206281">
      <w:bodyDiv w:val="1"/>
      <w:marLeft w:val="0"/>
      <w:marRight w:val="0"/>
      <w:marTop w:val="0"/>
      <w:marBottom w:val="0"/>
      <w:divBdr>
        <w:top w:val="none" w:sz="0" w:space="0" w:color="auto"/>
        <w:left w:val="none" w:sz="0" w:space="0" w:color="auto"/>
        <w:bottom w:val="none" w:sz="0" w:space="0" w:color="auto"/>
        <w:right w:val="none" w:sz="0" w:space="0" w:color="auto"/>
      </w:divBdr>
    </w:div>
    <w:div w:id="205083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Documents/Meetings/Docs/2021/ADD/2021_ALB_APP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73719-EDFB-4A1D-BE49-14D781E9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15</Pages>
  <Words>4319</Words>
  <Characters>24622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BIAGI Franco (MARE)</dc:creator>
  <cp:keywords/>
  <dc:description/>
  <cp:lastModifiedBy>Dorothee Pinet</cp:lastModifiedBy>
  <cp:revision>85</cp:revision>
  <cp:lastPrinted>2021-11-07T16:06:00Z</cp:lastPrinted>
  <dcterms:created xsi:type="dcterms:W3CDTF">2021-11-22T10:16:00Z</dcterms:created>
  <dcterms:modified xsi:type="dcterms:W3CDTF">2021-12-17T07:41:00Z</dcterms:modified>
</cp:coreProperties>
</file>