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F9A90" w14:textId="5C2B64B5" w:rsidR="00327537" w:rsidRDefault="00327537" w:rsidP="002C36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ind w:left="8222" w:hanging="8222"/>
        <w:jc w:val="both"/>
        <w:rPr>
          <w:rFonts w:ascii="Cambria" w:eastAsia="Times New Roman" w:hAnsi="Cambria" w:cs="Times New Roman"/>
          <w:b/>
          <w:bCs/>
          <w:iCs/>
          <w:sz w:val="20"/>
          <w:szCs w:val="20"/>
          <w:lang w:val="fr-FR" w:eastAsia="fr-FR" w:bidi="fr-FR"/>
        </w:rPr>
      </w:pPr>
      <w:r>
        <w:rPr>
          <w:rFonts w:ascii="Cambria" w:eastAsia="Times New Roman" w:hAnsi="Cambria" w:cs="Times New Roman"/>
          <w:b/>
          <w:bCs/>
          <w:iCs/>
          <w:sz w:val="20"/>
          <w:szCs w:val="20"/>
          <w:lang w:val="fr-FR" w:eastAsia="fr-FR" w:bidi="fr-FR"/>
        </w:rPr>
        <w:t>21-03</w:t>
      </w:r>
      <w:r>
        <w:rPr>
          <w:rFonts w:ascii="Cambria" w:eastAsia="Times New Roman" w:hAnsi="Cambria" w:cs="Times New Roman"/>
          <w:b/>
          <w:bCs/>
          <w:iCs/>
          <w:sz w:val="20"/>
          <w:szCs w:val="20"/>
          <w:lang w:val="fr-FR" w:eastAsia="fr-FR" w:bidi="fr-FR"/>
        </w:rPr>
        <w:tab/>
        <w:t>SWO</w:t>
      </w:r>
    </w:p>
    <w:p w14:paraId="3DDC34F7" w14:textId="77777777" w:rsidR="00327537" w:rsidRDefault="00327537" w:rsidP="0032753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84"/>
          <w:tab w:val="left" w:pos="567"/>
          <w:tab w:val="left" w:pos="99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Cambria" w:eastAsia="Times New Roman" w:hAnsi="Cambria" w:cs="Times New Roman"/>
          <w:b/>
          <w:bCs/>
          <w:iCs/>
          <w:sz w:val="20"/>
          <w:szCs w:val="20"/>
          <w:lang w:val="fr-FR" w:eastAsia="fr-FR" w:bidi="fr-FR"/>
        </w:rPr>
      </w:pPr>
    </w:p>
    <w:p w14:paraId="03762A7E" w14:textId="775B2E2F" w:rsidR="00E054AB" w:rsidRDefault="00500F65" w:rsidP="0032753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84"/>
          <w:tab w:val="left" w:pos="567"/>
          <w:tab w:val="left" w:pos="99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Cambria" w:eastAsia="Times New Roman" w:hAnsi="Cambria" w:cs="Times New Roman"/>
          <w:b/>
          <w:bCs/>
          <w:iCs/>
          <w:sz w:val="20"/>
          <w:szCs w:val="20"/>
          <w:lang w:val="fr-FR" w:eastAsia="fr-FR" w:bidi="fr-FR"/>
        </w:rPr>
      </w:pPr>
      <w:r w:rsidRPr="00E054AB">
        <w:rPr>
          <w:rFonts w:ascii="Cambria" w:eastAsia="Times New Roman" w:hAnsi="Cambria" w:cs="Times New Roman"/>
          <w:b/>
          <w:bCs/>
          <w:iCs/>
          <w:sz w:val="20"/>
          <w:szCs w:val="20"/>
          <w:lang w:val="fr-FR" w:eastAsia="fr-FR" w:bidi="fr-FR"/>
        </w:rPr>
        <w:t xml:space="preserve">RECOMMANDATION SUPPLÉMENTAIRE DE L’ICCAT </w:t>
      </w:r>
      <w:r w:rsidR="00E054AB" w:rsidRPr="00E054AB">
        <w:rPr>
          <w:rFonts w:ascii="Cambria" w:eastAsia="Times New Roman" w:hAnsi="Cambria" w:cs="Times New Roman"/>
          <w:b/>
          <w:bCs/>
          <w:iCs/>
          <w:sz w:val="20"/>
          <w:szCs w:val="20"/>
          <w:lang w:val="fr-FR" w:eastAsia="fr-FR" w:bidi="fr-FR"/>
        </w:rPr>
        <w:t>SUR</w:t>
      </w:r>
      <w:r w:rsidR="006C0744" w:rsidRPr="00E054AB">
        <w:rPr>
          <w:rFonts w:ascii="Cambria" w:eastAsia="Times New Roman" w:hAnsi="Cambria" w:cs="Times New Roman"/>
          <w:b/>
          <w:bCs/>
          <w:iCs/>
          <w:sz w:val="20"/>
          <w:szCs w:val="20"/>
          <w:lang w:val="fr-FR" w:eastAsia="fr-FR" w:bidi="fr-FR"/>
        </w:rPr>
        <w:t xml:space="preserve"> </w:t>
      </w:r>
      <w:r w:rsidR="004E4644" w:rsidRPr="00E054AB">
        <w:rPr>
          <w:rFonts w:ascii="Cambria" w:eastAsia="Times New Roman" w:hAnsi="Cambria" w:cs="Times New Roman"/>
          <w:b/>
          <w:bCs/>
          <w:iCs/>
          <w:sz w:val="20"/>
          <w:szCs w:val="20"/>
          <w:lang w:val="fr-FR" w:eastAsia="fr-FR" w:bidi="fr-FR"/>
        </w:rPr>
        <w:t>LA REC</w:t>
      </w:r>
      <w:r w:rsidR="00E054AB" w:rsidRPr="00E054AB">
        <w:rPr>
          <w:rFonts w:ascii="Cambria" w:eastAsia="Times New Roman" w:hAnsi="Cambria" w:cs="Times New Roman"/>
          <w:b/>
          <w:bCs/>
          <w:iCs/>
          <w:sz w:val="20"/>
          <w:szCs w:val="20"/>
          <w:lang w:val="fr-FR" w:eastAsia="fr-FR" w:bidi="fr-FR"/>
        </w:rPr>
        <w:t>OMMANDATION</w:t>
      </w:r>
      <w:r w:rsidR="004E4644" w:rsidRPr="00E054AB">
        <w:rPr>
          <w:rFonts w:ascii="Cambria" w:eastAsia="Times New Roman" w:hAnsi="Cambria" w:cs="Times New Roman"/>
          <w:b/>
          <w:bCs/>
          <w:iCs/>
          <w:sz w:val="20"/>
          <w:szCs w:val="20"/>
          <w:lang w:val="fr-FR" w:eastAsia="fr-FR" w:bidi="fr-FR"/>
        </w:rPr>
        <w:t xml:space="preserve"> 17-03</w:t>
      </w:r>
      <w:r w:rsidRPr="00E054AB">
        <w:rPr>
          <w:rFonts w:ascii="Cambria" w:eastAsia="Times New Roman" w:hAnsi="Cambria" w:cs="Times New Roman"/>
          <w:b/>
          <w:bCs/>
          <w:iCs/>
          <w:sz w:val="20"/>
          <w:szCs w:val="20"/>
          <w:lang w:val="fr-FR" w:eastAsia="fr-FR" w:bidi="fr-FR"/>
        </w:rPr>
        <w:t xml:space="preserve"> </w:t>
      </w:r>
      <w:r w:rsidR="00E054AB" w:rsidRPr="00E054AB">
        <w:rPr>
          <w:rFonts w:ascii="Cambria" w:eastAsia="Times New Roman" w:hAnsi="Cambria" w:cs="Times New Roman"/>
          <w:b/>
          <w:bCs/>
          <w:iCs/>
          <w:sz w:val="20"/>
          <w:szCs w:val="20"/>
          <w:lang w:val="fr-FR" w:eastAsia="fr-FR" w:bidi="fr-FR"/>
        </w:rPr>
        <w:t xml:space="preserve">AMENDANT LA RECOMMANDATION 16-04 </w:t>
      </w:r>
      <w:r w:rsidRPr="00E054AB">
        <w:rPr>
          <w:rFonts w:ascii="Cambria" w:eastAsia="Times New Roman" w:hAnsi="Cambria" w:cs="Times New Roman"/>
          <w:b/>
          <w:bCs/>
          <w:iCs/>
          <w:sz w:val="20"/>
          <w:szCs w:val="20"/>
          <w:lang w:val="fr-FR" w:eastAsia="fr-FR" w:bidi="fr-FR"/>
        </w:rPr>
        <w:t>SUR LA CONSERVATION DE L'ESPADON DE L’ATLANTIQUE SUD</w:t>
      </w:r>
    </w:p>
    <w:p w14:paraId="0007B418" w14:textId="77777777" w:rsidR="00556F9C" w:rsidRPr="00E054AB" w:rsidRDefault="00556F9C" w:rsidP="0032753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84"/>
          <w:tab w:val="left" w:pos="567"/>
          <w:tab w:val="left" w:pos="99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Cambria" w:eastAsia="Times New Roman" w:hAnsi="Cambria" w:cs="Times New Roman"/>
          <w:b/>
          <w:bCs/>
          <w:iCs/>
          <w:sz w:val="20"/>
          <w:szCs w:val="20"/>
          <w:lang w:val="fr-FR" w:eastAsia="fr-FR" w:bidi="fr-FR"/>
        </w:rPr>
      </w:pPr>
    </w:p>
    <w:p w14:paraId="6E1582A2" w14:textId="3CC97BF0" w:rsidR="00676849" w:rsidRPr="00FC38FE" w:rsidRDefault="00676849" w:rsidP="00676849">
      <w:pPr>
        <w:tabs>
          <w:tab w:val="left" w:pos="284"/>
          <w:tab w:val="left" w:pos="567"/>
          <w:tab w:val="left" w:pos="99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Cambria" w:eastAsia="Times New Roman" w:hAnsi="Cambria" w:cs="Times New Roman"/>
          <w:b/>
          <w:bCs/>
          <w:iCs/>
          <w:sz w:val="20"/>
          <w:szCs w:val="20"/>
          <w:highlight w:val="yellow"/>
          <w:lang w:val="fr-FR" w:eastAsia="fr-FR" w:bidi="fr-FR"/>
        </w:rPr>
      </w:pPr>
    </w:p>
    <w:p w14:paraId="08325E19" w14:textId="77777777" w:rsidR="00327537" w:rsidRDefault="00327537" w:rsidP="00500F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mbria" w:eastAsia="Times New Roman" w:hAnsi="Cambria"/>
          <w:i/>
          <w:iCs/>
          <w:sz w:val="20"/>
          <w:szCs w:val="20"/>
          <w:lang w:val="fr-FR"/>
        </w:rPr>
      </w:pPr>
    </w:p>
    <w:p w14:paraId="66EC8B74" w14:textId="71FA902D" w:rsidR="00500F65" w:rsidRPr="00A93F40" w:rsidRDefault="00500F65" w:rsidP="002C36CD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rFonts w:ascii="Cambria" w:eastAsia="Times New Roman" w:hAnsi="Cambria"/>
          <w:sz w:val="20"/>
          <w:szCs w:val="20"/>
          <w:lang w:val="fr-FR"/>
        </w:rPr>
      </w:pPr>
      <w:r w:rsidRPr="00A93F40">
        <w:rPr>
          <w:rFonts w:ascii="Cambria" w:eastAsia="Times New Roman" w:hAnsi="Cambria"/>
          <w:i/>
          <w:iCs/>
          <w:sz w:val="20"/>
          <w:szCs w:val="20"/>
          <w:lang w:val="fr-FR"/>
        </w:rPr>
        <w:t>NOTANT</w:t>
      </w:r>
      <w:r w:rsidRPr="00A93F40">
        <w:rPr>
          <w:rFonts w:ascii="Cambria" w:eastAsia="Times New Roman" w:hAnsi="Cambria"/>
          <w:sz w:val="20"/>
          <w:szCs w:val="20"/>
          <w:lang w:val="fr-FR"/>
        </w:rPr>
        <w:t xml:space="preserve"> la nécessité de poursuivre une gestion </w:t>
      </w:r>
      <w:r w:rsidR="001525F6">
        <w:rPr>
          <w:rFonts w:ascii="Cambria" w:eastAsia="Times New Roman" w:hAnsi="Cambria"/>
          <w:sz w:val="20"/>
          <w:szCs w:val="20"/>
          <w:lang w:val="fr-FR"/>
        </w:rPr>
        <w:t>adéquate</w:t>
      </w:r>
      <w:r w:rsidRPr="00A93F40">
        <w:rPr>
          <w:rFonts w:ascii="Cambria" w:eastAsia="Times New Roman" w:hAnsi="Cambria"/>
          <w:sz w:val="20"/>
          <w:szCs w:val="20"/>
          <w:lang w:val="fr-FR"/>
        </w:rPr>
        <w:t xml:space="preserve"> pour la conservation du stock d’espadon de l’Atlantique Sud ;</w:t>
      </w:r>
    </w:p>
    <w:p w14:paraId="1BAECA31" w14:textId="77777777" w:rsidR="00500F65" w:rsidRPr="00A93F40" w:rsidRDefault="00500F65" w:rsidP="002C36CD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rFonts w:ascii="Cambria" w:eastAsia="Times New Roman" w:hAnsi="Cambria"/>
          <w:sz w:val="20"/>
          <w:szCs w:val="20"/>
          <w:lang w:val="fr-FR"/>
        </w:rPr>
      </w:pPr>
    </w:p>
    <w:p w14:paraId="7272CB90" w14:textId="59D2686B" w:rsidR="002C3444" w:rsidRPr="00A93F40" w:rsidRDefault="002C3444" w:rsidP="002C36CD">
      <w:pPr>
        <w:autoSpaceDE w:val="0"/>
        <w:autoSpaceDN w:val="0"/>
        <w:adjustRightInd w:val="0"/>
        <w:spacing w:line="240" w:lineRule="auto"/>
        <w:ind w:firstLine="425"/>
        <w:contextualSpacing/>
        <w:jc w:val="both"/>
        <w:rPr>
          <w:rFonts w:ascii="Cambria" w:hAnsi="Cambria"/>
          <w:sz w:val="20"/>
          <w:szCs w:val="20"/>
          <w:lang w:val="fr-FR"/>
        </w:rPr>
      </w:pPr>
      <w:r w:rsidRPr="00A93F40">
        <w:rPr>
          <w:rFonts w:ascii="Cambria" w:hAnsi="Cambria"/>
          <w:i/>
          <w:iCs/>
          <w:sz w:val="20"/>
          <w:szCs w:val="20"/>
          <w:lang w:val="fr-FR"/>
        </w:rPr>
        <w:t>CONSIDÉRANT</w:t>
      </w:r>
      <w:r w:rsidRPr="00A93F40">
        <w:rPr>
          <w:rFonts w:ascii="Cambria" w:hAnsi="Cambria"/>
          <w:sz w:val="20"/>
          <w:szCs w:val="20"/>
          <w:lang w:val="fr-FR"/>
        </w:rPr>
        <w:t xml:space="preserve"> que le SCRS a noté qu’il n'avait formulé aucun nouvel avis sur les mesures de gestion de l’espadon de l'Atlantique Sud et que le TAC actuel est conforme aux objectifs de gestion de l’ICCAT ;</w:t>
      </w:r>
    </w:p>
    <w:p w14:paraId="70BBC7D3" w14:textId="77777777" w:rsidR="002C36CD" w:rsidRDefault="002C36CD" w:rsidP="002C36CD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rFonts w:ascii="Cambria" w:eastAsia="Times New Roman" w:hAnsi="Cambria"/>
          <w:i/>
          <w:iCs/>
          <w:sz w:val="20"/>
          <w:szCs w:val="20"/>
          <w:lang w:val="fr-FR"/>
        </w:rPr>
      </w:pPr>
      <w:bookmarkStart w:id="0" w:name="_Hlk82416861"/>
    </w:p>
    <w:p w14:paraId="1B8F869B" w14:textId="6E5C948D" w:rsidR="00500F65" w:rsidRPr="00A93F40" w:rsidRDefault="00500F65" w:rsidP="002C36CD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rFonts w:ascii="Cambria" w:eastAsia="Times New Roman" w:hAnsi="Cambria"/>
          <w:sz w:val="20"/>
          <w:szCs w:val="20"/>
          <w:lang w:val="fr-FR"/>
        </w:rPr>
      </w:pPr>
      <w:r w:rsidRPr="00A93F40">
        <w:rPr>
          <w:rFonts w:ascii="Cambria" w:eastAsia="Times New Roman" w:hAnsi="Cambria"/>
          <w:i/>
          <w:iCs/>
          <w:sz w:val="20"/>
          <w:szCs w:val="20"/>
          <w:lang w:val="fr-FR"/>
        </w:rPr>
        <w:t>CONFIRMANT</w:t>
      </w:r>
      <w:r w:rsidRPr="00A93F40">
        <w:rPr>
          <w:rFonts w:ascii="Cambria" w:eastAsia="Times New Roman" w:hAnsi="Cambria"/>
          <w:sz w:val="20"/>
          <w:szCs w:val="20"/>
          <w:lang w:val="fr-FR"/>
        </w:rPr>
        <w:t xml:space="preserve"> que la prolongation des mesures actuelles ne préjuge en rien des mesures ou discussions futures</w:t>
      </w:r>
      <w:r w:rsidR="002C3444" w:rsidRPr="00A93F40">
        <w:rPr>
          <w:rFonts w:ascii="Cambria" w:eastAsia="Times New Roman" w:hAnsi="Cambria"/>
          <w:sz w:val="20"/>
          <w:szCs w:val="20"/>
          <w:lang w:val="fr-FR"/>
        </w:rPr>
        <w:t> ;</w:t>
      </w:r>
    </w:p>
    <w:bookmarkEnd w:id="0"/>
    <w:p w14:paraId="35546BD0" w14:textId="02B8DDD0" w:rsidR="00500F65" w:rsidRPr="00A93F40" w:rsidRDefault="00500F65" w:rsidP="00500F65">
      <w:pPr>
        <w:tabs>
          <w:tab w:val="left" w:pos="284"/>
          <w:tab w:val="left" w:pos="567"/>
          <w:tab w:val="left" w:pos="99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Cambria" w:eastAsia="Times New Roman" w:hAnsi="Cambria" w:cs="Times New Roman"/>
          <w:b/>
          <w:bCs/>
          <w:iCs/>
          <w:sz w:val="20"/>
          <w:szCs w:val="20"/>
          <w:lang w:val="fr-FR" w:eastAsia="fr-FR" w:bidi="fr-FR"/>
        </w:rPr>
      </w:pPr>
    </w:p>
    <w:p w14:paraId="09222079" w14:textId="77777777" w:rsidR="00500F65" w:rsidRPr="00A93F40" w:rsidRDefault="00500F65" w:rsidP="00500F65">
      <w:pPr>
        <w:tabs>
          <w:tab w:val="left" w:pos="284"/>
          <w:tab w:val="left" w:pos="567"/>
          <w:tab w:val="left" w:pos="99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Cambria" w:eastAsia="Times New Roman" w:hAnsi="Cambria" w:cs="Times New Roman"/>
          <w:b/>
          <w:bCs/>
          <w:iCs/>
          <w:sz w:val="20"/>
          <w:szCs w:val="20"/>
          <w:lang w:val="fr-FR" w:eastAsia="fr-FR" w:bidi="fr-FR"/>
        </w:rPr>
      </w:pPr>
    </w:p>
    <w:p w14:paraId="43EC8FBF" w14:textId="77777777" w:rsidR="00282759" w:rsidRPr="00A93F40" w:rsidRDefault="00282759" w:rsidP="0028275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eastAsia="Times New Roman" w:hAnsi="Cambria" w:cs="Times New Roman"/>
          <w:sz w:val="20"/>
          <w:szCs w:val="20"/>
          <w:lang w:val="fr-FR" w:eastAsia="fr-FR" w:bidi="fr-FR"/>
        </w:rPr>
      </w:pPr>
      <w:bookmarkStart w:id="1" w:name="_Hlk82416881"/>
      <w:r w:rsidRPr="00A93F40">
        <w:rPr>
          <w:rFonts w:ascii="Cambria" w:eastAsia="Times New Roman" w:hAnsi="Cambria" w:cs="Times New Roman"/>
          <w:sz w:val="20"/>
          <w:szCs w:val="20"/>
          <w:lang w:val="fr-FR" w:eastAsia="fr-FR" w:bidi="fr-FR"/>
        </w:rPr>
        <w:t>LA COMMISSION INTERNATIONALE POUR LA CONSERVATION DES</w:t>
      </w:r>
    </w:p>
    <w:p w14:paraId="65537D4F" w14:textId="77777777" w:rsidR="00282759" w:rsidRPr="00A93F40" w:rsidRDefault="00282759" w:rsidP="0028275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eastAsia="Times New Roman" w:hAnsi="Cambria" w:cs="Times New Roman"/>
          <w:sz w:val="20"/>
          <w:szCs w:val="20"/>
          <w:lang w:val="fr-FR" w:eastAsia="fr-FR" w:bidi="fr-FR"/>
        </w:rPr>
      </w:pPr>
      <w:r w:rsidRPr="00A93F40">
        <w:rPr>
          <w:rFonts w:ascii="Cambria" w:eastAsia="Times New Roman" w:hAnsi="Cambria" w:cs="Times New Roman"/>
          <w:sz w:val="20"/>
          <w:szCs w:val="20"/>
          <w:lang w:val="fr-FR" w:eastAsia="fr-FR" w:bidi="fr-FR"/>
        </w:rPr>
        <w:t>THONIDÉS DE L’ATLANTIQUE (ICCAT) RECOMMANDE CE QUI SUIT :</w:t>
      </w:r>
    </w:p>
    <w:bookmarkEnd w:id="1"/>
    <w:p w14:paraId="4EFB2141" w14:textId="77777777" w:rsidR="00282759" w:rsidRPr="00A93F40" w:rsidRDefault="00282759" w:rsidP="00282759">
      <w:pPr>
        <w:tabs>
          <w:tab w:val="left" w:pos="440"/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eastAsia="Times New Roman" w:hAnsi="Cambria" w:cs="Times New Roman"/>
          <w:sz w:val="10"/>
          <w:szCs w:val="10"/>
          <w:lang w:val="fr-FR" w:eastAsia="fr-FR" w:bidi="fr-FR"/>
        </w:rPr>
      </w:pPr>
    </w:p>
    <w:p w14:paraId="35ED95F2" w14:textId="77777777" w:rsidR="00747138" w:rsidRPr="00A93F40" w:rsidRDefault="00747138" w:rsidP="00DA6E25">
      <w:pPr>
        <w:spacing w:after="0" w:line="240" w:lineRule="auto"/>
        <w:ind w:left="426" w:hanging="426"/>
        <w:contextualSpacing/>
        <w:jc w:val="both"/>
        <w:rPr>
          <w:rFonts w:ascii="Cambria" w:hAnsi="Cambria"/>
          <w:sz w:val="20"/>
          <w:szCs w:val="20"/>
          <w:lang w:val="fr-FR"/>
        </w:rPr>
      </w:pPr>
      <w:bookmarkStart w:id="2" w:name="_Hlk82415831"/>
    </w:p>
    <w:p w14:paraId="2CB6C11F" w14:textId="2A276287" w:rsidR="00500F65" w:rsidRPr="00A93F40" w:rsidRDefault="00500F65" w:rsidP="00DA6E25">
      <w:pPr>
        <w:spacing w:after="0" w:line="240" w:lineRule="auto"/>
        <w:ind w:left="426" w:hanging="426"/>
        <w:contextualSpacing/>
        <w:jc w:val="both"/>
        <w:rPr>
          <w:rFonts w:ascii="Cambria" w:hAnsi="Cambria"/>
          <w:sz w:val="20"/>
          <w:szCs w:val="20"/>
          <w:lang w:val="fr-FR"/>
        </w:rPr>
      </w:pPr>
      <w:r w:rsidRPr="00A93F40">
        <w:rPr>
          <w:rFonts w:ascii="Cambria" w:hAnsi="Cambria"/>
          <w:sz w:val="20"/>
          <w:szCs w:val="20"/>
          <w:lang w:val="fr-FR"/>
        </w:rPr>
        <w:t>1.</w:t>
      </w:r>
      <w:r w:rsidRPr="00A93F40">
        <w:rPr>
          <w:rFonts w:ascii="Cambria" w:hAnsi="Cambria"/>
          <w:sz w:val="20"/>
          <w:szCs w:val="20"/>
          <w:lang w:val="fr-FR"/>
        </w:rPr>
        <w:tab/>
        <w:t xml:space="preserve">Les </w:t>
      </w:r>
      <w:bookmarkStart w:id="3" w:name="_Hlk82416885"/>
      <w:r w:rsidRPr="00A93F40">
        <w:rPr>
          <w:rFonts w:ascii="Cambria" w:hAnsi="Cambria"/>
          <w:sz w:val="20"/>
          <w:szCs w:val="20"/>
          <w:lang w:val="fr-FR"/>
        </w:rPr>
        <w:t xml:space="preserve">dispositions </w:t>
      </w:r>
      <w:bookmarkEnd w:id="3"/>
      <w:r w:rsidRPr="00A93F40">
        <w:rPr>
          <w:rFonts w:ascii="Cambria" w:hAnsi="Cambria"/>
          <w:sz w:val="20"/>
          <w:szCs w:val="20"/>
          <w:lang w:val="fr-FR"/>
        </w:rPr>
        <w:t xml:space="preserve">de la </w:t>
      </w:r>
      <w:r w:rsidRPr="00A93F40">
        <w:rPr>
          <w:rFonts w:ascii="Cambria" w:hAnsi="Cambria"/>
          <w:i/>
          <w:iCs/>
          <w:sz w:val="20"/>
          <w:szCs w:val="20"/>
          <w:lang w:val="fr-FR"/>
        </w:rPr>
        <w:t xml:space="preserve">Recommandation de l’ICCAT amendant la Recommandation 16-04 sur la conservation de l'espadon de l’Atlantique Sud </w:t>
      </w:r>
      <w:r w:rsidR="00A037D2" w:rsidRPr="00A93F40">
        <w:rPr>
          <w:rFonts w:ascii="Cambria" w:hAnsi="Cambria"/>
          <w:sz w:val="20"/>
          <w:szCs w:val="20"/>
          <w:lang w:val="fr-FR"/>
        </w:rPr>
        <w:t>(Rec. 17-03)</w:t>
      </w:r>
      <w:r w:rsidRPr="00A93F40">
        <w:rPr>
          <w:rFonts w:ascii="Cambria" w:hAnsi="Cambria"/>
          <w:sz w:val="20"/>
          <w:szCs w:val="20"/>
          <w:lang w:val="fr-FR"/>
        </w:rPr>
        <w:t xml:space="preserve"> </w:t>
      </w:r>
      <w:r w:rsidR="00DA6E25" w:rsidRPr="00A93F40">
        <w:rPr>
          <w:rFonts w:ascii="Cambria" w:hAnsi="Cambria"/>
          <w:sz w:val="20"/>
          <w:szCs w:val="20"/>
          <w:lang w:val="fr-FR"/>
        </w:rPr>
        <w:t>devront être prolongé</w:t>
      </w:r>
      <w:r w:rsidR="00784CE4" w:rsidRPr="00A93F40">
        <w:rPr>
          <w:rFonts w:ascii="Cambria" w:hAnsi="Cambria"/>
          <w:sz w:val="20"/>
          <w:szCs w:val="20"/>
          <w:lang w:val="fr-FR"/>
        </w:rPr>
        <w:t>e</w:t>
      </w:r>
      <w:r w:rsidR="00DA6E25" w:rsidRPr="00A93F40">
        <w:rPr>
          <w:rFonts w:ascii="Cambria" w:hAnsi="Cambria"/>
          <w:sz w:val="20"/>
          <w:szCs w:val="20"/>
          <w:lang w:val="fr-FR"/>
        </w:rPr>
        <w:t xml:space="preserve">s jusqu'en 2022 </w:t>
      </w:r>
      <w:r w:rsidR="001525F6">
        <w:rPr>
          <w:rFonts w:ascii="Cambria" w:hAnsi="Cambria"/>
          <w:sz w:val="20"/>
          <w:szCs w:val="20"/>
          <w:lang w:val="fr-FR"/>
        </w:rPr>
        <w:t xml:space="preserve">compris </w:t>
      </w:r>
      <w:r w:rsidR="00DA6E25" w:rsidRPr="00A93F40">
        <w:rPr>
          <w:rFonts w:ascii="Cambria" w:hAnsi="Cambria"/>
          <w:sz w:val="20"/>
          <w:szCs w:val="20"/>
          <w:lang w:val="fr-FR"/>
        </w:rPr>
        <w:t>avec les modifications suivantes :</w:t>
      </w:r>
    </w:p>
    <w:p w14:paraId="5AD713FC" w14:textId="672BD38F" w:rsidR="00DA6E25" w:rsidRPr="00A93F40" w:rsidRDefault="00DA6E25" w:rsidP="00DA6E25">
      <w:pPr>
        <w:spacing w:after="0" w:line="240" w:lineRule="auto"/>
        <w:ind w:left="426" w:hanging="426"/>
        <w:contextualSpacing/>
        <w:jc w:val="both"/>
        <w:rPr>
          <w:rFonts w:ascii="Cambria" w:hAnsi="Cambria"/>
          <w:sz w:val="20"/>
          <w:szCs w:val="20"/>
          <w:lang w:val="fr-FR"/>
        </w:rPr>
      </w:pPr>
    </w:p>
    <w:p w14:paraId="16AC17DD" w14:textId="6E9E3E5E" w:rsidR="00DA6E25" w:rsidRPr="00A93F40" w:rsidRDefault="00BE4F0F" w:rsidP="001525F6">
      <w:pPr>
        <w:spacing w:after="0" w:line="240" w:lineRule="auto"/>
        <w:ind w:left="851" w:hanging="426"/>
        <w:contextualSpacing/>
        <w:jc w:val="both"/>
        <w:rPr>
          <w:rFonts w:ascii="Cambria" w:hAnsi="Cambria"/>
          <w:sz w:val="20"/>
          <w:szCs w:val="20"/>
          <w:lang w:val="fr-FR"/>
        </w:rPr>
      </w:pPr>
      <w:r w:rsidRPr="00A93F40">
        <w:rPr>
          <w:rFonts w:ascii="Cambria" w:hAnsi="Cambria"/>
          <w:sz w:val="20"/>
          <w:szCs w:val="20"/>
          <w:lang w:val="fr-FR"/>
        </w:rPr>
        <w:t xml:space="preserve">A. </w:t>
      </w:r>
      <w:r w:rsidRPr="00A93F40">
        <w:rPr>
          <w:rFonts w:ascii="Cambria" w:hAnsi="Cambria"/>
          <w:sz w:val="20"/>
          <w:szCs w:val="20"/>
          <w:lang w:val="fr-FR"/>
        </w:rPr>
        <w:tab/>
      </w:r>
      <w:r w:rsidR="00DA6E25" w:rsidRPr="00A93F40">
        <w:rPr>
          <w:rFonts w:ascii="Cambria" w:hAnsi="Cambria"/>
          <w:sz w:val="20"/>
          <w:szCs w:val="20"/>
          <w:lang w:val="fr-FR"/>
        </w:rPr>
        <w:t>Le paragraphe 1 devra être remplacé par :</w:t>
      </w:r>
    </w:p>
    <w:p w14:paraId="3A28E278" w14:textId="77777777" w:rsidR="00DA6E25" w:rsidRPr="00A93F40" w:rsidRDefault="00DA6E25" w:rsidP="00DA6E25">
      <w:pPr>
        <w:spacing w:after="0" w:line="240" w:lineRule="auto"/>
        <w:ind w:left="710" w:hanging="426"/>
        <w:contextualSpacing/>
        <w:jc w:val="both"/>
        <w:rPr>
          <w:rFonts w:ascii="Cambria" w:hAnsi="Cambria"/>
          <w:sz w:val="20"/>
          <w:szCs w:val="20"/>
          <w:lang w:val="fr-FR"/>
        </w:rPr>
      </w:pPr>
    </w:p>
    <w:p w14:paraId="3CB67AC6" w14:textId="61FDB261" w:rsidR="00DA6E25" w:rsidRPr="00A93F40" w:rsidRDefault="00DA6E25" w:rsidP="008D6E40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1276" w:hanging="425"/>
        <w:contextualSpacing/>
        <w:jc w:val="both"/>
        <w:rPr>
          <w:rFonts w:ascii="Cambria" w:eastAsia="Times New Roman" w:hAnsi="Cambria" w:cs="Times New Roman"/>
          <w:sz w:val="20"/>
          <w:szCs w:val="20"/>
          <w:lang w:val="fr-FR"/>
        </w:rPr>
      </w:pPr>
      <w:r w:rsidRPr="00A93F40">
        <w:rPr>
          <w:rFonts w:ascii="Cambria" w:eastAsia="Times New Roman" w:hAnsi="Cambria" w:cs="Times New Roman"/>
          <w:sz w:val="20"/>
          <w:szCs w:val="20"/>
          <w:lang w:val="fr-FR"/>
        </w:rPr>
        <w:t>« 1.</w:t>
      </w:r>
      <w:r w:rsidRPr="00A93F40">
        <w:rPr>
          <w:rFonts w:ascii="Cambria" w:eastAsia="Times New Roman" w:hAnsi="Cambria" w:cs="Times New Roman"/>
          <w:sz w:val="20"/>
          <w:szCs w:val="20"/>
          <w:lang w:val="fr-FR"/>
        </w:rPr>
        <w:tab/>
        <w:t xml:space="preserve">Pour 2018, 2019, 2020, 2021 et 2022, le total des prises admissibles (« TAC ») et les limites de capture devront être comme suit : </w:t>
      </w:r>
    </w:p>
    <w:p w14:paraId="3F90D4C6" w14:textId="77777777" w:rsidR="00DA6E25" w:rsidRPr="00A93F40" w:rsidRDefault="00DA6E25" w:rsidP="001525F6">
      <w:pPr>
        <w:tabs>
          <w:tab w:val="left" w:pos="284"/>
          <w:tab w:val="left" w:pos="567"/>
          <w:tab w:val="left" w:pos="990"/>
          <w:tab w:val="left" w:pos="7088"/>
        </w:tabs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Cambria" w:eastAsia="Times New Roman" w:hAnsi="Cambria" w:cs="Times New Roman"/>
          <w:sz w:val="20"/>
          <w:szCs w:val="20"/>
          <w:lang w:val="fr-FR"/>
        </w:rPr>
      </w:pPr>
    </w:p>
    <w:tbl>
      <w:tblPr>
        <w:tblpPr w:leftFromText="142" w:rightFromText="142" w:vertAnchor="text" w:horzAnchor="margin" w:tblpXSpec="center" w:tblpY="5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807"/>
      </w:tblGrid>
      <w:tr w:rsidR="00DA6E25" w:rsidRPr="002C36CD" w14:paraId="4C05D256" w14:textId="77777777" w:rsidTr="00301915">
        <w:trPr>
          <w:trHeight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F776A" w14:textId="77777777" w:rsidR="00DA6E25" w:rsidRPr="00A93F40" w:rsidRDefault="00DA6E25" w:rsidP="006873C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bCs/>
                <w:i/>
                <w:iCs/>
                <w:sz w:val="20"/>
                <w:szCs w:val="20"/>
                <w:lang w:val="fr-FR" w:eastAsia="fr-FR" w:bidi="fr-FR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DBEC" w14:textId="0F509F74" w:rsidR="00DA6E25" w:rsidRPr="00A93F40" w:rsidRDefault="00DA6E25" w:rsidP="00784CE4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i/>
                <w:iCs/>
                <w:sz w:val="20"/>
                <w:szCs w:val="20"/>
                <w:lang w:val="fr-FR" w:eastAsia="fr-FR" w:bidi="fr-FR"/>
              </w:rPr>
            </w:pPr>
            <w:r w:rsidRPr="00A93F40">
              <w:rPr>
                <w:rFonts w:ascii="Cambria" w:eastAsia="Calibri" w:hAnsi="Cambria" w:cs="Times New Roman"/>
                <w:i/>
                <w:sz w:val="20"/>
                <w:szCs w:val="20"/>
                <w:lang w:val="fr-FR" w:eastAsia="fr-FR" w:bidi="fr-FR"/>
              </w:rPr>
              <w:t>Limite de capture (Unité : t)</w:t>
            </w:r>
          </w:p>
        </w:tc>
      </w:tr>
      <w:tr w:rsidR="00DA6E25" w:rsidRPr="00A93F40" w14:paraId="6A63244E" w14:textId="77777777" w:rsidTr="0030191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312C6" w14:textId="77777777" w:rsidR="00DA6E25" w:rsidRPr="00A93F40" w:rsidRDefault="00DA6E25" w:rsidP="006873C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fr-FR" w:eastAsia="fr-FR" w:bidi="fr-FR"/>
              </w:rPr>
            </w:pPr>
            <w:r w:rsidRPr="00A93F40">
              <w:rPr>
                <w:rFonts w:ascii="Cambria" w:eastAsia="Calibri" w:hAnsi="Cambria" w:cs="Times New Roman"/>
                <w:sz w:val="20"/>
                <w:szCs w:val="20"/>
                <w:lang w:val="fr-FR" w:eastAsia="fr-FR" w:bidi="fr-FR"/>
              </w:rPr>
              <w:t xml:space="preserve">TAC </w:t>
            </w:r>
            <w:r w:rsidRPr="00A93F40">
              <w:rPr>
                <w:rFonts w:ascii="Cambria" w:eastAsia="Calibri" w:hAnsi="Cambria" w:cs="Times New Roman"/>
                <w:sz w:val="20"/>
                <w:szCs w:val="20"/>
                <w:vertAlign w:val="superscript"/>
                <w:lang w:val="fr-FR" w:eastAsia="fr-FR" w:bidi="fr-FR"/>
              </w:rPr>
              <w:t>(1)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3EE20" w14:textId="77777777" w:rsidR="00DA6E25" w:rsidRPr="00A93F40" w:rsidRDefault="00DA6E25" w:rsidP="00784CE4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mbria" w:eastAsia="Calibri" w:hAnsi="Cambria" w:cs="Times New Roman"/>
                <w:sz w:val="20"/>
                <w:szCs w:val="20"/>
                <w:lang w:val="fr-FR" w:eastAsia="fr-FR" w:bidi="fr-FR"/>
              </w:rPr>
            </w:pPr>
            <w:r w:rsidRPr="00A93F40">
              <w:rPr>
                <w:rFonts w:ascii="Cambria" w:eastAsia="Calibri" w:hAnsi="Cambria" w:cs="Times New Roman"/>
                <w:sz w:val="20"/>
                <w:szCs w:val="20"/>
                <w:lang w:val="fr-FR" w:eastAsia="fr-FR" w:bidi="fr-FR"/>
              </w:rPr>
              <w:t>14.000</w:t>
            </w:r>
          </w:p>
        </w:tc>
      </w:tr>
      <w:tr w:rsidR="00DA6E25" w:rsidRPr="00A93F40" w14:paraId="021A1EBF" w14:textId="77777777" w:rsidTr="0030191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4A6B7" w14:textId="77777777" w:rsidR="00DA6E25" w:rsidRPr="00A93F40" w:rsidRDefault="00DA6E25" w:rsidP="006873C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val="fr-FR" w:eastAsia="fr-FR" w:bidi="fr-FR"/>
              </w:rPr>
            </w:pPr>
            <w:r w:rsidRPr="00A93F40"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val="fr-FR" w:eastAsia="fr-FR" w:bidi="fr-FR"/>
              </w:rPr>
              <w:t xml:space="preserve">Brésil </w:t>
            </w:r>
            <w:r w:rsidRPr="00A93F40">
              <w:rPr>
                <w:rFonts w:ascii="Cambria" w:eastAsia="Calibri" w:hAnsi="Cambria" w:cs="Times New Roman"/>
                <w:bCs/>
                <w:iCs/>
                <w:sz w:val="20"/>
                <w:szCs w:val="20"/>
                <w:vertAlign w:val="superscript"/>
                <w:lang w:val="fr-FR" w:eastAsia="fr-FR" w:bidi="fr-FR"/>
              </w:rPr>
              <w:t>(2)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CA747" w14:textId="77777777" w:rsidR="00DA6E25" w:rsidRPr="00A93F40" w:rsidRDefault="00DA6E25" w:rsidP="00784CE4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eastAsia="fr-FR" w:bidi="fr-FR"/>
              </w:rPr>
            </w:pPr>
            <w:r w:rsidRPr="00A93F40"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eastAsia="ja-JP" w:bidi="fr-FR"/>
              </w:rPr>
              <w:t>3.940</w:t>
            </w:r>
          </w:p>
        </w:tc>
      </w:tr>
      <w:tr w:rsidR="00DA6E25" w:rsidRPr="00A93F40" w14:paraId="329B5301" w14:textId="77777777" w:rsidTr="00301915">
        <w:trPr>
          <w:trHeight w:val="21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A3198" w14:textId="77777777" w:rsidR="00DA6E25" w:rsidRPr="00A93F40" w:rsidRDefault="00DA6E25" w:rsidP="006873C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val="fr-FR" w:eastAsia="fr-FR" w:bidi="fr-FR"/>
              </w:rPr>
            </w:pPr>
            <w:r w:rsidRPr="00A93F40"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val="fr-FR" w:eastAsia="fr-FR" w:bidi="fr-FR"/>
              </w:rPr>
              <w:t>Union européenne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D7480" w14:textId="77777777" w:rsidR="00DA6E25" w:rsidRPr="00A93F40" w:rsidRDefault="00DA6E25" w:rsidP="00784CE4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eastAsia="fr-FR" w:bidi="fr-FR"/>
              </w:rPr>
            </w:pPr>
            <w:r w:rsidRPr="00A93F40"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eastAsia="ja-JP" w:bidi="fr-FR"/>
              </w:rPr>
              <w:t>4.824</w:t>
            </w:r>
          </w:p>
        </w:tc>
      </w:tr>
      <w:tr w:rsidR="00DA6E25" w:rsidRPr="00A93F40" w14:paraId="41A623D1" w14:textId="77777777" w:rsidTr="00301915">
        <w:trPr>
          <w:trHeight w:val="12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C14A0" w14:textId="77777777" w:rsidR="00DA6E25" w:rsidRPr="00A93F40" w:rsidRDefault="00DA6E25" w:rsidP="006873C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val="fr-FR" w:eastAsia="fr-FR" w:bidi="fr-FR"/>
              </w:rPr>
            </w:pPr>
            <w:r w:rsidRPr="00A93F40"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val="fr-FR" w:eastAsia="fr-FR" w:bidi="fr-FR"/>
              </w:rPr>
              <w:t>Afrique du Sud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FE7A3" w14:textId="77777777" w:rsidR="00DA6E25" w:rsidRPr="00A93F40" w:rsidRDefault="00DA6E25" w:rsidP="00784CE4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eastAsia="fr-FR" w:bidi="fr-FR"/>
              </w:rPr>
            </w:pPr>
            <w:r w:rsidRPr="00A93F40"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eastAsia="ja-JP" w:bidi="fr-FR"/>
              </w:rPr>
              <w:t>1.001</w:t>
            </w:r>
          </w:p>
        </w:tc>
      </w:tr>
      <w:tr w:rsidR="00DA6E25" w:rsidRPr="00A93F40" w14:paraId="6C6D9F58" w14:textId="77777777" w:rsidTr="00301915">
        <w:trPr>
          <w:trHeight w:val="18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8ED55" w14:textId="77777777" w:rsidR="00DA6E25" w:rsidRPr="00A93F40" w:rsidRDefault="00DA6E25" w:rsidP="006873C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val="fr-FR" w:eastAsia="fr-FR" w:bidi="fr-FR"/>
              </w:rPr>
            </w:pPr>
            <w:r w:rsidRPr="00A93F40"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val="fr-FR" w:eastAsia="fr-FR" w:bidi="fr-FR"/>
              </w:rPr>
              <w:t>Namibie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598A4" w14:textId="77777777" w:rsidR="00DA6E25" w:rsidRPr="00A93F40" w:rsidRDefault="00DA6E25" w:rsidP="00784CE4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eastAsia="fr-FR" w:bidi="fr-FR"/>
              </w:rPr>
            </w:pPr>
            <w:r w:rsidRPr="00A93F40"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eastAsia="ja-JP" w:bidi="fr-FR"/>
              </w:rPr>
              <w:t>1.168</w:t>
            </w:r>
          </w:p>
        </w:tc>
      </w:tr>
      <w:tr w:rsidR="00DA6E25" w:rsidRPr="00A93F40" w14:paraId="6D9B8E22" w14:textId="77777777" w:rsidTr="00301915">
        <w:trPr>
          <w:trHeight w:val="2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6F605" w14:textId="77777777" w:rsidR="00DA6E25" w:rsidRPr="00A93F40" w:rsidRDefault="00DA6E25" w:rsidP="006873C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val="fr-FR" w:eastAsia="fr-FR" w:bidi="fr-FR"/>
              </w:rPr>
            </w:pPr>
            <w:r w:rsidRPr="00A93F40"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val="fr-FR" w:eastAsia="fr-FR" w:bidi="fr-FR"/>
              </w:rPr>
              <w:t>Uruguay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8EBD2" w14:textId="77777777" w:rsidR="00DA6E25" w:rsidRPr="00A93F40" w:rsidRDefault="00DA6E25" w:rsidP="00784CE4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eastAsia="fr-FR" w:bidi="fr-FR"/>
              </w:rPr>
            </w:pPr>
            <w:r w:rsidRPr="00A93F40"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eastAsia="ja-JP" w:bidi="fr-FR"/>
              </w:rPr>
              <w:t>1.252</w:t>
            </w:r>
          </w:p>
        </w:tc>
      </w:tr>
      <w:tr w:rsidR="00DA6E25" w:rsidRPr="00A93F40" w14:paraId="22990A6D" w14:textId="77777777" w:rsidTr="00301915">
        <w:trPr>
          <w:trHeight w:val="19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8AD0F" w14:textId="77777777" w:rsidR="00DA6E25" w:rsidRPr="00A93F40" w:rsidRDefault="00DA6E25" w:rsidP="006873C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val="fr-FR" w:eastAsia="fr-FR" w:bidi="fr-FR"/>
              </w:rPr>
            </w:pPr>
            <w:r w:rsidRPr="00A93F40"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val="fr-FR" w:eastAsia="fr-FR" w:bidi="fr-FR"/>
              </w:rPr>
              <w:t xml:space="preserve">États-Unis </w:t>
            </w:r>
            <w:r w:rsidRPr="00A93F40">
              <w:rPr>
                <w:rFonts w:ascii="Cambria" w:eastAsia="Calibri" w:hAnsi="Cambria" w:cs="Times New Roman"/>
                <w:bCs/>
                <w:iCs/>
                <w:sz w:val="20"/>
                <w:szCs w:val="20"/>
                <w:vertAlign w:val="superscript"/>
                <w:lang w:val="fr-FR" w:eastAsia="fr-FR" w:bidi="fr-FR"/>
              </w:rPr>
              <w:t>(3)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3D1EB" w14:textId="77777777" w:rsidR="00DA6E25" w:rsidRPr="00A93F40" w:rsidRDefault="00DA6E25" w:rsidP="00784CE4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eastAsia="ja-JP" w:bidi="fr-FR"/>
              </w:rPr>
            </w:pPr>
            <w:r w:rsidRPr="00A93F40"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eastAsia="ja-JP" w:bidi="fr-FR"/>
              </w:rPr>
              <w:t>100</w:t>
            </w:r>
          </w:p>
        </w:tc>
      </w:tr>
      <w:tr w:rsidR="00DA6E25" w:rsidRPr="00A93F40" w14:paraId="0E6A477E" w14:textId="77777777" w:rsidTr="00301915">
        <w:trPr>
          <w:trHeight w:val="22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1BA5B" w14:textId="77777777" w:rsidR="00DA6E25" w:rsidRPr="00A93F40" w:rsidRDefault="00DA6E25" w:rsidP="006873C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val="fr-FR" w:eastAsia="fr-FR" w:bidi="fr-FR"/>
              </w:rPr>
            </w:pPr>
            <w:r w:rsidRPr="00A93F40"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val="fr-FR" w:eastAsia="fr-FR" w:bidi="fr-FR"/>
              </w:rPr>
              <w:t>Côte d’Ivoire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72F31" w14:textId="77777777" w:rsidR="00DA6E25" w:rsidRPr="00A93F40" w:rsidRDefault="00DA6E25" w:rsidP="00784CE4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eastAsia="fr-FR" w:bidi="fr-FR"/>
              </w:rPr>
            </w:pPr>
            <w:r w:rsidRPr="00A93F40"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eastAsia="ja-JP" w:bidi="fr-FR"/>
              </w:rPr>
              <w:t>125</w:t>
            </w:r>
          </w:p>
        </w:tc>
      </w:tr>
      <w:tr w:rsidR="00DA6E25" w:rsidRPr="00A93F40" w14:paraId="64609A82" w14:textId="77777777" w:rsidTr="00301915">
        <w:trPr>
          <w:trHeight w:val="13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55457" w14:textId="77777777" w:rsidR="00DA6E25" w:rsidRPr="00A93F40" w:rsidRDefault="00DA6E25" w:rsidP="006873C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val="fr-FR" w:eastAsia="fr-FR" w:bidi="fr-FR"/>
              </w:rPr>
            </w:pPr>
            <w:r w:rsidRPr="00A93F40"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val="fr-FR" w:eastAsia="fr-FR" w:bidi="fr-FR"/>
              </w:rPr>
              <w:t>Chine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3D7C" w14:textId="77777777" w:rsidR="00DA6E25" w:rsidRPr="00A93F40" w:rsidRDefault="00DA6E25" w:rsidP="00784CE4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eastAsia="fr-FR" w:bidi="fr-FR"/>
              </w:rPr>
            </w:pPr>
            <w:r w:rsidRPr="00A93F40"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eastAsia="ja-JP" w:bidi="fr-FR"/>
              </w:rPr>
              <w:t>313</w:t>
            </w:r>
          </w:p>
        </w:tc>
      </w:tr>
      <w:tr w:rsidR="00DA6E25" w:rsidRPr="00A93F40" w14:paraId="0A418222" w14:textId="77777777" w:rsidTr="00301915">
        <w:trPr>
          <w:trHeight w:val="2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44C9C" w14:textId="77777777" w:rsidR="00DA6E25" w:rsidRPr="00A93F40" w:rsidRDefault="00DA6E25" w:rsidP="006873C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val="fr-FR" w:eastAsia="fr-FR" w:bidi="fr-FR"/>
              </w:rPr>
            </w:pPr>
            <w:r w:rsidRPr="00A93F40"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val="fr-FR" w:eastAsia="fr-FR" w:bidi="fr-FR"/>
              </w:rPr>
              <w:t xml:space="preserve">Taipei chinois </w:t>
            </w:r>
            <w:r w:rsidRPr="00A93F40">
              <w:rPr>
                <w:rFonts w:ascii="Cambria" w:eastAsia="Calibri" w:hAnsi="Cambria" w:cs="Times New Roman"/>
                <w:bCs/>
                <w:iCs/>
                <w:sz w:val="20"/>
                <w:szCs w:val="20"/>
                <w:vertAlign w:val="superscript"/>
                <w:lang w:val="fr-FR" w:eastAsia="fr-FR" w:bidi="fr-FR"/>
              </w:rPr>
              <w:t>(3)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BDF47" w14:textId="77777777" w:rsidR="00DA6E25" w:rsidRPr="00A93F40" w:rsidRDefault="00DA6E25" w:rsidP="00784CE4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eastAsia="fr-FR" w:bidi="fr-FR"/>
              </w:rPr>
            </w:pPr>
            <w:r w:rsidRPr="00A93F40"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eastAsia="ja-JP" w:bidi="fr-FR"/>
              </w:rPr>
              <w:t>459</w:t>
            </w:r>
          </w:p>
        </w:tc>
      </w:tr>
      <w:tr w:rsidR="00DA6E25" w:rsidRPr="00A93F40" w14:paraId="156F92D3" w14:textId="77777777" w:rsidTr="00301915">
        <w:trPr>
          <w:trHeight w:val="22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A15F1" w14:textId="77777777" w:rsidR="00DA6E25" w:rsidRPr="00A93F40" w:rsidRDefault="00DA6E25" w:rsidP="006873C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val="fr-FR" w:eastAsia="fr-FR" w:bidi="fr-FR"/>
              </w:rPr>
            </w:pPr>
            <w:r w:rsidRPr="00A93F40"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val="fr-FR" w:eastAsia="fr-FR" w:bidi="fr-FR"/>
              </w:rPr>
              <w:t>Royaume-Uni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86BE1" w14:textId="77777777" w:rsidR="00DA6E25" w:rsidRPr="00A93F40" w:rsidRDefault="00DA6E25" w:rsidP="00784CE4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eastAsia="ja-JP" w:bidi="fr-FR"/>
              </w:rPr>
            </w:pPr>
            <w:r w:rsidRPr="00A93F40"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eastAsia="ja-JP" w:bidi="fr-FR"/>
              </w:rPr>
              <w:t>25</w:t>
            </w:r>
          </w:p>
        </w:tc>
      </w:tr>
      <w:tr w:rsidR="00DA6E25" w:rsidRPr="00A93F40" w14:paraId="6E853B4D" w14:textId="77777777" w:rsidTr="00301915">
        <w:trPr>
          <w:trHeight w:val="2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05455" w14:textId="77777777" w:rsidR="00DA6E25" w:rsidRPr="00A93F40" w:rsidRDefault="00DA6E25" w:rsidP="006873C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val="fr-FR" w:eastAsia="fr-FR" w:bidi="fr-FR"/>
              </w:rPr>
            </w:pPr>
            <w:r w:rsidRPr="00A93F40"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val="fr-FR" w:eastAsia="fr-FR" w:bidi="fr-FR"/>
              </w:rPr>
              <w:t xml:space="preserve">Japon </w:t>
            </w:r>
            <w:r w:rsidRPr="00A93F40">
              <w:rPr>
                <w:rFonts w:ascii="Cambria" w:eastAsia="Calibri" w:hAnsi="Cambria" w:cs="Times New Roman"/>
                <w:bCs/>
                <w:iCs/>
                <w:sz w:val="20"/>
                <w:szCs w:val="20"/>
                <w:vertAlign w:val="superscript"/>
                <w:lang w:val="fr-FR" w:eastAsia="fr-FR" w:bidi="fr-FR"/>
              </w:rPr>
              <w:t>(3)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03D1D" w14:textId="77777777" w:rsidR="00DA6E25" w:rsidRPr="00A93F40" w:rsidRDefault="00DA6E25" w:rsidP="00784CE4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eastAsia="fr-FR" w:bidi="fr-FR"/>
              </w:rPr>
            </w:pPr>
            <w:r w:rsidRPr="00A93F40"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eastAsia="ja-JP" w:bidi="fr-FR"/>
              </w:rPr>
              <w:t>901</w:t>
            </w:r>
          </w:p>
        </w:tc>
      </w:tr>
      <w:tr w:rsidR="00DA6E25" w:rsidRPr="00A93F40" w14:paraId="7ABAAD6E" w14:textId="77777777" w:rsidTr="00301915">
        <w:trPr>
          <w:trHeight w:val="1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0FAE7" w14:textId="77777777" w:rsidR="00DA6E25" w:rsidRPr="00A93F40" w:rsidRDefault="00DA6E25" w:rsidP="006873C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val="fr-FR" w:eastAsia="fr-FR" w:bidi="fr-FR"/>
              </w:rPr>
            </w:pPr>
            <w:r w:rsidRPr="00A93F40"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val="fr-FR" w:eastAsia="fr-FR" w:bidi="fr-FR"/>
              </w:rPr>
              <w:t>Angola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62232" w14:textId="77777777" w:rsidR="00DA6E25" w:rsidRPr="00A93F40" w:rsidRDefault="00DA6E25" w:rsidP="00784CE4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eastAsia="ja-JP" w:bidi="fr-FR"/>
              </w:rPr>
            </w:pPr>
            <w:r w:rsidRPr="00A93F40"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eastAsia="ja-JP" w:bidi="fr-FR"/>
              </w:rPr>
              <w:t>100</w:t>
            </w:r>
          </w:p>
        </w:tc>
      </w:tr>
      <w:tr w:rsidR="00DA6E25" w:rsidRPr="00A93F40" w14:paraId="108A4120" w14:textId="77777777" w:rsidTr="00301915">
        <w:trPr>
          <w:trHeight w:val="26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C49EC" w14:textId="77777777" w:rsidR="00DA6E25" w:rsidRPr="00A93F40" w:rsidRDefault="00DA6E25" w:rsidP="006873C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val="fr-FR" w:eastAsia="fr-FR" w:bidi="fr-FR"/>
              </w:rPr>
            </w:pPr>
            <w:r w:rsidRPr="00A93F40"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val="fr-FR" w:eastAsia="fr-FR" w:bidi="fr-FR"/>
              </w:rPr>
              <w:t>Ghana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CD168" w14:textId="77777777" w:rsidR="00DA6E25" w:rsidRPr="00A93F40" w:rsidRDefault="00DA6E25" w:rsidP="00784CE4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eastAsia="ja-JP" w:bidi="fr-FR"/>
              </w:rPr>
            </w:pPr>
            <w:r w:rsidRPr="00A93F40"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eastAsia="ja-JP" w:bidi="fr-FR"/>
              </w:rPr>
              <w:t>100</w:t>
            </w:r>
          </w:p>
        </w:tc>
      </w:tr>
      <w:tr w:rsidR="004E45BC" w:rsidRPr="00A93F40" w14:paraId="70BF2D6F" w14:textId="77777777" w:rsidTr="00301915">
        <w:trPr>
          <w:trHeight w:val="26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C675F" w14:textId="55DA780B" w:rsidR="004E45BC" w:rsidRPr="00A93F40" w:rsidRDefault="004E45BC" w:rsidP="006873C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val="fr-FR" w:eastAsia="fr-FR" w:bidi="fr-FR"/>
              </w:rPr>
            </w:pPr>
            <w:r w:rsidRPr="00A93F40"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val="fr-FR" w:eastAsia="fr-FR" w:bidi="fr-FR"/>
              </w:rPr>
              <w:t>Sao Tomé-et-Principe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68026" w14:textId="393C2360" w:rsidR="004E45BC" w:rsidRPr="00A93F40" w:rsidRDefault="004E45BC" w:rsidP="004E45BC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eastAsia="ja-JP" w:bidi="fr-FR"/>
              </w:rPr>
            </w:pPr>
            <w:r w:rsidRPr="00A93F40"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eastAsia="ja-JP" w:bidi="fr-FR"/>
              </w:rPr>
              <w:t>100</w:t>
            </w:r>
          </w:p>
        </w:tc>
      </w:tr>
      <w:tr w:rsidR="004E45BC" w:rsidRPr="00A93F40" w14:paraId="57A781A8" w14:textId="77777777" w:rsidTr="00301915">
        <w:trPr>
          <w:trHeight w:val="26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48937" w14:textId="5325EA7F" w:rsidR="004E45BC" w:rsidRPr="00A93F40" w:rsidRDefault="004E45BC" w:rsidP="006873C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val="fr-FR" w:eastAsia="fr-FR" w:bidi="fr-FR"/>
              </w:rPr>
            </w:pPr>
            <w:r w:rsidRPr="00A93F40"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val="fr-FR" w:eastAsia="fr-FR" w:bidi="fr-FR"/>
              </w:rPr>
              <w:t>Sénégal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0E895" w14:textId="70A1F50F" w:rsidR="004E45BC" w:rsidRPr="00A93F40" w:rsidRDefault="004E45BC" w:rsidP="004E45BC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eastAsia="ja-JP" w:bidi="fr-FR"/>
              </w:rPr>
            </w:pPr>
            <w:r w:rsidRPr="00A93F40"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eastAsia="ja-JP" w:bidi="fr-FR"/>
              </w:rPr>
              <w:t>417</w:t>
            </w:r>
          </w:p>
        </w:tc>
      </w:tr>
      <w:tr w:rsidR="004E45BC" w:rsidRPr="00A93F40" w14:paraId="42E71101" w14:textId="77777777" w:rsidTr="00301915">
        <w:trPr>
          <w:trHeight w:val="26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52913" w14:textId="10432202" w:rsidR="004E45BC" w:rsidRPr="00A93F40" w:rsidRDefault="004E45BC" w:rsidP="006873C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val="fr-FR" w:eastAsia="fr-FR" w:bidi="fr-FR"/>
              </w:rPr>
            </w:pPr>
            <w:r w:rsidRPr="00A93F40"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val="fr-FR" w:eastAsia="fr-FR" w:bidi="fr-FR"/>
              </w:rPr>
              <w:t>Corée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5A3BC" w14:textId="7A7C6D61" w:rsidR="004E45BC" w:rsidRPr="00A93F40" w:rsidRDefault="004E45BC" w:rsidP="004E45BC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eastAsia="ja-JP" w:bidi="fr-FR"/>
              </w:rPr>
            </w:pPr>
            <w:r w:rsidRPr="00A93F40"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eastAsia="ja-JP" w:bidi="fr-FR"/>
              </w:rPr>
              <w:t>50</w:t>
            </w:r>
          </w:p>
        </w:tc>
      </w:tr>
      <w:tr w:rsidR="004E45BC" w:rsidRPr="00A93F40" w14:paraId="7BD75283" w14:textId="77777777" w:rsidTr="00301915">
        <w:trPr>
          <w:trHeight w:val="26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93DDB" w14:textId="127D2D75" w:rsidR="004E45BC" w:rsidRPr="00A93F40" w:rsidRDefault="004E45BC" w:rsidP="006873C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val="fr-FR" w:eastAsia="fr-FR" w:bidi="fr-FR"/>
              </w:rPr>
            </w:pPr>
            <w:r w:rsidRPr="00A93F40"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val="fr-FR" w:eastAsia="fr-FR" w:bidi="fr-FR"/>
              </w:rPr>
              <w:t>Belize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6C8F0" w14:textId="6745A7DC" w:rsidR="004E45BC" w:rsidRPr="00A93F40" w:rsidRDefault="004E45BC" w:rsidP="004E45BC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eastAsia="ja-JP" w:bidi="fr-FR"/>
              </w:rPr>
            </w:pPr>
            <w:r w:rsidRPr="00A93F40"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eastAsia="ja-JP" w:bidi="fr-FR"/>
              </w:rPr>
              <w:t>125</w:t>
            </w:r>
          </w:p>
        </w:tc>
      </w:tr>
    </w:tbl>
    <w:p w14:paraId="22F120E6" w14:textId="77777777" w:rsidR="00DA6E25" w:rsidRPr="00A93F40" w:rsidRDefault="00DA6E25" w:rsidP="00784CE4">
      <w:pPr>
        <w:tabs>
          <w:tab w:val="left" w:pos="284"/>
          <w:tab w:val="left" w:pos="567"/>
          <w:tab w:val="left" w:pos="990"/>
          <w:tab w:val="left" w:pos="7088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right"/>
        <w:rPr>
          <w:rFonts w:ascii="Cambria" w:eastAsia="Times New Roman" w:hAnsi="Cambria" w:cs="Times New Roman"/>
          <w:sz w:val="20"/>
          <w:szCs w:val="20"/>
          <w:lang w:val="fr-FR"/>
        </w:rPr>
      </w:pPr>
    </w:p>
    <w:p w14:paraId="21DCD19F" w14:textId="77777777" w:rsidR="00DA6E25" w:rsidRPr="00A93F40" w:rsidRDefault="00DA6E25" w:rsidP="00DA6E25">
      <w:pPr>
        <w:tabs>
          <w:tab w:val="left" w:pos="284"/>
          <w:tab w:val="left" w:pos="660"/>
          <w:tab w:val="left" w:pos="990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val="fr-FR"/>
        </w:rPr>
      </w:pPr>
    </w:p>
    <w:p w14:paraId="2F628AA4" w14:textId="77777777" w:rsidR="00DA6E25" w:rsidRPr="00A93F40" w:rsidRDefault="00DA6E25" w:rsidP="00DA6E25">
      <w:pPr>
        <w:tabs>
          <w:tab w:val="left" w:pos="567"/>
          <w:tab w:val="left" w:pos="990"/>
          <w:tab w:val="left" w:pos="1134"/>
        </w:tabs>
        <w:autoSpaceDE w:val="0"/>
        <w:autoSpaceDN w:val="0"/>
        <w:adjustRightInd w:val="0"/>
        <w:spacing w:after="0" w:line="240" w:lineRule="auto"/>
        <w:ind w:left="987" w:right="566" w:hanging="278"/>
        <w:jc w:val="both"/>
        <w:rPr>
          <w:rFonts w:ascii="Cambria" w:eastAsia="Times New Roman" w:hAnsi="Cambria" w:cs="Times New Roman"/>
          <w:sz w:val="20"/>
          <w:szCs w:val="20"/>
          <w:lang w:val="fr-FR"/>
        </w:rPr>
      </w:pPr>
    </w:p>
    <w:p w14:paraId="726D9329" w14:textId="77777777" w:rsidR="00DA6E25" w:rsidRPr="00A93F40" w:rsidRDefault="00DA6E25" w:rsidP="00DA6E25">
      <w:pPr>
        <w:tabs>
          <w:tab w:val="left" w:pos="567"/>
          <w:tab w:val="left" w:pos="990"/>
          <w:tab w:val="left" w:pos="1134"/>
        </w:tabs>
        <w:autoSpaceDE w:val="0"/>
        <w:autoSpaceDN w:val="0"/>
        <w:adjustRightInd w:val="0"/>
        <w:spacing w:after="0" w:line="240" w:lineRule="auto"/>
        <w:ind w:left="987" w:right="566" w:hanging="278"/>
        <w:jc w:val="both"/>
        <w:rPr>
          <w:rFonts w:ascii="Cambria" w:eastAsia="Times New Roman" w:hAnsi="Cambria" w:cs="Times New Roman"/>
          <w:sz w:val="20"/>
          <w:szCs w:val="20"/>
          <w:lang w:val="fr-FR"/>
        </w:rPr>
      </w:pPr>
    </w:p>
    <w:p w14:paraId="70B38713" w14:textId="77777777" w:rsidR="00DA6E25" w:rsidRPr="00A93F40" w:rsidRDefault="00DA6E25" w:rsidP="00DA6E25">
      <w:pPr>
        <w:tabs>
          <w:tab w:val="left" w:pos="567"/>
          <w:tab w:val="left" w:pos="990"/>
          <w:tab w:val="left" w:pos="1134"/>
        </w:tabs>
        <w:autoSpaceDE w:val="0"/>
        <w:autoSpaceDN w:val="0"/>
        <w:adjustRightInd w:val="0"/>
        <w:spacing w:after="0" w:line="240" w:lineRule="auto"/>
        <w:ind w:left="987" w:right="566" w:hanging="278"/>
        <w:jc w:val="both"/>
        <w:rPr>
          <w:rFonts w:ascii="Cambria" w:eastAsia="Times New Roman" w:hAnsi="Cambria" w:cs="Times New Roman"/>
          <w:sz w:val="20"/>
          <w:szCs w:val="20"/>
          <w:lang w:val="fr-FR"/>
        </w:rPr>
      </w:pPr>
    </w:p>
    <w:p w14:paraId="3251D56B" w14:textId="77777777" w:rsidR="00DA6E25" w:rsidRPr="00A93F40" w:rsidRDefault="00DA6E25" w:rsidP="00DA6E25">
      <w:pPr>
        <w:tabs>
          <w:tab w:val="left" w:pos="567"/>
          <w:tab w:val="left" w:pos="990"/>
          <w:tab w:val="left" w:pos="1134"/>
        </w:tabs>
        <w:autoSpaceDE w:val="0"/>
        <w:autoSpaceDN w:val="0"/>
        <w:adjustRightInd w:val="0"/>
        <w:spacing w:after="0" w:line="240" w:lineRule="auto"/>
        <w:ind w:left="987" w:right="566" w:hanging="278"/>
        <w:jc w:val="both"/>
        <w:rPr>
          <w:rFonts w:ascii="Cambria" w:eastAsia="Times New Roman" w:hAnsi="Cambria" w:cs="Times New Roman"/>
          <w:sz w:val="20"/>
          <w:szCs w:val="20"/>
          <w:lang w:val="fr-FR"/>
        </w:rPr>
      </w:pPr>
    </w:p>
    <w:p w14:paraId="08754AE8" w14:textId="77777777" w:rsidR="00DA6E25" w:rsidRPr="00A93F40" w:rsidRDefault="00DA6E25" w:rsidP="00DA6E25">
      <w:pPr>
        <w:tabs>
          <w:tab w:val="left" w:pos="567"/>
          <w:tab w:val="left" w:pos="990"/>
          <w:tab w:val="left" w:pos="1134"/>
        </w:tabs>
        <w:autoSpaceDE w:val="0"/>
        <w:autoSpaceDN w:val="0"/>
        <w:adjustRightInd w:val="0"/>
        <w:spacing w:after="60" w:line="240" w:lineRule="auto"/>
        <w:ind w:left="987" w:right="567" w:hanging="278"/>
        <w:jc w:val="both"/>
        <w:rPr>
          <w:rFonts w:ascii="Cambria" w:eastAsia="Times New Roman" w:hAnsi="Cambria" w:cs="Times New Roman"/>
          <w:sz w:val="18"/>
          <w:szCs w:val="18"/>
          <w:lang w:val="fr-FR"/>
        </w:rPr>
      </w:pPr>
    </w:p>
    <w:p w14:paraId="36AE72D1" w14:textId="77777777" w:rsidR="00DA6E25" w:rsidRPr="00A93F40" w:rsidRDefault="00DA6E25" w:rsidP="00DA6E25">
      <w:pPr>
        <w:tabs>
          <w:tab w:val="left" w:pos="567"/>
          <w:tab w:val="left" w:pos="990"/>
          <w:tab w:val="left" w:pos="1134"/>
        </w:tabs>
        <w:autoSpaceDE w:val="0"/>
        <w:autoSpaceDN w:val="0"/>
        <w:adjustRightInd w:val="0"/>
        <w:spacing w:after="60" w:line="240" w:lineRule="auto"/>
        <w:ind w:left="987" w:right="567" w:hanging="278"/>
        <w:jc w:val="both"/>
        <w:rPr>
          <w:rFonts w:ascii="Cambria" w:eastAsia="Times New Roman" w:hAnsi="Cambria" w:cs="Times New Roman"/>
          <w:sz w:val="18"/>
          <w:szCs w:val="18"/>
          <w:lang w:val="fr-FR"/>
        </w:rPr>
      </w:pPr>
    </w:p>
    <w:p w14:paraId="4EC4FCDE" w14:textId="77777777" w:rsidR="00DA6E25" w:rsidRPr="00A93F40" w:rsidRDefault="00DA6E25" w:rsidP="00DA6E25">
      <w:pPr>
        <w:tabs>
          <w:tab w:val="left" w:pos="567"/>
          <w:tab w:val="left" w:pos="990"/>
          <w:tab w:val="left" w:pos="1134"/>
        </w:tabs>
        <w:autoSpaceDE w:val="0"/>
        <w:autoSpaceDN w:val="0"/>
        <w:adjustRightInd w:val="0"/>
        <w:spacing w:after="60" w:line="240" w:lineRule="auto"/>
        <w:ind w:left="987" w:right="567" w:hanging="278"/>
        <w:jc w:val="both"/>
        <w:rPr>
          <w:rFonts w:ascii="Cambria" w:eastAsia="Times New Roman" w:hAnsi="Cambria" w:cs="Times New Roman"/>
          <w:sz w:val="18"/>
          <w:szCs w:val="18"/>
          <w:lang w:val="fr-FR"/>
        </w:rPr>
      </w:pPr>
    </w:p>
    <w:p w14:paraId="1EB9A732" w14:textId="77777777" w:rsidR="00DA6E25" w:rsidRPr="00A93F40" w:rsidRDefault="00DA6E25" w:rsidP="00DA6E25">
      <w:pPr>
        <w:tabs>
          <w:tab w:val="left" w:pos="567"/>
          <w:tab w:val="left" w:pos="990"/>
          <w:tab w:val="left" w:pos="1134"/>
        </w:tabs>
        <w:autoSpaceDE w:val="0"/>
        <w:autoSpaceDN w:val="0"/>
        <w:adjustRightInd w:val="0"/>
        <w:spacing w:after="60" w:line="240" w:lineRule="auto"/>
        <w:ind w:left="987" w:right="567" w:hanging="278"/>
        <w:jc w:val="both"/>
        <w:rPr>
          <w:rFonts w:ascii="Cambria" w:eastAsia="Times New Roman" w:hAnsi="Cambria" w:cs="Times New Roman"/>
          <w:sz w:val="18"/>
          <w:szCs w:val="18"/>
          <w:lang w:val="fr-FR"/>
        </w:rPr>
      </w:pPr>
    </w:p>
    <w:p w14:paraId="3C543448" w14:textId="77777777" w:rsidR="00DA6E25" w:rsidRPr="00A93F40" w:rsidRDefault="00DA6E25" w:rsidP="00DA6E25">
      <w:pPr>
        <w:tabs>
          <w:tab w:val="left" w:pos="567"/>
          <w:tab w:val="left" w:pos="990"/>
          <w:tab w:val="left" w:pos="1134"/>
        </w:tabs>
        <w:autoSpaceDE w:val="0"/>
        <w:autoSpaceDN w:val="0"/>
        <w:adjustRightInd w:val="0"/>
        <w:spacing w:after="60" w:line="240" w:lineRule="auto"/>
        <w:ind w:left="987" w:right="567" w:hanging="278"/>
        <w:jc w:val="both"/>
        <w:rPr>
          <w:rFonts w:ascii="Cambria" w:eastAsia="Times New Roman" w:hAnsi="Cambria" w:cs="Times New Roman"/>
          <w:sz w:val="18"/>
          <w:szCs w:val="18"/>
          <w:lang w:val="fr-FR"/>
        </w:rPr>
      </w:pPr>
    </w:p>
    <w:p w14:paraId="490ED839" w14:textId="77777777" w:rsidR="00DA6E25" w:rsidRPr="00A93F40" w:rsidRDefault="00DA6E25" w:rsidP="00DA6E25">
      <w:pPr>
        <w:tabs>
          <w:tab w:val="left" w:pos="567"/>
          <w:tab w:val="left" w:pos="990"/>
          <w:tab w:val="left" w:pos="1134"/>
        </w:tabs>
        <w:autoSpaceDE w:val="0"/>
        <w:autoSpaceDN w:val="0"/>
        <w:adjustRightInd w:val="0"/>
        <w:spacing w:after="60" w:line="240" w:lineRule="auto"/>
        <w:ind w:left="987" w:right="567" w:hanging="278"/>
        <w:jc w:val="both"/>
        <w:rPr>
          <w:rFonts w:ascii="Cambria" w:eastAsia="Times New Roman" w:hAnsi="Cambria" w:cs="Times New Roman"/>
          <w:sz w:val="18"/>
          <w:szCs w:val="18"/>
          <w:lang w:val="fr-FR"/>
        </w:rPr>
      </w:pPr>
    </w:p>
    <w:p w14:paraId="194633E1" w14:textId="77777777" w:rsidR="00DA6E25" w:rsidRPr="00A93F40" w:rsidRDefault="00DA6E25" w:rsidP="00DA6E25">
      <w:pPr>
        <w:tabs>
          <w:tab w:val="left" w:pos="567"/>
          <w:tab w:val="left" w:pos="990"/>
          <w:tab w:val="left" w:pos="1134"/>
        </w:tabs>
        <w:autoSpaceDE w:val="0"/>
        <w:autoSpaceDN w:val="0"/>
        <w:adjustRightInd w:val="0"/>
        <w:spacing w:after="60" w:line="240" w:lineRule="auto"/>
        <w:ind w:left="987" w:right="567" w:hanging="278"/>
        <w:jc w:val="both"/>
        <w:rPr>
          <w:rFonts w:ascii="Cambria" w:eastAsia="Times New Roman" w:hAnsi="Cambria" w:cs="Times New Roman"/>
          <w:sz w:val="18"/>
          <w:szCs w:val="18"/>
          <w:lang w:val="fr-FR"/>
        </w:rPr>
      </w:pPr>
    </w:p>
    <w:p w14:paraId="184B31A3" w14:textId="77777777" w:rsidR="00DA6E25" w:rsidRPr="00A93F40" w:rsidRDefault="00DA6E25" w:rsidP="00DA6E25">
      <w:pPr>
        <w:tabs>
          <w:tab w:val="left" w:pos="567"/>
          <w:tab w:val="left" w:pos="990"/>
          <w:tab w:val="left" w:pos="1134"/>
        </w:tabs>
        <w:autoSpaceDE w:val="0"/>
        <w:autoSpaceDN w:val="0"/>
        <w:adjustRightInd w:val="0"/>
        <w:spacing w:after="60" w:line="240" w:lineRule="auto"/>
        <w:ind w:left="987" w:right="567" w:hanging="278"/>
        <w:jc w:val="both"/>
        <w:rPr>
          <w:rFonts w:ascii="Cambria" w:eastAsia="Times New Roman" w:hAnsi="Cambria" w:cs="Times New Roman"/>
          <w:sz w:val="18"/>
          <w:szCs w:val="18"/>
          <w:lang w:val="fr-FR"/>
        </w:rPr>
      </w:pPr>
    </w:p>
    <w:p w14:paraId="217D5B40" w14:textId="77777777" w:rsidR="00DA6E25" w:rsidRPr="00A93F40" w:rsidRDefault="00DA6E25" w:rsidP="00DA6E25">
      <w:pPr>
        <w:tabs>
          <w:tab w:val="left" w:pos="567"/>
          <w:tab w:val="left" w:pos="990"/>
          <w:tab w:val="left" w:pos="1134"/>
        </w:tabs>
        <w:autoSpaceDE w:val="0"/>
        <w:autoSpaceDN w:val="0"/>
        <w:adjustRightInd w:val="0"/>
        <w:spacing w:after="60" w:line="240" w:lineRule="auto"/>
        <w:ind w:left="987" w:right="567" w:hanging="278"/>
        <w:jc w:val="both"/>
        <w:rPr>
          <w:rFonts w:ascii="Cambria" w:eastAsia="Times New Roman" w:hAnsi="Cambria" w:cs="Times New Roman"/>
          <w:sz w:val="18"/>
          <w:szCs w:val="18"/>
          <w:lang w:val="fr-FR"/>
        </w:rPr>
      </w:pPr>
    </w:p>
    <w:p w14:paraId="7D82CA1E" w14:textId="77777777" w:rsidR="00DA6E25" w:rsidRPr="00A93F40" w:rsidRDefault="00DA6E25" w:rsidP="00DA6E25">
      <w:pPr>
        <w:tabs>
          <w:tab w:val="left" w:pos="567"/>
          <w:tab w:val="left" w:pos="990"/>
          <w:tab w:val="left" w:pos="1134"/>
        </w:tabs>
        <w:autoSpaceDE w:val="0"/>
        <w:autoSpaceDN w:val="0"/>
        <w:adjustRightInd w:val="0"/>
        <w:spacing w:after="60" w:line="240" w:lineRule="auto"/>
        <w:ind w:left="987" w:right="567" w:hanging="278"/>
        <w:jc w:val="both"/>
        <w:rPr>
          <w:rFonts w:ascii="Cambria" w:eastAsia="Times New Roman" w:hAnsi="Cambria" w:cs="Times New Roman"/>
          <w:sz w:val="18"/>
          <w:szCs w:val="18"/>
          <w:lang w:val="fr-FR"/>
        </w:rPr>
      </w:pPr>
    </w:p>
    <w:p w14:paraId="5B4EE639" w14:textId="77777777" w:rsidR="00DA6E25" w:rsidRPr="00A93F40" w:rsidRDefault="00DA6E25" w:rsidP="00DA6E25">
      <w:pPr>
        <w:tabs>
          <w:tab w:val="left" w:pos="567"/>
          <w:tab w:val="left" w:pos="990"/>
          <w:tab w:val="left" w:pos="1134"/>
        </w:tabs>
        <w:autoSpaceDE w:val="0"/>
        <w:autoSpaceDN w:val="0"/>
        <w:adjustRightInd w:val="0"/>
        <w:spacing w:after="60" w:line="240" w:lineRule="auto"/>
        <w:ind w:left="987" w:right="567" w:hanging="278"/>
        <w:jc w:val="both"/>
        <w:rPr>
          <w:rFonts w:ascii="Cambria" w:eastAsia="Times New Roman" w:hAnsi="Cambria" w:cs="Times New Roman"/>
          <w:sz w:val="18"/>
          <w:szCs w:val="18"/>
          <w:lang w:val="fr-FR"/>
        </w:rPr>
      </w:pPr>
    </w:p>
    <w:p w14:paraId="2CC430E6" w14:textId="77777777" w:rsidR="00DA6E25" w:rsidRPr="00A93F40" w:rsidRDefault="00DA6E25" w:rsidP="00DA6E25">
      <w:pPr>
        <w:tabs>
          <w:tab w:val="left" w:pos="567"/>
          <w:tab w:val="left" w:pos="990"/>
          <w:tab w:val="left" w:pos="1134"/>
        </w:tabs>
        <w:autoSpaceDE w:val="0"/>
        <w:autoSpaceDN w:val="0"/>
        <w:adjustRightInd w:val="0"/>
        <w:spacing w:after="60" w:line="240" w:lineRule="auto"/>
        <w:ind w:left="987" w:right="567" w:hanging="278"/>
        <w:jc w:val="both"/>
        <w:rPr>
          <w:rFonts w:ascii="Cambria" w:eastAsia="Times New Roman" w:hAnsi="Cambria" w:cs="Times New Roman"/>
          <w:sz w:val="18"/>
          <w:szCs w:val="18"/>
          <w:lang w:val="fr-FR"/>
        </w:rPr>
      </w:pPr>
    </w:p>
    <w:p w14:paraId="4D3F6336" w14:textId="77777777" w:rsidR="00DA6E25" w:rsidRPr="00A93F40" w:rsidRDefault="00DA6E25" w:rsidP="00DA6E25">
      <w:pPr>
        <w:tabs>
          <w:tab w:val="left" w:pos="567"/>
          <w:tab w:val="left" w:pos="990"/>
          <w:tab w:val="left" w:pos="1134"/>
        </w:tabs>
        <w:autoSpaceDE w:val="0"/>
        <w:autoSpaceDN w:val="0"/>
        <w:adjustRightInd w:val="0"/>
        <w:spacing w:after="60" w:line="240" w:lineRule="auto"/>
        <w:ind w:left="987" w:right="567" w:hanging="278"/>
        <w:jc w:val="both"/>
        <w:rPr>
          <w:rFonts w:ascii="Cambria" w:eastAsia="Times New Roman" w:hAnsi="Cambria" w:cs="Times New Roman"/>
          <w:sz w:val="18"/>
          <w:szCs w:val="18"/>
          <w:lang w:val="fr-FR"/>
        </w:rPr>
      </w:pPr>
    </w:p>
    <w:p w14:paraId="5C47AE97" w14:textId="77777777" w:rsidR="00DA6E25" w:rsidRPr="00A93F40" w:rsidRDefault="00DA6E25" w:rsidP="00DA6E25">
      <w:pPr>
        <w:tabs>
          <w:tab w:val="left" w:pos="567"/>
          <w:tab w:val="left" w:pos="990"/>
          <w:tab w:val="left" w:pos="1134"/>
        </w:tabs>
        <w:autoSpaceDE w:val="0"/>
        <w:autoSpaceDN w:val="0"/>
        <w:adjustRightInd w:val="0"/>
        <w:spacing w:after="60" w:line="240" w:lineRule="auto"/>
        <w:ind w:left="987" w:right="567" w:hanging="278"/>
        <w:jc w:val="both"/>
        <w:rPr>
          <w:rFonts w:ascii="Cambria" w:eastAsia="Times New Roman" w:hAnsi="Cambria" w:cs="Times New Roman"/>
          <w:sz w:val="18"/>
          <w:szCs w:val="18"/>
          <w:lang w:val="fr-FR"/>
        </w:rPr>
      </w:pPr>
    </w:p>
    <w:p w14:paraId="16C76260" w14:textId="0AC61DC8" w:rsidR="00DA6E25" w:rsidRPr="006873C6" w:rsidRDefault="00DA6E25" w:rsidP="006873C6">
      <w:pPr>
        <w:tabs>
          <w:tab w:val="left" w:pos="567"/>
          <w:tab w:val="left" w:pos="1276"/>
        </w:tabs>
        <w:autoSpaceDE w:val="0"/>
        <w:autoSpaceDN w:val="0"/>
        <w:adjustRightInd w:val="0"/>
        <w:spacing w:after="60" w:line="240" w:lineRule="auto"/>
        <w:ind w:left="1134" w:right="567" w:hanging="425"/>
        <w:jc w:val="both"/>
        <w:rPr>
          <w:rFonts w:ascii="Cambria" w:eastAsia="Times New Roman" w:hAnsi="Cambria" w:cs="Times New Roman"/>
          <w:sz w:val="16"/>
          <w:szCs w:val="16"/>
          <w:lang w:val="fr-FR"/>
        </w:rPr>
      </w:pPr>
      <w:r w:rsidRPr="006873C6">
        <w:rPr>
          <w:rFonts w:ascii="Cambria" w:eastAsia="Times New Roman" w:hAnsi="Cambria" w:cs="Times New Roman"/>
          <w:sz w:val="16"/>
          <w:szCs w:val="16"/>
          <w:lang w:val="fr-FR"/>
        </w:rPr>
        <w:t>(1)</w:t>
      </w:r>
      <w:r w:rsidRPr="006873C6">
        <w:rPr>
          <w:rFonts w:ascii="Cambria" w:eastAsia="Times New Roman" w:hAnsi="Cambria" w:cs="Times New Roman"/>
          <w:sz w:val="16"/>
          <w:szCs w:val="16"/>
          <w:lang w:val="fr-FR"/>
        </w:rPr>
        <w:tab/>
        <w:t xml:space="preserve">La prise totale pour la période de gestion de </w:t>
      </w:r>
      <w:r w:rsidR="005044E3" w:rsidRPr="006873C6">
        <w:rPr>
          <w:rFonts w:ascii="Cambria" w:eastAsia="Times New Roman" w:hAnsi="Cambria" w:cs="Times New Roman"/>
          <w:sz w:val="16"/>
          <w:szCs w:val="16"/>
          <w:lang w:val="fr-FR"/>
        </w:rPr>
        <w:t>cinq</w:t>
      </w:r>
      <w:r w:rsidRPr="006873C6">
        <w:rPr>
          <w:rFonts w:ascii="Cambria" w:eastAsia="Times New Roman" w:hAnsi="Cambria" w:cs="Times New Roman"/>
          <w:sz w:val="16"/>
          <w:szCs w:val="16"/>
          <w:lang w:val="fr-FR"/>
        </w:rPr>
        <w:t xml:space="preserve"> ans de 2018 à 202</w:t>
      </w:r>
      <w:r w:rsidR="005044E3" w:rsidRPr="006873C6">
        <w:rPr>
          <w:rFonts w:ascii="Cambria" w:eastAsia="Times New Roman" w:hAnsi="Cambria" w:cs="Times New Roman"/>
          <w:sz w:val="16"/>
          <w:szCs w:val="16"/>
          <w:lang w:val="fr-FR"/>
        </w:rPr>
        <w:t>2</w:t>
      </w:r>
      <w:r w:rsidRPr="006873C6">
        <w:rPr>
          <w:rFonts w:ascii="Cambria" w:eastAsia="Times New Roman" w:hAnsi="Cambria" w:cs="Times New Roman"/>
          <w:sz w:val="16"/>
          <w:szCs w:val="16"/>
          <w:lang w:val="fr-FR"/>
        </w:rPr>
        <w:t xml:space="preserve"> ne devra pas dépasser</w:t>
      </w:r>
      <w:r w:rsidR="005044E3" w:rsidRPr="006873C6">
        <w:rPr>
          <w:rFonts w:ascii="Cambria" w:eastAsia="Times New Roman" w:hAnsi="Cambria" w:cs="Times New Roman"/>
          <w:sz w:val="16"/>
          <w:szCs w:val="16"/>
          <w:lang w:val="fr-FR"/>
        </w:rPr>
        <w:t>70</w:t>
      </w:r>
      <w:r w:rsidRPr="006873C6">
        <w:rPr>
          <w:rFonts w:ascii="Cambria" w:eastAsia="Times New Roman" w:hAnsi="Cambria" w:cs="Times New Roman"/>
          <w:sz w:val="16"/>
          <w:szCs w:val="16"/>
          <w:lang w:val="fr-FR"/>
        </w:rPr>
        <w:t>.000</w:t>
      </w:r>
      <w:r w:rsidR="005044E3" w:rsidRPr="006873C6">
        <w:rPr>
          <w:rFonts w:ascii="Cambria" w:eastAsia="Times New Roman" w:hAnsi="Cambria" w:cs="Times New Roman"/>
          <w:sz w:val="16"/>
          <w:szCs w:val="16"/>
          <w:lang w:val="fr-FR"/>
        </w:rPr>
        <w:t> </w:t>
      </w:r>
      <w:r w:rsidRPr="006873C6">
        <w:rPr>
          <w:rFonts w:ascii="Cambria" w:eastAsia="Times New Roman" w:hAnsi="Cambria" w:cs="Times New Roman"/>
          <w:sz w:val="16"/>
          <w:szCs w:val="16"/>
          <w:lang w:val="fr-FR"/>
        </w:rPr>
        <w:t>t (14.000</w:t>
      </w:r>
      <w:r w:rsidR="006873C6">
        <w:rPr>
          <w:rFonts w:ascii="Cambria" w:eastAsia="Times New Roman" w:hAnsi="Cambria" w:cs="Times New Roman"/>
          <w:sz w:val="16"/>
          <w:szCs w:val="16"/>
          <w:lang w:val="fr-FR"/>
        </w:rPr>
        <w:t> </w:t>
      </w:r>
      <w:r w:rsidRPr="006873C6">
        <w:rPr>
          <w:rFonts w:ascii="Cambria" w:eastAsia="Times New Roman" w:hAnsi="Cambria" w:cs="Times New Roman"/>
          <w:sz w:val="16"/>
          <w:szCs w:val="16"/>
          <w:lang w:val="fr-FR"/>
        </w:rPr>
        <w:t xml:space="preserve">t x </w:t>
      </w:r>
      <w:r w:rsidR="005044E3" w:rsidRPr="006873C6">
        <w:rPr>
          <w:rFonts w:ascii="Cambria" w:eastAsia="Times New Roman" w:hAnsi="Cambria" w:cs="Times New Roman"/>
          <w:sz w:val="16"/>
          <w:szCs w:val="16"/>
          <w:lang w:val="fr-FR"/>
        </w:rPr>
        <w:t>5</w:t>
      </w:r>
      <w:r w:rsidRPr="006873C6">
        <w:rPr>
          <w:rFonts w:ascii="Cambria" w:eastAsia="Times New Roman" w:hAnsi="Cambria" w:cs="Times New Roman"/>
          <w:sz w:val="16"/>
          <w:szCs w:val="16"/>
          <w:lang w:val="fr-FR"/>
        </w:rPr>
        <w:t xml:space="preserve">). Si la prise annuelle totale de l’une des </w:t>
      </w:r>
      <w:r w:rsidR="005044E3" w:rsidRPr="006873C6">
        <w:rPr>
          <w:rFonts w:ascii="Cambria" w:eastAsia="Times New Roman" w:hAnsi="Cambria" w:cs="Times New Roman"/>
          <w:sz w:val="16"/>
          <w:szCs w:val="16"/>
          <w:lang w:val="fr-FR"/>
        </w:rPr>
        <w:t xml:space="preserve">cinq </w:t>
      </w:r>
      <w:r w:rsidRPr="006873C6">
        <w:rPr>
          <w:rFonts w:ascii="Cambria" w:eastAsia="Times New Roman" w:hAnsi="Cambria" w:cs="Times New Roman"/>
          <w:sz w:val="16"/>
          <w:szCs w:val="16"/>
          <w:lang w:val="fr-FR"/>
        </w:rPr>
        <w:t>années dépasse 14.000 t, le ou les TAC pour les années suivantes devr</w:t>
      </w:r>
      <w:r w:rsidR="00784CE4" w:rsidRPr="006873C6">
        <w:rPr>
          <w:rFonts w:ascii="Cambria" w:eastAsia="Times New Roman" w:hAnsi="Cambria" w:cs="Times New Roman"/>
          <w:sz w:val="16"/>
          <w:szCs w:val="16"/>
          <w:lang w:val="fr-FR"/>
        </w:rPr>
        <w:t>ont</w:t>
      </w:r>
      <w:r w:rsidRPr="006873C6">
        <w:rPr>
          <w:rFonts w:ascii="Cambria" w:eastAsia="Times New Roman" w:hAnsi="Cambria" w:cs="Times New Roman"/>
          <w:sz w:val="16"/>
          <w:szCs w:val="16"/>
          <w:lang w:val="fr-FR"/>
        </w:rPr>
        <w:t xml:space="preserve"> être ajusté</w:t>
      </w:r>
      <w:r w:rsidR="00784CE4" w:rsidRPr="006873C6">
        <w:rPr>
          <w:rFonts w:ascii="Cambria" w:eastAsia="Times New Roman" w:hAnsi="Cambria" w:cs="Times New Roman"/>
          <w:sz w:val="16"/>
          <w:szCs w:val="16"/>
          <w:lang w:val="fr-FR"/>
        </w:rPr>
        <w:t>s</w:t>
      </w:r>
      <w:r w:rsidRPr="006873C6">
        <w:rPr>
          <w:rFonts w:ascii="Cambria" w:eastAsia="Times New Roman" w:hAnsi="Cambria" w:cs="Times New Roman"/>
          <w:sz w:val="16"/>
          <w:szCs w:val="16"/>
          <w:lang w:val="fr-FR"/>
        </w:rPr>
        <w:t xml:space="preserve"> afin de garantir que le total </w:t>
      </w:r>
      <w:r w:rsidR="001525F6" w:rsidRPr="006873C6">
        <w:rPr>
          <w:rFonts w:ascii="Cambria" w:eastAsia="Times New Roman" w:hAnsi="Cambria" w:cs="Times New Roman"/>
          <w:sz w:val="16"/>
          <w:szCs w:val="16"/>
          <w:lang w:val="fr-FR"/>
        </w:rPr>
        <w:t>des</w:t>
      </w:r>
      <w:r w:rsidRPr="006873C6">
        <w:rPr>
          <w:rFonts w:ascii="Cambria" w:eastAsia="Times New Roman" w:hAnsi="Cambria" w:cs="Times New Roman"/>
          <w:sz w:val="16"/>
          <w:szCs w:val="16"/>
          <w:lang w:val="fr-FR"/>
        </w:rPr>
        <w:t xml:space="preserve"> </w:t>
      </w:r>
      <w:r w:rsidR="005044E3" w:rsidRPr="006873C6">
        <w:rPr>
          <w:rFonts w:ascii="Cambria" w:eastAsia="Times New Roman" w:hAnsi="Cambria" w:cs="Times New Roman"/>
          <w:sz w:val="16"/>
          <w:szCs w:val="16"/>
          <w:lang w:val="fr-FR"/>
        </w:rPr>
        <w:t xml:space="preserve">cinq </w:t>
      </w:r>
      <w:r w:rsidRPr="006873C6">
        <w:rPr>
          <w:rFonts w:ascii="Cambria" w:eastAsia="Times New Roman" w:hAnsi="Cambria" w:cs="Times New Roman"/>
          <w:sz w:val="16"/>
          <w:szCs w:val="16"/>
          <w:lang w:val="fr-FR"/>
        </w:rPr>
        <w:t>an</w:t>
      </w:r>
      <w:r w:rsidR="001525F6" w:rsidRPr="006873C6">
        <w:rPr>
          <w:rFonts w:ascii="Cambria" w:eastAsia="Times New Roman" w:hAnsi="Cambria" w:cs="Times New Roman"/>
          <w:sz w:val="16"/>
          <w:szCs w:val="16"/>
          <w:lang w:val="fr-FR"/>
        </w:rPr>
        <w:t>nées</w:t>
      </w:r>
      <w:r w:rsidRPr="006873C6">
        <w:rPr>
          <w:rFonts w:ascii="Cambria" w:eastAsia="Times New Roman" w:hAnsi="Cambria" w:cs="Times New Roman"/>
          <w:sz w:val="16"/>
          <w:szCs w:val="16"/>
          <w:lang w:val="fr-FR"/>
        </w:rPr>
        <w:t xml:space="preserve"> ne dépasse pas </w:t>
      </w:r>
      <w:r w:rsidR="005044E3" w:rsidRPr="006873C6">
        <w:rPr>
          <w:rFonts w:ascii="Cambria" w:eastAsia="Times New Roman" w:hAnsi="Cambria" w:cs="Times New Roman"/>
          <w:sz w:val="16"/>
          <w:szCs w:val="16"/>
          <w:lang w:val="fr-FR"/>
        </w:rPr>
        <w:t xml:space="preserve">70.000 </w:t>
      </w:r>
      <w:r w:rsidRPr="006873C6">
        <w:rPr>
          <w:rFonts w:ascii="Cambria" w:eastAsia="Times New Roman" w:hAnsi="Cambria" w:cs="Times New Roman"/>
          <w:sz w:val="16"/>
          <w:szCs w:val="16"/>
          <w:lang w:val="fr-FR"/>
        </w:rPr>
        <w:t>t. En général, ces ajustements devront être réalisés par une réduction au prorata du quota de chaque Partie contractante et Partie, Entité ou Entité de pêche non contractante coopérante (« CPC »).</w:t>
      </w:r>
    </w:p>
    <w:p w14:paraId="7A15CA46" w14:textId="377006CC" w:rsidR="00DA6E25" w:rsidRPr="006873C6" w:rsidRDefault="00DA6E25" w:rsidP="006873C6">
      <w:pPr>
        <w:tabs>
          <w:tab w:val="left" w:pos="567"/>
          <w:tab w:val="left" w:pos="1276"/>
        </w:tabs>
        <w:autoSpaceDE w:val="0"/>
        <w:autoSpaceDN w:val="0"/>
        <w:adjustRightInd w:val="0"/>
        <w:spacing w:after="60" w:line="240" w:lineRule="auto"/>
        <w:ind w:left="1134" w:right="567" w:hanging="425"/>
        <w:jc w:val="both"/>
        <w:rPr>
          <w:rFonts w:ascii="Cambria" w:eastAsia="Times New Roman" w:hAnsi="Cambria" w:cs="Times New Roman"/>
          <w:sz w:val="16"/>
          <w:szCs w:val="16"/>
          <w:lang w:val="fr-FR"/>
        </w:rPr>
      </w:pPr>
      <w:r w:rsidRPr="006873C6">
        <w:rPr>
          <w:rFonts w:ascii="Cambria" w:eastAsia="Times New Roman" w:hAnsi="Cambria" w:cs="Times New Roman"/>
          <w:sz w:val="16"/>
          <w:szCs w:val="16"/>
          <w:lang w:val="fr-FR"/>
        </w:rPr>
        <w:t>(2)</w:t>
      </w:r>
      <w:r w:rsidRPr="006873C6">
        <w:rPr>
          <w:rFonts w:ascii="Cambria" w:eastAsia="Times New Roman" w:hAnsi="Cambria" w:cs="Times New Roman"/>
          <w:sz w:val="16"/>
          <w:szCs w:val="16"/>
          <w:lang w:val="fr-FR"/>
        </w:rPr>
        <w:tab/>
        <w:t xml:space="preserve">Le Brésil pourrait capturer jusqu’à 200 t de sa limite de capture annuelle dans la zone comprise entre 5º de latitude </w:t>
      </w:r>
      <w:r w:rsidR="0050552C" w:rsidRPr="006873C6">
        <w:rPr>
          <w:rFonts w:ascii="Cambria" w:eastAsia="Times New Roman" w:hAnsi="Cambria" w:cs="Times New Roman"/>
          <w:sz w:val="16"/>
          <w:szCs w:val="16"/>
          <w:lang w:val="fr-FR"/>
        </w:rPr>
        <w:t xml:space="preserve">Nord </w:t>
      </w:r>
      <w:r w:rsidRPr="006873C6">
        <w:rPr>
          <w:rFonts w:ascii="Cambria" w:eastAsia="Times New Roman" w:hAnsi="Cambria" w:cs="Times New Roman"/>
          <w:sz w:val="16"/>
          <w:szCs w:val="16"/>
          <w:lang w:val="fr-FR"/>
        </w:rPr>
        <w:t>et 15º de latitude</w:t>
      </w:r>
      <w:r w:rsidR="0050552C" w:rsidRPr="006873C6">
        <w:rPr>
          <w:rFonts w:ascii="Cambria" w:eastAsia="Times New Roman" w:hAnsi="Cambria" w:cs="Times New Roman"/>
          <w:sz w:val="16"/>
          <w:szCs w:val="16"/>
          <w:lang w:val="fr-FR"/>
        </w:rPr>
        <w:t xml:space="preserve"> Nord</w:t>
      </w:r>
      <w:r w:rsidRPr="006873C6">
        <w:rPr>
          <w:rFonts w:ascii="Cambria" w:eastAsia="Times New Roman" w:hAnsi="Cambria" w:cs="Times New Roman"/>
          <w:sz w:val="16"/>
          <w:szCs w:val="16"/>
          <w:lang w:val="fr-FR"/>
        </w:rPr>
        <w:t>.</w:t>
      </w:r>
    </w:p>
    <w:p w14:paraId="30FDD19F" w14:textId="411E0DE4" w:rsidR="00DA6E25" w:rsidRPr="006873C6" w:rsidRDefault="00DA6E25" w:rsidP="006873C6">
      <w:pPr>
        <w:tabs>
          <w:tab w:val="left" w:pos="567"/>
          <w:tab w:val="left" w:pos="1276"/>
        </w:tabs>
        <w:autoSpaceDE w:val="0"/>
        <w:autoSpaceDN w:val="0"/>
        <w:adjustRightInd w:val="0"/>
        <w:spacing w:after="60" w:line="240" w:lineRule="auto"/>
        <w:ind w:left="1134" w:right="567" w:hanging="425"/>
        <w:jc w:val="both"/>
        <w:rPr>
          <w:rFonts w:ascii="Cambria" w:eastAsia="Times New Roman" w:hAnsi="Cambria" w:cs="Times New Roman"/>
          <w:sz w:val="16"/>
          <w:szCs w:val="16"/>
          <w:lang w:val="fr-FR"/>
        </w:rPr>
      </w:pPr>
      <w:r w:rsidRPr="006873C6">
        <w:rPr>
          <w:rFonts w:ascii="Cambria" w:eastAsia="Times New Roman" w:hAnsi="Cambria" w:cs="Times New Roman"/>
          <w:sz w:val="16"/>
          <w:szCs w:val="16"/>
          <w:lang w:val="fr-FR"/>
        </w:rPr>
        <w:lastRenderedPageBreak/>
        <w:t>(3)</w:t>
      </w:r>
      <w:r w:rsidRPr="006873C6">
        <w:rPr>
          <w:rFonts w:ascii="Cambria" w:eastAsia="Times New Roman" w:hAnsi="Cambria" w:cs="Times New Roman"/>
          <w:sz w:val="16"/>
          <w:szCs w:val="16"/>
          <w:lang w:val="fr-FR"/>
        </w:rPr>
        <w:tab/>
        <w:t>La sous-consommation du Japon, des États-Unis et du Taipei chinois en 2016 pourrait être reportée à 2018, à hauteur de 600 t, 100 t et 300 t respectivement, en plus de leurs quotas spécifiés dans ce tableau. Ces CPC pourraient également reporter leurs parties non utilisées en 2017-202</w:t>
      </w:r>
      <w:r w:rsidR="00DC2EA1" w:rsidRPr="006873C6">
        <w:rPr>
          <w:rFonts w:ascii="Cambria" w:eastAsia="Times New Roman" w:hAnsi="Cambria" w:cs="Times New Roman"/>
          <w:sz w:val="16"/>
          <w:szCs w:val="16"/>
          <w:lang w:val="fr-FR"/>
        </w:rPr>
        <w:t>2</w:t>
      </w:r>
      <w:r w:rsidRPr="006873C6">
        <w:rPr>
          <w:rFonts w:ascii="Cambria" w:eastAsia="Times New Roman" w:hAnsi="Cambria" w:cs="Times New Roman"/>
          <w:sz w:val="16"/>
          <w:szCs w:val="16"/>
          <w:lang w:val="fr-FR"/>
        </w:rPr>
        <w:t>, mais ces quantités reportées chaque année ne devront pas dépasser les quantités spécifiées ici.</w:t>
      </w:r>
    </w:p>
    <w:p w14:paraId="145F93B6" w14:textId="77777777" w:rsidR="00DA6E25" w:rsidRPr="00A93F40" w:rsidRDefault="00DA6E25" w:rsidP="00DA6E25">
      <w:pPr>
        <w:tabs>
          <w:tab w:val="left" w:pos="567"/>
          <w:tab w:val="left" w:pos="990"/>
          <w:tab w:val="left" w:pos="1134"/>
        </w:tabs>
        <w:autoSpaceDE w:val="0"/>
        <w:autoSpaceDN w:val="0"/>
        <w:adjustRightInd w:val="0"/>
        <w:spacing w:after="0" w:line="240" w:lineRule="auto"/>
        <w:ind w:left="278" w:right="566" w:hanging="278"/>
        <w:jc w:val="both"/>
        <w:rPr>
          <w:rFonts w:ascii="Cambria" w:eastAsia="Times New Roman" w:hAnsi="Cambria" w:cs="Times New Roman"/>
          <w:sz w:val="18"/>
          <w:szCs w:val="18"/>
          <w:lang w:val="fr-FR"/>
        </w:rPr>
      </w:pPr>
    </w:p>
    <w:p w14:paraId="108C28CF" w14:textId="77FFEBB7" w:rsidR="00BE4F0F" w:rsidRPr="00A93F40" w:rsidRDefault="00BE4F0F" w:rsidP="006873C6">
      <w:pPr>
        <w:autoSpaceDE w:val="0"/>
        <w:autoSpaceDN w:val="0"/>
        <w:adjustRightInd w:val="0"/>
        <w:spacing w:after="0" w:line="240" w:lineRule="auto"/>
        <w:ind w:left="851" w:right="566"/>
        <w:jc w:val="both"/>
        <w:rPr>
          <w:rFonts w:ascii="Cambria" w:eastAsia="Times New Roman" w:hAnsi="Cambria" w:cs="Times New Roman"/>
          <w:sz w:val="20"/>
          <w:szCs w:val="20"/>
          <w:lang w:val="fr-FR"/>
        </w:rPr>
      </w:pPr>
      <w:r w:rsidRPr="00A93F40">
        <w:rPr>
          <w:rFonts w:ascii="Cambria" w:eastAsia="Times New Roman" w:hAnsi="Cambria" w:cs="Times New Roman"/>
          <w:sz w:val="20"/>
          <w:szCs w:val="20"/>
          <w:lang w:val="fr-FR"/>
        </w:rPr>
        <w:t>Les transferts devront être autorisés conformément aux dispositions du paragraphe 5.</w:t>
      </w:r>
      <w:r w:rsidR="004E45BC" w:rsidRPr="00A93F40">
        <w:rPr>
          <w:rFonts w:ascii="Cambria" w:eastAsia="Times New Roman" w:hAnsi="Cambria" w:cs="Times New Roman"/>
          <w:sz w:val="20"/>
          <w:szCs w:val="20"/>
          <w:lang w:val="fr-FR"/>
        </w:rPr>
        <w:t> »</w:t>
      </w:r>
    </w:p>
    <w:p w14:paraId="7F722C09" w14:textId="77777777" w:rsidR="00DA6E25" w:rsidRPr="00A93F40" w:rsidRDefault="00DA6E25" w:rsidP="00DA6E25">
      <w:pPr>
        <w:spacing w:after="0" w:line="240" w:lineRule="auto"/>
        <w:ind w:left="426" w:hanging="426"/>
        <w:contextualSpacing/>
        <w:jc w:val="both"/>
        <w:rPr>
          <w:rFonts w:ascii="Cambria" w:hAnsi="Cambria"/>
          <w:sz w:val="20"/>
          <w:szCs w:val="20"/>
          <w:lang w:val="fr-FR"/>
        </w:rPr>
      </w:pPr>
    </w:p>
    <w:p w14:paraId="67B30C07" w14:textId="0B27186C" w:rsidR="00BE4F0F" w:rsidRPr="00A93F40" w:rsidRDefault="00BE4F0F" w:rsidP="006873C6">
      <w:pPr>
        <w:spacing w:after="0" w:line="240" w:lineRule="auto"/>
        <w:ind w:left="851" w:hanging="426"/>
        <w:contextualSpacing/>
        <w:jc w:val="both"/>
        <w:rPr>
          <w:rFonts w:ascii="Cambria" w:hAnsi="Cambria"/>
          <w:sz w:val="20"/>
          <w:szCs w:val="20"/>
          <w:lang w:val="fr-FR"/>
        </w:rPr>
      </w:pPr>
      <w:r w:rsidRPr="00A93F40">
        <w:rPr>
          <w:rFonts w:ascii="Cambria" w:hAnsi="Cambria"/>
          <w:sz w:val="20"/>
          <w:szCs w:val="20"/>
          <w:lang w:val="fr-FR"/>
        </w:rPr>
        <w:t xml:space="preserve">B. </w:t>
      </w:r>
      <w:r w:rsidRPr="00A93F40">
        <w:rPr>
          <w:rFonts w:ascii="Cambria" w:hAnsi="Cambria"/>
          <w:sz w:val="20"/>
          <w:szCs w:val="20"/>
          <w:lang w:val="fr-FR"/>
        </w:rPr>
        <w:tab/>
        <w:t xml:space="preserve">Le </w:t>
      </w:r>
      <w:r w:rsidRPr="006873C6">
        <w:rPr>
          <w:rFonts w:ascii="Cambria" w:eastAsia="Times New Roman" w:hAnsi="Cambria" w:cs="Times New Roman"/>
          <w:sz w:val="20"/>
          <w:szCs w:val="20"/>
          <w:lang w:val="fr-FR"/>
        </w:rPr>
        <w:t>paragraphe</w:t>
      </w:r>
      <w:r w:rsidRPr="00A93F40">
        <w:rPr>
          <w:rFonts w:ascii="Cambria" w:hAnsi="Cambria"/>
          <w:sz w:val="20"/>
          <w:szCs w:val="20"/>
          <w:lang w:val="fr-FR"/>
        </w:rPr>
        <w:t xml:space="preserve"> 2 devra être remplacé par :</w:t>
      </w:r>
    </w:p>
    <w:p w14:paraId="40B16903" w14:textId="77777777" w:rsidR="00DA6E25" w:rsidRPr="00A93F40" w:rsidRDefault="00DA6E25" w:rsidP="0038326C">
      <w:pPr>
        <w:spacing w:after="0" w:line="240" w:lineRule="auto"/>
        <w:ind w:left="851" w:hanging="426"/>
        <w:contextualSpacing/>
        <w:jc w:val="both"/>
        <w:rPr>
          <w:rFonts w:ascii="Cambria" w:hAnsi="Cambria"/>
          <w:sz w:val="20"/>
          <w:szCs w:val="20"/>
          <w:lang w:val="fr-FR"/>
        </w:rPr>
      </w:pPr>
    </w:p>
    <w:p w14:paraId="6B63320E" w14:textId="54A8FB4A" w:rsidR="00BE4F0F" w:rsidRPr="00A93F40" w:rsidRDefault="00BE4F0F" w:rsidP="0038326C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1276" w:hanging="425"/>
        <w:contextualSpacing/>
        <w:jc w:val="both"/>
        <w:rPr>
          <w:rFonts w:ascii="Cambria" w:eastAsia="Times New Roman" w:hAnsi="Cambria" w:cs="Times New Roman"/>
          <w:sz w:val="20"/>
          <w:szCs w:val="20"/>
          <w:lang w:val="fr-FR" w:eastAsia="en-GB"/>
        </w:rPr>
      </w:pPr>
      <w:r w:rsidRPr="00A93F40">
        <w:rPr>
          <w:rFonts w:ascii="Cambria" w:eastAsia="Times New Roman" w:hAnsi="Cambria" w:cs="Times New Roman"/>
          <w:sz w:val="20"/>
          <w:szCs w:val="20"/>
          <w:lang w:val="fr-FR" w:eastAsia="en-GB"/>
        </w:rPr>
        <w:t>« 2</w:t>
      </w:r>
      <w:r w:rsidRPr="00A93F40">
        <w:rPr>
          <w:rFonts w:ascii="Cambria" w:eastAsia="Times New Roman" w:hAnsi="Cambria" w:cs="Times New Roman"/>
          <w:b/>
          <w:sz w:val="20"/>
          <w:szCs w:val="20"/>
          <w:lang w:val="fr-FR" w:eastAsia="en-GB"/>
        </w:rPr>
        <w:t>.</w:t>
      </w:r>
      <w:r w:rsidRPr="00A93F40">
        <w:rPr>
          <w:rFonts w:ascii="Cambria" w:eastAsia="Times New Roman" w:hAnsi="Cambria" w:cs="Times New Roman"/>
          <w:sz w:val="20"/>
          <w:szCs w:val="20"/>
          <w:lang w:val="fr-FR" w:eastAsia="en-GB"/>
        </w:rPr>
        <w:tab/>
        <w:t xml:space="preserve">Toute partie non utilisée ou excédentaire du quota/limite de capture annuel pourra être ajoutée ou devra être </w:t>
      </w:r>
      <w:r w:rsidRPr="00A93F40">
        <w:rPr>
          <w:rFonts w:ascii="Cambria" w:eastAsia="Times New Roman" w:hAnsi="Cambria" w:cs="Times New Roman"/>
          <w:sz w:val="20"/>
          <w:szCs w:val="20"/>
          <w:lang w:val="fr-FR"/>
        </w:rPr>
        <w:t>déduite</w:t>
      </w:r>
      <w:r w:rsidRPr="00A93F40">
        <w:rPr>
          <w:rFonts w:ascii="Cambria" w:eastAsia="Times New Roman" w:hAnsi="Cambria" w:cs="Times New Roman"/>
          <w:sz w:val="20"/>
          <w:szCs w:val="20"/>
          <w:lang w:val="fr-FR" w:eastAsia="en-GB"/>
        </w:rPr>
        <w:t>, selon le cas, du quota/limite de capture respectif pendant ou avant l'année d'ajustement de la façon suivante pour l’espadon de l’Atlantique Sud :</w:t>
      </w:r>
    </w:p>
    <w:p w14:paraId="57842FE1" w14:textId="77777777" w:rsidR="00BE4F0F" w:rsidRPr="00A93F40" w:rsidRDefault="00BE4F0F" w:rsidP="00BE4F0F">
      <w:pPr>
        <w:spacing w:after="0" w:line="240" w:lineRule="auto"/>
        <w:ind w:left="284" w:hanging="284"/>
        <w:contextualSpacing/>
        <w:jc w:val="both"/>
        <w:rPr>
          <w:rFonts w:ascii="Cambria" w:eastAsia="Times New Roman" w:hAnsi="Cambria" w:cs="Times New Roman"/>
          <w:sz w:val="20"/>
          <w:szCs w:val="20"/>
          <w:lang w:val="fr-FR" w:eastAsia="en-GB"/>
        </w:rPr>
      </w:pPr>
    </w:p>
    <w:tbl>
      <w:tblPr>
        <w:tblpPr w:leftFromText="180" w:rightFromText="180" w:vertAnchor="text" w:horzAnchor="margin" w:tblpXSpec="center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2838"/>
      </w:tblGrid>
      <w:tr w:rsidR="00BE4F0F" w:rsidRPr="00A93F40" w14:paraId="781D3787" w14:textId="77777777" w:rsidTr="00301915">
        <w:trPr>
          <w:trHeight w:val="137"/>
        </w:trPr>
        <w:tc>
          <w:tcPr>
            <w:tcW w:w="2515" w:type="dxa"/>
            <w:shd w:val="clear" w:color="auto" w:fill="auto"/>
            <w:vAlign w:val="center"/>
          </w:tcPr>
          <w:p w14:paraId="052DC10E" w14:textId="77777777" w:rsidR="00BE4F0F" w:rsidRPr="00A93F40" w:rsidRDefault="00BE4F0F" w:rsidP="00301915">
            <w:pPr>
              <w:tabs>
                <w:tab w:val="left" w:pos="284"/>
                <w:tab w:val="left" w:pos="440"/>
                <w:tab w:val="left" w:pos="567"/>
                <w:tab w:val="left" w:pos="660"/>
                <w:tab w:val="left" w:pos="990"/>
              </w:tabs>
              <w:spacing w:after="0" w:line="240" w:lineRule="auto"/>
              <w:contextualSpacing/>
              <w:jc w:val="center"/>
              <w:rPr>
                <w:rFonts w:ascii="Cambria" w:eastAsia="Calibri" w:hAnsi="Cambria" w:cs="Times New Roman"/>
                <w:i/>
                <w:sz w:val="20"/>
                <w:szCs w:val="20"/>
                <w:lang w:eastAsia="fr-FR" w:bidi="fr-FR"/>
              </w:rPr>
            </w:pPr>
            <w:proofErr w:type="spellStart"/>
            <w:r w:rsidRPr="00A93F40">
              <w:rPr>
                <w:rFonts w:ascii="Cambria" w:eastAsia="Calibri" w:hAnsi="Cambria" w:cs="Times New Roman"/>
                <w:i/>
                <w:sz w:val="20"/>
                <w:szCs w:val="20"/>
                <w:lang w:eastAsia="fr-FR" w:bidi="fr-FR"/>
              </w:rPr>
              <w:t>Année</w:t>
            </w:r>
            <w:proofErr w:type="spellEnd"/>
            <w:r w:rsidRPr="00A93F40">
              <w:rPr>
                <w:rFonts w:ascii="Cambria" w:eastAsia="Calibri" w:hAnsi="Cambria" w:cs="Times New Roman"/>
                <w:i/>
                <w:sz w:val="20"/>
                <w:szCs w:val="20"/>
                <w:lang w:eastAsia="fr-FR" w:bidi="fr-FR"/>
              </w:rPr>
              <w:t xml:space="preserve"> de capture</w:t>
            </w:r>
          </w:p>
        </w:tc>
        <w:tc>
          <w:tcPr>
            <w:tcW w:w="2838" w:type="dxa"/>
            <w:shd w:val="clear" w:color="auto" w:fill="auto"/>
            <w:vAlign w:val="center"/>
          </w:tcPr>
          <w:p w14:paraId="4753E24B" w14:textId="77777777" w:rsidR="00BE4F0F" w:rsidRPr="00A93F40" w:rsidRDefault="00BE4F0F" w:rsidP="00301915">
            <w:pPr>
              <w:tabs>
                <w:tab w:val="left" w:pos="284"/>
                <w:tab w:val="left" w:pos="440"/>
                <w:tab w:val="left" w:pos="567"/>
                <w:tab w:val="left" w:pos="660"/>
                <w:tab w:val="left" w:pos="990"/>
              </w:tabs>
              <w:spacing w:after="0" w:line="240" w:lineRule="auto"/>
              <w:contextualSpacing/>
              <w:jc w:val="center"/>
              <w:rPr>
                <w:rFonts w:ascii="Cambria" w:eastAsia="Calibri" w:hAnsi="Cambria" w:cs="Times New Roman"/>
                <w:i/>
                <w:sz w:val="20"/>
                <w:szCs w:val="20"/>
                <w:lang w:eastAsia="fr-FR" w:bidi="fr-FR"/>
              </w:rPr>
            </w:pPr>
            <w:proofErr w:type="spellStart"/>
            <w:r w:rsidRPr="00A93F40">
              <w:rPr>
                <w:rFonts w:ascii="Cambria" w:eastAsia="Calibri" w:hAnsi="Cambria" w:cs="Times New Roman"/>
                <w:i/>
                <w:sz w:val="20"/>
                <w:szCs w:val="20"/>
                <w:lang w:eastAsia="fr-FR" w:bidi="fr-FR"/>
              </w:rPr>
              <w:t>Année</w:t>
            </w:r>
            <w:proofErr w:type="spellEnd"/>
            <w:r w:rsidRPr="00A93F40">
              <w:rPr>
                <w:rFonts w:ascii="Cambria" w:eastAsia="Calibri" w:hAnsi="Cambria" w:cs="Times New Roman"/>
                <w:i/>
                <w:sz w:val="20"/>
                <w:szCs w:val="20"/>
                <w:lang w:eastAsia="fr-FR" w:bidi="fr-FR"/>
              </w:rPr>
              <w:t xml:space="preserve"> </w:t>
            </w:r>
            <w:proofErr w:type="spellStart"/>
            <w:r w:rsidRPr="00A93F40">
              <w:rPr>
                <w:rFonts w:ascii="Cambria" w:eastAsia="Calibri" w:hAnsi="Cambria" w:cs="Times New Roman"/>
                <w:i/>
                <w:sz w:val="20"/>
                <w:szCs w:val="20"/>
                <w:lang w:eastAsia="fr-FR" w:bidi="fr-FR"/>
              </w:rPr>
              <w:t>d’ajustement</w:t>
            </w:r>
            <w:proofErr w:type="spellEnd"/>
          </w:p>
        </w:tc>
      </w:tr>
      <w:tr w:rsidR="00BE4F0F" w:rsidRPr="00A93F40" w14:paraId="15DD5278" w14:textId="77777777" w:rsidTr="00301915">
        <w:trPr>
          <w:trHeight w:val="244"/>
        </w:trPr>
        <w:tc>
          <w:tcPr>
            <w:tcW w:w="2515" w:type="dxa"/>
            <w:shd w:val="clear" w:color="auto" w:fill="auto"/>
            <w:vAlign w:val="bottom"/>
          </w:tcPr>
          <w:p w14:paraId="13E81F8C" w14:textId="77777777" w:rsidR="00BE4F0F" w:rsidRPr="00A93F40" w:rsidRDefault="00BE4F0F" w:rsidP="00301915">
            <w:pPr>
              <w:tabs>
                <w:tab w:val="left" w:pos="284"/>
                <w:tab w:val="left" w:pos="440"/>
                <w:tab w:val="left" w:pos="567"/>
                <w:tab w:val="left" w:pos="660"/>
                <w:tab w:val="left" w:pos="990"/>
              </w:tabs>
              <w:spacing w:after="0" w:line="240" w:lineRule="auto"/>
              <w:contextualSpacing/>
              <w:jc w:val="center"/>
              <w:rPr>
                <w:rFonts w:ascii="Cambria" w:eastAsia="Calibri" w:hAnsi="Cambria" w:cs="Times New Roman"/>
                <w:sz w:val="20"/>
                <w:szCs w:val="20"/>
                <w:lang w:eastAsia="fr-FR" w:bidi="fr-FR"/>
              </w:rPr>
            </w:pPr>
            <w:r w:rsidRPr="00A93F40">
              <w:rPr>
                <w:rFonts w:ascii="Cambria" w:eastAsia="Calibri" w:hAnsi="Cambria" w:cs="Times New Roman"/>
                <w:sz w:val="20"/>
                <w:szCs w:val="20"/>
                <w:lang w:eastAsia="fr-FR" w:bidi="fr-FR"/>
              </w:rPr>
              <w:t>2017</w:t>
            </w:r>
          </w:p>
        </w:tc>
        <w:tc>
          <w:tcPr>
            <w:tcW w:w="2838" w:type="dxa"/>
            <w:shd w:val="clear" w:color="auto" w:fill="auto"/>
            <w:vAlign w:val="bottom"/>
          </w:tcPr>
          <w:p w14:paraId="4B0EE7BE" w14:textId="77777777" w:rsidR="00BE4F0F" w:rsidRPr="00A93F40" w:rsidRDefault="00BE4F0F" w:rsidP="00301915">
            <w:pPr>
              <w:tabs>
                <w:tab w:val="left" w:pos="284"/>
                <w:tab w:val="left" w:pos="440"/>
                <w:tab w:val="left" w:pos="567"/>
                <w:tab w:val="left" w:pos="660"/>
                <w:tab w:val="left" w:pos="990"/>
              </w:tabs>
              <w:spacing w:after="0" w:line="240" w:lineRule="auto"/>
              <w:contextualSpacing/>
              <w:jc w:val="center"/>
              <w:rPr>
                <w:rFonts w:ascii="Cambria" w:eastAsia="Calibri" w:hAnsi="Cambria" w:cs="Times New Roman"/>
                <w:sz w:val="20"/>
                <w:szCs w:val="20"/>
                <w:lang w:eastAsia="fr-FR" w:bidi="fr-FR"/>
              </w:rPr>
            </w:pPr>
            <w:r w:rsidRPr="00A93F40">
              <w:rPr>
                <w:rFonts w:ascii="Cambria" w:eastAsia="Calibri" w:hAnsi="Cambria" w:cs="Times New Roman"/>
                <w:sz w:val="20"/>
                <w:szCs w:val="20"/>
                <w:lang w:eastAsia="fr-FR" w:bidi="fr-FR"/>
              </w:rPr>
              <w:t>2019</w:t>
            </w:r>
          </w:p>
        </w:tc>
      </w:tr>
      <w:tr w:rsidR="00BE4F0F" w:rsidRPr="00A93F40" w14:paraId="7FF540AC" w14:textId="77777777" w:rsidTr="00301915">
        <w:trPr>
          <w:trHeight w:val="158"/>
        </w:trPr>
        <w:tc>
          <w:tcPr>
            <w:tcW w:w="2515" w:type="dxa"/>
            <w:shd w:val="clear" w:color="auto" w:fill="auto"/>
            <w:vAlign w:val="bottom"/>
          </w:tcPr>
          <w:p w14:paraId="66B19564" w14:textId="77777777" w:rsidR="00BE4F0F" w:rsidRPr="00A93F40" w:rsidRDefault="00BE4F0F" w:rsidP="00301915">
            <w:pPr>
              <w:tabs>
                <w:tab w:val="left" w:pos="284"/>
                <w:tab w:val="left" w:pos="440"/>
                <w:tab w:val="left" w:pos="567"/>
                <w:tab w:val="left" w:pos="660"/>
                <w:tab w:val="left" w:pos="990"/>
              </w:tabs>
              <w:spacing w:after="0" w:line="240" w:lineRule="auto"/>
              <w:contextualSpacing/>
              <w:jc w:val="center"/>
              <w:rPr>
                <w:rFonts w:ascii="Cambria" w:eastAsia="Calibri" w:hAnsi="Cambria" w:cs="Times New Roman"/>
                <w:sz w:val="20"/>
                <w:szCs w:val="20"/>
                <w:lang w:eastAsia="fr-FR" w:bidi="fr-FR"/>
              </w:rPr>
            </w:pPr>
            <w:r w:rsidRPr="00A93F40">
              <w:rPr>
                <w:rFonts w:ascii="Cambria" w:eastAsia="Calibri" w:hAnsi="Cambria" w:cs="Times New Roman"/>
                <w:sz w:val="20"/>
                <w:szCs w:val="20"/>
                <w:lang w:eastAsia="fr-FR" w:bidi="fr-FR"/>
              </w:rPr>
              <w:t>2018</w:t>
            </w:r>
          </w:p>
        </w:tc>
        <w:tc>
          <w:tcPr>
            <w:tcW w:w="2838" w:type="dxa"/>
            <w:shd w:val="clear" w:color="auto" w:fill="auto"/>
            <w:vAlign w:val="bottom"/>
          </w:tcPr>
          <w:p w14:paraId="45BD0853" w14:textId="77777777" w:rsidR="00BE4F0F" w:rsidRPr="00A93F40" w:rsidRDefault="00BE4F0F" w:rsidP="00301915">
            <w:pPr>
              <w:tabs>
                <w:tab w:val="left" w:pos="284"/>
                <w:tab w:val="left" w:pos="440"/>
                <w:tab w:val="left" w:pos="567"/>
                <w:tab w:val="left" w:pos="660"/>
                <w:tab w:val="left" w:pos="990"/>
              </w:tabs>
              <w:spacing w:after="0" w:line="240" w:lineRule="auto"/>
              <w:contextualSpacing/>
              <w:jc w:val="center"/>
              <w:rPr>
                <w:rFonts w:ascii="Cambria" w:eastAsia="Calibri" w:hAnsi="Cambria" w:cs="Times New Roman"/>
                <w:sz w:val="20"/>
                <w:szCs w:val="20"/>
                <w:lang w:eastAsia="fr-FR" w:bidi="fr-FR"/>
              </w:rPr>
            </w:pPr>
            <w:r w:rsidRPr="00A93F40">
              <w:rPr>
                <w:rFonts w:ascii="Cambria" w:eastAsia="Calibri" w:hAnsi="Cambria" w:cs="Times New Roman"/>
                <w:sz w:val="20"/>
                <w:szCs w:val="20"/>
                <w:lang w:eastAsia="fr-FR" w:bidi="fr-FR"/>
              </w:rPr>
              <w:t>2020</w:t>
            </w:r>
          </w:p>
        </w:tc>
      </w:tr>
      <w:tr w:rsidR="00BE4F0F" w:rsidRPr="00A93F40" w14:paraId="07D2CD20" w14:textId="77777777" w:rsidTr="00301915">
        <w:trPr>
          <w:trHeight w:val="276"/>
        </w:trPr>
        <w:tc>
          <w:tcPr>
            <w:tcW w:w="2515" w:type="dxa"/>
            <w:shd w:val="clear" w:color="auto" w:fill="auto"/>
            <w:vAlign w:val="bottom"/>
          </w:tcPr>
          <w:p w14:paraId="7EBF1598" w14:textId="77777777" w:rsidR="00BE4F0F" w:rsidRPr="00A93F40" w:rsidRDefault="00BE4F0F" w:rsidP="00301915">
            <w:pPr>
              <w:tabs>
                <w:tab w:val="left" w:pos="284"/>
                <w:tab w:val="left" w:pos="440"/>
                <w:tab w:val="left" w:pos="567"/>
                <w:tab w:val="left" w:pos="660"/>
                <w:tab w:val="left" w:pos="990"/>
              </w:tabs>
              <w:spacing w:after="0" w:line="240" w:lineRule="auto"/>
              <w:contextualSpacing/>
              <w:jc w:val="center"/>
              <w:rPr>
                <w:rFonts w:ascii="Cambria" w:eastAsia="Calibri" w:hAnsi="Cambria" w:cs="Times New Roman"/>
                <w:sz w:val="20"/>
                <w:szCs w:val="20"/>
                <w:lang w:eastAsia="fr-FR" w:bidi="fr-FR"/>
              </w:rPr>
            </w:pPr>
            <w:r w:rsidRPr="00A93F40">
              <w:rPr>
                <w:rFonts w:ascii="Cambria" w:eastAsia="Calibri" w:hAnsi="Cambria" w:cs="Times New Roman"/>
                <w:sz w:val="20"/>
                <w:szCs w:val="20"/>
                <w:lang w:eastAsia="fr-FR" w:bidi="fr-FR"/>
              </w:rPr>
              <w:t>2019</w:t>
            </w:r>
          </w:p>
        </w:tc>
        <w:tc>
          <w:tcPr>
            <w:tcW w:w="2838" w:type="dxa"/>
            <w:shd w:val="clear" w:color="auto" w:fill="auto"/>
            <w:vAlign w:val="bottom"/>
          </w:tcPr>
          <w:p w14:paraId="03AC6607" w14:textId="77777777" w:rsidR="00BE4F0F" w:rsidRPr="00A93F40" w:rsidRDefault="00BE4F0F" w:rsidP="00301915">
            <w:pPr>
              <w:tabs>
                <w:tab w:val="left" w:pos="284"/>
                <w:tab w:val="left" w:pos="440"/>
                <w:tab w:val="left" w:pos="567"/>
                <w:tab w:val="left" w:pos="660"/>
                <w:tab w:val="left" w:pos="990"/>
              </w:tabs>
              <w:spacing w:after="0" w:line="240" w:lineRule="auto"/>
              <w:contextualSpacing/>
              <w:jc w:val="center"/>
              <w:rPr>
                <w:rFonts w:ascii="Cambria" w:eastAsia="Calibri" w:hAnsi="Cambria" w:cs="Times New Roman"/>
                <w:sz w:val="20"/>
                <w:szCs w:val="20"/>
                <w:lang w:eastAsia="fr-FR" w:bidi="fr-FR"/>
              </w:rPr>
            </w:pPr>
            <w:r w:rsidRPr="00A93F40">
              <w:rPr>
                <w:rFonts w:ascii="Cambria" w:eastAsia="Calibri" w:hAnsi="Cambria" w:cs="Times New Roman"/>
                <w:sz w:val="20"/>
                <w:szCs w:val="20"/>
                <w:lang w:eastAsia="fr-FR" w:bidi="fr-FR"/>
              </w:rPr>
              <w:t>2021</w:t>
            </w:r>
          </w:p>
        </w:tc>
      </w:tr>
      <w:tr w:rsidR="00BE4F0F" w:rsidRPr="00A93F40" w14:paraId="10CA6745" w14:textId="77777777" w:rsidTr="00301915">
        <w:trPr>
          <w:trHeight w:val="230"/>
        </w:trPr>
        <w:tc>
          <w:tcPr>
            <w:tcW w:w="2515" w:type="dxa"/>
            <w:shd w:val="clear" w:color="auto" w:fill="auto"/>
            <w:vAlign w:val="bottom"/>
          </w:tcPr>
          <w:p w14:paraId="3D13E90A" w14:textId="77777777" w:rsidR="00BE4F0F" w:rsidRPr="00A93F40" w:rsidRDefault="00BE4F0F" w:rsidP="00301915">
            <w:pPr>
              <w:tabs>
                <w:tab w:val="left" w:pos="284"/>
                <w:tab w:val="left" w:pos="440"/>
                <w:tab w:val="left" w:pos="567"/>
                <w:tab w:val="left" w:pos="660"/>
                <w:tab w:val="left" w:pos="990"/>
              </w:tabs>
              <w:spacing w:after="0" w:line="240" w:lineRule="auto"/>
              <w:contextualSpacing/>
              <w:jc w:val="center"/>
              <w:rPr>
                <w:rFonts w:ascii="Cambria" w:eastAsia="Calibri" w:hAnsi="Cambria" w:cs="Times New Roman"/>
                <w:sz w:val="20"/>
                <w:szCs w:val="20"/>
                <w:lang w:eastAsia="fr-FR" w:bidi="fr-FR"/>
              </w:rPr>
            </w:pPr>
            <w:r w:rsidRPr="00A93F40">
              <w:rPr>
                <w:rFonts w:ascii="Cambria" w:eastAsia="Calibri" w:hAnsi="Cambria" w:cs="Times New Roman"/>
                <w:sz w:val="20"/>
                <w:szCs w:val="20"/>
                <w:lang w:eastAsia="fr-FR" w:bidi="fr-FR"/>
              </w:rPr>
              <w:t>2020</w:t>
            </w:r>
          </w:p>
        </w:tc>
        <w:tc>
          <w:tcPr>
            <w:tcW w:w="2838" w:type="dxa"/>
            <w:shd w:val="clear" w:color="auto" w:fill="auto"/>
            <w:vAlign w:val="bottom"/>
          </w:tcPr>
          <w:p w14:paraId="3FE0091D" w14:textId="77777777" w:rsidR="00BE4F0F" w:rsidRPr="00A93F40" w:rsidRDefault="00BE4F0F" w:rsidP="00301915">
            <w:pPr>
              <w:tabs>
                <w:tab w:val="left" w:pos="284"/>
                <w:tab w:val="left" w:pos="440"/>
                <w:tab w:val="left" w:pos="567"/>
                <w:tab w:val="left" w:pos="660"/>
                <w:tab w:val="left" w:pos="990"/>
              </w:tabs>
              <w:spacing w:after="0" w:line="240" w:lineRule="auto"/>
              <w:contextualSpacing/>
              <w:jc w:val="center"/>
              <w:rPr>
                <w:rFonts w:ascii="Cambria" w:eastAsia="Calibri" w:hAnsi="Cambria" w:cs="Times New Roman"/>
                <w:sz w:val="20"/>
                <w:szCs w:val="20"/>
                <w:lang w:eastAsia="fr-FR" w:bidi="fr-FR"/>
              </w:rPr>
            </w:pPr>
            <w:r w:rsidRPr="00A93F40">
              <w:rPr>
                <w:rFonts w:ascii="Cambria" w:eastAsia="Calibri" w:hAnsi="Cambria" w:cs="Times New Roman"/>
                <w:sz w:val="20"/>
                <w:szCs w:val="20"/>
                <w:lang w:eastAsia="fr-FR" w:bidi="fr-FR"/>
              </w:rPr>
              <w:t>2022</w:t>
            </w:r>
          </w:p>
        </w:tc>
      </w:tr>
      <w:tr w:rsidR="00BE4F0F" w:rsidRPr="00A93F40" w14:paraId="766D34E1" w14:textId="77777777" w:rsidTr="00301915">
        <w:trPr>
          <w:trHeight w:val="230"/>
        </w:trPr>
        <w:tc>
          <w:tcPr>
            <w:tcW w:w="2515" w:type="dxa"/>
            <w:shd w:val="clear" w:color="auto" w:fill="auto"/>
            <w:vAlign w:val="bottom"/>
          </w:tcPr>
          <w:p w14:paraId="3FE86B5A" w14:textId="77777777" w:rsidR="00BE4F0F" w:rsidRPr="00A93F40" w:rsidRDefault="00BE4F0F" w:rsidP="00301915">
            <w:pPr>
              <w:tabs>
                <w:tab w:val="left" w:pos="284"/>
                <w:tab w:val="left" w:pos="440"/>
                <w:tab w:val="left" w:pos="567"/>
                <w:tab w:val="left" w:pos="660"/>
                <w:tab w:val="left" w:pos="990"/>
              </w:tabs>
              <w:spacing w:after="0" w:line="240" w:lineRule="auto"/>
              <w:contextualSpacing/>
              <w:jc w:val="center"/>
              <w:rPr>
                <w:rFonts w:ascii="Cambria" w:eastAsia="Calibri" w:hAnsi="Cambria" w:cs="Times New Roman"/>
                <w:sz w:val="20"/>
                <w:szCs w:val="20"/>
                <w:lang w:eastAsia="fr-FR" w:bidi="fr-FR"/>
              </w:rPr>
            </w:pPr>
            <w:r w:rsidRPr="00A93F40">
              <w:rPr>
                <w:rFonts w:ascii="Cambria" w:eastAsia="Calibri" w:hAnsi="Cambria" w:cs="Times New Roman"/>
                <w:sz w:val="20"/>
                <w:szCs w:val="20"/>
                <w:lang w:eastAsia="fr-FR" w:bidi="fr-FR"/>
              </w:rPr>
              <w:t>2021</w:t>
            </w:r>
          </w:p>
        </w:tc>
        <w:tc>
          <w:tcPr>
            <w:tcW w:w="2838" w:type="dxa"/>
            <w:shd w:val="clear" w:color="auto" w:fill="auto"/>
            <w:vAlign w:val="bottom"/>
          </w:tcPr>
          <w:p w14:paraId="526B38C1" w14:textId="77777777" w:rsidR="00BE4F0F" w:rsidRPr="00A93F40" w:rsidRDefault="00BE4F0F" w:rsidP="00301915">
            <w:pPr>
              <w:tabs>
                <w:tab w:val="left" w:pos="284"/>
                <w:tab w:val="left" w:pos="440"/>
                <w:tab w:val="left" w:pos="567"/>
                <w:tab w:val="left" w:pos="660"/>
                <w:tab w:val="left" w:pos="990"/>
              </w:tabs>
              <w:spacing w:after="0" w:line="240" w:lineRule="auto"/>
              <w:contextualSpacing/>
              <w:jc w:val="center"/>
              <w:rPr>
                <w:rFonts w:ascii="Cambria" w:eastAsia="Calibri" w:hAnsi="Cambria" w:cs="Times New Roman"/>
                <w:sz w:val="20"/>
                <w:szCs w:val="20"/>
                <w:lang w:eastAsia="fr-FR" w:bidi="fr-FR"/>
              </w:rPr>
            </w:pPr>
            <w:r w:rsidRPr="00A93F40">
              <w:rPr>
                <w:rFonts w:ascii="Cambria" w:eastAsia="Calibri" w:hAnsi="Cambria" w:cs="Times New Roman"/>
                <w:sz w:val="20"/>
                <w:szCs w:val="20"/>
                <w:lang w:eastAsia="fr-FR" w:bidi="fr-FR"/>
              </w:rPr>
              <w:t>2023</w:t>
            </w:r>
          </w:p>
        </w:tc>
      </w:tr>
      <w:tr w:rsidR="00BE4F0F" w:rsidRPr="00A93F40" w14:paraId="041C47BE" w14:textId="77777777" w:rsidTr="00301915">
        <w:trPr>
          <w:trHeight w:val="230"/>
        </w:trPr>
        <w:tc>
          <w:tcPr>
            <w:tcW w:w="2515" w:type="dxa"/>
            <w:shd w:val="clear" w:color="auto" w:fill="auto"/>
            <w:vAlign w:val="bottom"/>
          </w:tcPr>
          <w:p w14:paraId="4DAA8B89" w14:textId="0152E3C2" w:rsidR="00BE4F0F" w:rsidRPr="00A93F40" w:rsidRDefault="00BE4F0F" w:rsidP="00301915">
            <w:pPr>
              <w:tabs>
                <w:tab w:val="left" w:pos="284"/>
                <w:tab w:val="left" w:pos="440"/>
                <w:tab w:val="left" w:pos="567"/>
                <w:tab w:val="left" w:pos="660"/>
                <w:tab w:val="left" w:pos="990"/>
              </w:tabs>
              <w:spacing w:after="0" w:line="240" w:lineRule="auto"/>
              <w:contextualSpacing/>
              <w:jc w:val="center"/>
              <w:rPr>
                <w:rFonts w:ascii="Cambria" w:eastAsia="Calibri" w:hAnsi="Cambria" w:cs="Times New Roman"/>
                <w:sz w:val="20"/>
                <w:szCs w:val="20"/>
                <w:lang w:eastAsia="fr-FR" w:bidi="fr-FR"/>
              </w:rPr>
            </w:pPr>
            <w:r w:rsidRPr="00A93F40">
              <w:rPr>
                <w:rFonts w:ascii="Cambria" w:eastAsia="Calibri" w:hAnsi="Cambria" w:cs="Times New Roman"/>
                <w:sz w:val="20"/>
                <w:szCs w:val="20"/>
                <w:lang w:eastAsia="fr-FR" w:bidi="fr-FR"/>
              </w:rPr>
              <w:t>2022</w:t>
            </w:r>
          </w:p>
        </w:tc>
        <w:tc>
          <w:tcPr>
            <w:tcW w:w="2838" w:type="dxa"/>
            <w:shd w:val="clear" w:color="auto" w:fill="auto"/>
            <w:vAlign w:val="bottom"/>
          </w:tcPr>
          <w:p w14:paraId="22B7E6C1" w14:textId="2516EC0C" w:rsidR="00BE4F0F" w:rsidRPr="00A93F40" w:rsidRDefault="00BE4F0F" w:rsidP="00301915">
            <w:pPr>
              <w:tabs>
                <w:tab w:val="left" w:pos="284"/>
                <w:tab w:val="left" w:pos="440"/>
                <w:tab w:val="left" w:pos="567"/>
                <w:tab w:val="left" w:pos="660"/>
                <w:tab w:val="left" w:pos="990"/>
              </w:tabs>
              <w:spacing w:after="0" w:line="240" w:lineRule="auto"/>
              <w:contextualSpacing/>
              <w:jc w:val="center"/>
              <w:rPr>
                <w:rFonts w:ascii="Cambria" w:eastAsia="Calibri" w:hAnsi="Cambria" w:cs="Times New Roman"/>
                <w:sz w:val="20"/>
                <w:szCs w:val="20"/>
                <w:lang w:eastAsia="fr-FR" w:bidi="fr-FR"/>
              </w:rPr>
            </w:pPr>
            <w:r w:rsidRPr="00A93F40">
              <w:rPr>
                <w:rFonts w:ascii="Cambria" w:eastAsia="Calibri" w:hAnsi="Cambria" w:cs="Times New Roman"/>
                <w:sz w:val="20"/>
                <w:szCs w:val="20"/>
                <w:lang w:eastAsia="fr-FR" w:bidi="fr-FR"/>
              </w:rPr>
              <w:t>2024</w:t>
            </w:r>
          </w:p>
        </w:tc>
      </w:tr>
    </w:tbl>
    <w:p w14:paraId="569283BD" w14:textId="77777777" w:rsidR="00BE4F0F" w:rsidRPr="00A93F40" w:rsidRDefault="00BE4F0F" w:rsidP="00BE4F0F">
      <w:pPr>
        <w:tabs>
          <w:tab w:val="left" w:pos="284"/>
          <w:tab w:val="left" w:pos="567"/>
        </w:tabs>
        <w:spacing w:after="0" w:line="240" w:lineRule="auto"/>
        <w:ind w:left="284" w:hanging="284"/>
        <w:contextualSpacing/>
        <w:jc w:val="both"/>
        <w:rPr>
          <w:rFonts w:ascii="Cambria" w:eastAsia="Times New Roman" w:hAnsi="Cambria" w:cs="Times New Roman"/>
          <w:sz w:val="20"/>
          <w:szCs w:val="20"/>
        </w:rPr>
      </w:pPr>
    </w:p>
    <w:p w14:paraId="4DD4C7FF" w14:textId="77777777" w:rsidR="00BE4F0F" w:rsidRPr="00A93F40" w:rsidRDefault="00BE4F0F" w:rsidP="00BE4F0F">
      <w:pPr>
        <w:tabs>
          <w:tab w:val="left" w:pos="284"/>
          <w:tab w:val="left" w:pos="567"/>
        </w:tabs>
        <w:spacing w:after="0" w:line="240" w:lineRule="auto"/>
        <w:ind w:left="284" w:hanging="284"/>
        <w:contextualSpacing/>
        <w:jc w:val="both"/>
        <w:rPr>
          <w:rFonts w:ascii="Cambria" w:eastAsia="Times New Roman" w:hAnsi="Cambria" w:cs="Times New Roman"/>
          <w:sz w:val="20"/>
          <w:szCs w:val="20"/>
        </w:rPr>
      </w:pPr>
    </w:p>
    <w:p w14:paraId="77094F69" w14:textId="77777777" w:rsidR="00BE4F0F" w:rsidRPr="00A93F40" w:rsidRDefault="00BE4F0F" w:rsidP="00BE4F0F">
      <w:pPr>
        <w:tabs>
          <w:tab w:val="left" w:pos="284"/>
          <w:tab w:val="left" w:pos="567"/>
        </w:tabs>
        <w:spacing w:after="0" w:line="240" w:lineRule="auto"/>
        <w:ind w:left="284" w:hanging="284"/>
        <w:contextualSpacing/>
        <w:jc w:val="both"/>
        <w:rPr>
          <w:rFonts w:ascii="Cambria" w:eastAsia="Times New Roman" w:hAnsi="Cambria" w:cs="Times New Roman"/>
          <w:sz w:val="20"/>
          <w:szCs w:val="20"/>
        </w:rPr>
      </w:pPr>
    </w:p>
    <w:p w14:paraId="3B385DD0" w14:textId="77777777" w:rsidR="00BE4F0F" w:rsidRPr="00A93F40" w:rsidRDefault="00BE4F0F" w:rsidP="00BE4F0F">
      <w:pPr>
        <w:tabs>
          <w:tab w:val="left" w:pos="284"/>
          <w:tab w:val="left" w:pos="440"/>
          <w:tab w:val="left" w:pos="567"/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eastAsia="Times New Roman" w:hAnsi="Cambria" w:cs="Times New Roman"/>
          <w:sz w:val="20"/>
          <w:szCs w:val="20"/>
        </w:rPr>
      </w:pPr>
    </w:p>
    <w:p w14:paraId="7C73D956" w14:textId="77777777" w:rsidR="00BE4F0F" w:rsidRPr="00A93F40" w:rsidRDefault="00BE4F0F" w:rsidP="00BE4F0F">
      <w:pPr>
        <w:tabs>
          <w:tab w:val="left" w:pos="284"/>
          <w:tab w:val="left" w:pos="440"/>
          <w:tab w:val="left" w:pos="567"/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Cambria" w:eastAsia="Times New Roman" w:hAnsi="Cambria" w:cs="Times New Roman"/>
          <w:sz w:val="20"/>
          <w:szCs w:val="20"/>
        </w:rPr>
      </w:pPr>
    </w:p>
    <w:p w14:paraId="0365C436" w14:textId="77777777" w:rsidR="00BE4F0F" w:rsidRPr="00A93F40" w:rsidRDefault="00BE4F0F" w:rsidP="00BE4F0F">
      <w:pPr>
        <w:tabs>
          <w:tab w:val="left" w:pos="284"/>
          <w:tab w:val="left" w:pos="440"/>
          <w:tab w:val="left" w:pos="567"/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Cambria" w:eastAsia="Times New Roman" w:hAnsi="Cambria" w:cs="Times New Roman"/>
          <w:sz w:val="20"/>
          <w:szCs w:val="20"/>
        </w:rPr>
      </w:pPr>
    </w:p>
    <w:p w14:paraId="72250AC7" w14:textId="77777777" w:rsidR="00BE4F0F" w:rsidRPr="00A93F40" w:rsidRDefault="00BE4F0F" w:rsidP="00BE4F0F">
      <w:pPr>
        <w:tabs>
          <w:tab w:val="left" w:pos="284"/>
          <w:tab w:val="left" w:pos="440"/>
          <w:tab w:val="left" w:pos="567"/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Cambria" w:eastAsia="Times New Roman" w:hAnsi="Cambria" w:cs="Times New Roman"/>
          <w:sz w:val="20"/>
          <w:szCs w:val="20"/>
        </w:rPr>
      </w:pPr>
    </w:p>
    <w:p w14:paraId="121B7938" w14:textId="77777777" w:rsidR="00BE4F0F" w:rsidRPr="00A93F40" w:rsidRDefault="00BE4F0F" w:rsidP="00BE4F0F">
      <w:pPr>
        <w:tabs>
          <w:tab w:val="left" w:pos="284"/>
          <w:tab w:val="left" w:pos="440"/>
          <w:tab w:val="left" w:pos="567"/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Cambria" w:eastAsia="Times New Roman" w:hAnsi="Cambria" w:cs="Times New Roman"/>
          <w:sz w:val="20"/>
          <w:szCs w:val="20"/>
        </w:rPr>
      </w:pPr>
    </w:p>
    <w:p w14:paraId="430615D0" w14:textId="77777777" w:rsidR="00BE4F0F" w:rsidRPr="00A93F40" w:rsidRDefault="00BE4F0F" w:rsidP="00BE4F0F">
      <w:pPr>
        <w:tabs>
          <w:tab w:val="left" w:pos="284"/>
          <w:tab w:val="left" w:pos="440"/>
          <w:tab w:val="left" w:pos="567"/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Cambria" w:eastAsia="Times New Roman" w:hAnsi="Cambria" w:cs="Times New Roman"/>
          <w:sz w:val="20"/>
          <w:szCs w:val="20"/>
          <w:lang w:val="fr-FR"/>
        </w:rPr>
      </w:pPr>
    </w:p>
    <w:p w14:paraId="5B7F9671" w14:textId="623A33C7" w:rsidR="00BE4F0F" w:rsidRPr="00A93F40" w:rsidRDefault="00BE4F0F" w:rsidP="0038326C">
      <w:pPr>
        <w:autoSpaceDE w:val="0"/>
        <w:autoSpaceDN w:val="0"/>
        <w:adjustRightInd w:val="0"/>
        <w:spacing w:after="0" w:line="240" w:lineRule="auto"/>
        <w:ind w:left="1276"/>
        <w:contextualSpacing/>
        <w:jc w:val="both"/>
        <w:rPr>
          <w:rFonts w:ascii="Cambria" w:eastAsia="Times New Roman" w:hAnsi="Cambria" w:cs="Times New Roman"/>
          <w:sz w:val="20"/>
          <w:szCs w:val="20"/>
          <w:lang w:val="fr-FR"/>
        </w:rPr>
      </w:pPr>
      <w:r w:rsidRPr="00A93F40">
        <w:rPr>
          <w:rFonts w:ascii="Cambria" w:eastAsia="Times New Roman" w:hAnsi="Cambria" w:cs="Times New Roman"/>
          <w:sz w:val="20"/>
          <w:szCs w:val="20"/>
          <w:lang w:val="fr-FR"/>
        </w:rPr>
        <w:t>Toutefois, la sous-consommation maximale qu’une Partie pourra</w:t>
      </w:r>
      <w:r w:rsidR="007A0A5B">
        <w:rPr>
          <w:rFonts w:ascii="Cambria" w:eastAsia="Times New Roman" w:hAnsi="Cambria" w:cs="Times New Roman"/>
          <w:sz w:val="20"/>
          <w:szCs w:val="20"/>
          <w:lang w:val="fr-FR"/>
        </w:rPr>
        <w:t>it</w:t>
      </w:r>
      <w:r w:rsidRPr="00A93F40">
        <w:rPr>
          <w:rFonts w:ascii="Cambria" w:eastAsia="Times New Roman" w:hAnsi="Cambria" w:cs="Times New Roman"/>
          <w:sz w:val="20"/>
          <w:szCs w:val="20"/>
          <w:lang w:val="fr-FR"/>
        </w:rPr>
        <w:t xml:space="preserve"> reporter au cours d’une année donnée ne devra pas dépasser 20% du quota de l’année précédente.</w:t>
      </w:r>
      <w:r w:rsidR="004E45BC" w:rsidRPr="00A93F40">
        <w:rPr>
          <w:rFonts w:ascii="Cambria" w:eastAsia="Times New Roman" w:hAnsi="Cambria" w:cs="Times New Roman"/>
          <w:sz w:val="20"/>
          <w:szCs w:val="20"/>
          <w:lang w:val="fr-FR"/>
        </w:rPr>
        <w:t> »</w:t>
      </w:r>
    </w:p>
    <w:p w14:paraId="02ADC533" w14:textId="77777777" w:rsidR="00DA6E25" w:rsidRPr="00A93F40" w:rsidRDefault="00DA6E25" w:rsidP="00DA6E25">
      <w:pPr>
        <w:spacing w:after="0" w:line="240" w:lineRule="auto"/>
        <w:ind w:left="426" w:hanging="426"/>
        <w:contextualSpacing/>
        <w:jc w:val="both"/>
        <w:rPr>
          <w:rFonts w:ascii="Cambria" w:hAnsi="Cambria"/>
          <w:sz w:val="20"/>
          <w:szCs w:val="20"/>
          <w:lang w:val="fr-FR"/>
        </w:rPr>
      </w:pPr>
    </w:p>
    <w:p w14:paraId="0F350F26" w14:textId="2DF176B8" w:rsidR="00500F65" w:rsidRPr="00A93F40" w:rsidRDefault="00500F65" w:rsidP="00DA6E25">
      <w:pPr>
        <w:spacing w:after="0" w:line="240" w:lineRule="auto"/>
        <w:ind w:left="426" w:hanging="426"/>
        <w:contextualSpacing/>
        <w:jc w:val="both"/>
        <w:rPr>
          <w:rFonts w:ascii="Cambria" w:hAnsi="Cambria"/>
          <w:sz w:val="20"/>
          <w:szCs w:val="20"/>
          <w:lang w:val="fr-FR"/>
        </w:rPr>
      </w:pPr>
      <w:r w:rsidRPr="00A93F40">
        <w:rPr>
          <w:rFonts w:ascii="Cambria" w:hAnsi="Cambria"/>
          <w:sz w:val="20"/>
          <w:szCs w:val="20"/>
          <w:lang w:val="fr-FR"/>
        </w:rPr>
        <w:t>2.</w:t>
      </w:r>
      <w:r w:rsidR="009536B8" w:rsidRPr="00A93F40">
        <w:rPr>
          <w:rFonts w:ascii="Cambria" w:hAnsi="Cambria"/>
          <w:sz w:val="20"/>
          <w:szCs w:val="20"/>
          <w:lang w:val="fr-FR"/>
        </w:rPr>
        <w:tab/>
      </w:r>
      <w:r w:rsidRPr="00A93F40">
        <w:rPr>
          <w:rFonts w:ascii="Cambria" w:hAnsi="Cambria"/>
          <w:sz w:val="20"/>
          <w:szCs w:val="20"/>
          <w:lang w:val="fr-FR"/>
        </w:rPr>
        <w:t xml:space="preserve">Le SCRS </w:t>
      </w:r>
      <w:bookmarkStart w:id="4" w:name="_Hlk82416924"/>
      <w:r w:rsidRPr="00A93F40">
        <w:rPr>
          <w:rFonts w:ascii="Cambria" w:hAnsi="Cambria"/>
          <w:sz w:val="20"/>
          <w:szCs w:val="20"/>
          <w:lang w:val="fr-FR"/>
        </w:rPr>
        <w:t xml:space="preserve">réalisera </w:t>
      </w:r>
      <w:bookmarkEnd w:id="4"/>
      <w:r w:rsidRPr="00A93F40">
        <w:rPr>
          <w:rFonts w:ascii="Cambria" w:hAnsi="Cambria"/>
          <w:sz w:val="20"/>
          <w:szCs w:val="20"/>
          <w:lang w:val="fr-FR"/>
        </w:rPr>
        <w:t>une évaluation du stock d'espadon de l'Atlantique Sud en 2022 et en communiquera les résultats à la Commission.</w:t>
      </w:r>
    </w:p>
    <w:p w14:paraId="23643A80" w14:textId="77777777" w:rsidR="004E45BC" w:rsidRPr="00A93F40" w:rsidRDefault="004E45BC" w:rsidP="00DA6E25">
      <w:pPr>
        <w:spacing w:after="0" w:line="240" w:lineRule="auto"/>
        <w:ind w:left="426" w:hanging="426"/>
        <w:contextualSpacing/>
        <w:jc w:val="both"/>
        <w:rPr>
          <w:rFonts w:ascii="Cambria" w:hAnsi="Cambria"/>
          <w:sz w:val="20"/>
          <w:szCs w:val="20"/>
          <w:lang w:val="fr-FR"/>
        </w:rPr>
      </w:pPr>
    </w:p>
    <w:p w14:paraId="72C5627F" w14:textId="7A59E613" w:rsidR="00500F65" w:rsidRPr="00A93F40" w:rsidRDefault="00500F65" w:rsidP="004E45BC">
      <w:pPr>
        <w:spacing w:after="0" w:line="240" w:lineRule="auto"/>
        <w:ind w:left="426" w:hanging="426"/>
        <w:contextualSpacing/>
        <w:jc w:val="both"/>
        <w:rPr>
          <w:rFonts w:ascii="Cambria" w:hAnsi="Cambria"/>
          <w:sz w:val="20"/>
          <w:szCs w:val="20"/>
          <w:lang w:val="fr-FR"/>
        </w:rPr>
      </w:pPr>
      <w:r w:rsidRPr="00A93F40">
        <w:rPr>
          <w:rFonts w:ascii="Cambria" w:hAnsi="Cambria"/>
          <w:sz w:val="20"/>
          <w:szCs w:val="20"/>
          <w:lang w:val="fr-FR"/>
        </w:rPr>
        <w:t>3.</w:t>
      </w:r>
      <w:r w:rsidR="009536B8" w:rsidRPr="00A93F40">
        <w:rPr>
          <w:rFonts w:ascii="Cambria" w:hAnsi="Cambria"/>
          <w:sz w:val="20"/>
          <w:szCs w:val="20"/>
          <w:lang w:val="fr-FR"/>
        </w:rPr>
        <w:tab/>
      </w:r>
      <w:r w:rsidRPr="00A93F40">
        <w:rPr>
          <w:rFonts w:ascii="Cambria" w:hAnsi="Cambria"/>
          <w:sz w:val="20"/>
          <w:szCs w:val="20"/>
          <w:lang w:val="fr-FR"/>
        </w:rPr>
        <w:t xml:space="preserve">Sur la base de l'avis du SCRS, la Commission </w:t>
      </w:r>
      <w:r w:rsidR="009536B8" w:rsidRPr="00A93F40">
        <w:rPr>
          <w:rFonts w:ascii="Cambria" w:hAnsi="Cambria"/>
          <w:sz w:val="20"/>
          <w:szCs w:val="20"/>
          <w:lang w:val="fr-FR"/>
        </w:rPr>
        <w:t>devra examiner</w:t>
      </w:r>
      <w:r w:rsidRPr="00A93F40">
        <w:rPr>
          <w:rFonts w:ascii="Cambria" w:hAnsi="Cambria"/>
          <w:sz w:val="20"/>
          <w:szCs w:val="20"/>
          <w:lang w:val="fr-FR"/>
        </w:rPr>
        <w:t xml:space="preserve"> et amender, le cas échéant, les mesures de gestion de l'espadon de l'Atlantique Sud </w:t>
      </w:r>
      <w:bookmarkStart w:id="5" w:name="_Hlk82416943"/>
      <w:r w:rsidRPr="00A93F40">
        <w:rPr>
          <w:rFonts w:ascii="Cambria" w:hAnsi="Cambria"/>
          <w:sz w:val="20"/>
          <w:szCs w:val="20"/>
          <w:lang w:val="fr-FR"/>
        </w:rPr>
        <w:t>lors de sa réunion de 2022</w:t>
      </w:r>
      <w:bookmarkEnd w:id="5"/>
      <w:r w:rsidRPr="00A93F40">
        <w:rPr>
          <w:rFonts w:ascii="Cambria" w:hAnsi="Cambria"/>
          <w:sz w:val="20"/>
          <w:szCs w:val="20"/>
          <w:lang w:val="fr-FR"/>
        </w:rPr>
        <w:t>.</w:t>
      </w:r>
      <w:bookmarkEnd w:id="2"/>
    </w:p>
    <w:p w14:paraId="65DC5139" w14:textId="7B5FB848" w:rsidR="006C5DAB" w:rsidRDefault="006C5DAB" w:rsidP="004E45BC">
      <w:pPr>
        <w:spacing w:after="0" w:line="240" w:lineRule="auto"/>
        <w:ind w:left="426" w:hanging="426"/>
        <w:contextualSpacing/>
        <w:jc w:val="both"/>
        <w:rPr>
          <w:rFonts w:ascii="Cambria" w:hAnsi="Cambria"/>
          <w:sz w:val="20"/>
          <w:szCs w:val="20"/>
          <w:lang w:val="fr-FR"/>
        </w:rPr>
      </w:pPr>
    </w:p>
    <w:sectPr w:rsidR="006C5DAB" w:rsidSect="00FD0890">
      <w:footerReference w:type="default" r:id="rId6"/>
      <w:pgSz w:w="11906" w:h="16838" w:code="9"/>
      <w:pgMar w:top="1418" w:right="1418" w:bottom="1418" w:left="1418" w:header="85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2B82F" w14:textId="77777777" w:rsidR="001D79E3" w:rsidRDefault="001D79E3" w:rsidP="00537B0C">
      <w:pPr>
        <w:spacing w:after="0" w:line="240" w:lineRule="auto"/>
      </w:pPr>
      <w:r>
        <w:separator/>
      </w:r>
    </w:p>
  </w:endnote>
  <w:endnote w:type="continuationSeparator" w:id="0">
    <w:p w14:paraId="2F05F6D0" w14:textId="77777777" w:rsidR="001D79E3" w:rsidRDefault="001D79E3" w:rsidP="0053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20"/>
        <w:szCs w:val="20"/>
      </w:rPr>
      <w:id w:val="1121110338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76080B4" w14:textId="15422DD5" w:rsidR="00282759" w:rsidRPr="00282759" w:rsidRDefault="00282759" w:rsidP="00282759">
            <w:pPr>
              <w:pStyle w:val="Footer"/>
              <w:jc w:val="center"/>
              <w:rPr>
                <w:rFonts w:ascii="Cambria" w:hAnsi="Cambria"/>
                <w:sz w:val="20"/>
                <w:szCs w:val="20"/>
              </w:rPr>
            </w:pPr>
            <w:r w:rsidRPr="00EF3C77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EF3C77">
              <w:rPr>
                <w:rFonts w:ascii="Cambria" w:hAnsi="Cambria"/>
                <w:sz w:val="20"/>
                <w:szCs w:val="20"/>
              </w:rPr>
              <w:instrText xml:space="preserve"> PAGE </w:instrText>
            </w:r>
            <w:r w:rsidRPr="00EF3C77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EF3C77">
              <w:rPr>
                <w:rFonts w:ascii="Cambria" w:hAnsi="Cambria"/>
                <w:noProof/>
                <w:sz w:val="20"/>
                <w:szCs w:val="20"/>
              </w:rPr>
              <w:t>2</w:t>
            </w:r>
            <w:r w:rsidRPr="00EF3C77">
              <w:rPr>
                <w:rFonts w:ascii="Cambria" w:hAnsi="Cambria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EEC13" w14:textId="77777777" w:rsidR="001D79E3" w:rsidRDefault="001D79E3" w:rsidP="00537B0C">
      <w:pPr>
        <w:spacing w:after="0" w:line="240" w:lineRule="auto"/>
      </w:pPr>
      <w:r>
        <w:separator/>
      </w:r>
    </w:p>
  </w:footnote>
  <w:footnote w:type="continuationSeparator" w:id="0">
    <w:p w14:paraId="50FAAA73" w14:textId="77777777" w:rsidR="001D79E3" w:rsidRDefault="001D79E3" w:rsidP="00537B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AD"/>
    <w:rsid w:val="00124A70"/>
    <w:rsid w:val="001525F6"/>
    <w:rsid w:val="001C5AAD"/>
    <w:rsid w:val="001D79E3"/>
    <w:rsid w:val="00205D74"/>
    <w:rsid w:val="0026444F"/>
    <w:rsid w:val="00264FCA"/>
    <w:rsid w:val="00271858"/>
    <w:rsid w:val="00282759"/>
    <w:rsid w:val="002C3444"/>
    <w:rsid w:val="002C36CD"/>
    <w:rsid w:val="002E2E29"/>
    <w:rsid w:val="00327537"/>
    <w:rsid w:val="00362DCF"/>
    <w:rsid w:val="003776AF"/>
    <w:rsid w:val="0038326C"/>
    <w:rsid w:val="00403EFF"/>
    <w:rsid w:val="00472FC6"/>
    <w:rsid w:val="004B0896"/>
    <w:rsid w:val="004E45BC"/>
    <w:rsid w:val="004E4644"/>
    <w:rsid w:val="00500F65"/>
    <w:rsid w:val="005044E3"/>
    <w:rsid w:val="0050552C"/>
    <w:rsid w:val="00537B0C"/>
    <w:rsid w:val="005442C6"/>
    <w:rsid w:val="00556F9C"/>
    <w:rsid w:val="00676849"/>
    <w:rsid w:val="006873C6"/>
    <w:rsid w:val="006C0744"/>
    <w:rsid w:val="006C5DAB"/>
    <w:rsid w:val="007203D9"/>
    <w:rsid w:val="00742BE0"/>
    <w:rsid w:val="00747138"/>
    <w:rsid w:val="00784CE4"/>
    <w:rsid w:val="007A0A5B"/>
    <w:rsid w:val="007A553F"/>
    <w:rsid w:val="008A686D"/>
    <w:rsid w:val="008D6E40"/>
    <w:rsid w:val="009536B8"/>
    <w:rsid w:val="00A037D2"/>
    <w:rsid w:val="00A177C6"/>
    <w:rsid w:val="00A72691"/>
    <w:rsid w:val="00A93F40"/>
    <w:rsid w:val="00BE4F0F"/>
    <w:rsid w:val="00BE5526"/>
    <w:rsid w:val="00C33F66"/>
    <w:rsid w:val="00CF3F34"/>
    <w:rsid w:val="00D53505"/>
    <w:rsid w:val="00D6278F"/>
    <w:rsid w:val="00DA6E25"/>
    <w:rsid w:val="00DC2EA1"/>
    <w:rsid w:val="00DD14F8"/>
    <w:rsid w:val="00E054AB"/>
    <w:rsid w:val="00F04695"/>
    <w:rsid w:val="00F220BE"/>
    <w:rsid w:val="00F94FC2"/>
    <w:rsid w:val="00FB6494"/>
    <w:rsid w:val="00FC38FE"/>
    <w:rsid w:val="00FD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14B1F"/>
  <w15:chartTrackingRefBased/>
  <w15:docId w15:val="{33CEEF8F-FF0A-4657-A52B-6935D882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B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B0C"/>
  </w:style>
  <w:style w:type="paragraph" w:styleId="Footer">
    <w:name w:val="footer"/>
    <w:basedOn w:val="Normal"/>
    <w:link w:val="FooterChar"/>
    <w:uiPriority w:val="99"/>
    <w:unhideWhenUsed/>
    <w:rsid w:val="00537B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B0C"/>
  </w:style>
  <w:style w:type="paragraph" w:styleId="FootnoteText">
    <w:name w:val="footnote text"/>
    <w:aliases w:val="ft"/>
    <w:basedOn w:val="Normal"/>
    <w:link w:val="FootnoteTextChar"/>
    <w:uiPriority w:val="99"/>
    <w:qFormat/>
    <w:rsid w:val="00282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FootnoteTextChar">
    <w:name w:val="Footnote Text Char"/>
    <w:aliases w:val="ft Char"/>
    <w:basedOn w:val="DefaultParagraphFont"/>
    <w:link w:val="FootnoteText"/>
    <w:uiPriority w:val="99"/>
    <w:rsid w:val="00282759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FootnoteReference">
    <w:name w:val="footnote reference"/>
    <w:aliases w:val="Footnote Text Char1,fr"/>
    <w:uiPriority w:val="99"/>
    <w:rsid w:val="00282759"/>
    <w:rPr>
      <w:vertAlign w:val="superscript"/>
    </w:rPr>
  </w:style>
  <w:style w:type="paragraph" w:styleId="ListParagraph">
    <w:name w:val="List Paragraph"/>
    <w:basedOn w:val="Normal"/>
    <w:uiPriority w:val="34"/>
    <w:qFormat/>
    <w:rsid w:val="002827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08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0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Dorothee Pinet</cp:lastModifiedBy>
  <cp:revision>15</cp:revision>
  <cp:lastPrinted>2020-07-02T04:51:00Z</cp:lastPrinted>
  <dcterms:created xsi:type="dcterms:W3CDTF">2021-11-19T16:01:00Z</dcterms:created>
  <dcterms:modified xsi:type="dcterms:W3CDTF">2021-12-16T08:33:00Z</dcterms:modified>
</cp:coreProperties>
</file>