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3142A" w14:textId="38DAC7D1" w:rsidR="0013763B" w:rsidRPr="00AE4E29" w:rsidRDefault="007A4BCC" w:rsidP="00101938">
      <w:pPr>
        <w:pBdr>
          <w:top w:val="double" w:sz="4" w:space="1" w:color="auto"/>
          <w:left w:val="double" w:sz="4" w:space="4" w:color="auto"/>
          <w:bottom w:val="double" w:sz="4" w:space="1" w:color="auto"/>
          <w:right w:val="double" w:sz="4" w:space="4" w:color="auto"/>
        </w:pBdr>
        <w:autoSpaceDE w:val="0"/>
        <w:autoSpaceDN w:val="0"/>
        <w:adjustRightInd w:val="0"/>
        <w:ind w:left="8080" w:hanging="8080"/>
        <w:jc w:val="both"/>
        <w:rPr>
          <w:rFonts w:asciiTheme="majorHAnsi" w:hAnsiTheme="majorHAnsi"/>
          <w:b/>
          <w:color w:val="000000"/>
          <w:sz w:val="20"/>
          <w:szCs w:val="20"/>
        </w:rPr>
      </w:pPr>
      <w:bookmarkStart w:id="0" w:name="_Hlk89262808"/>
      <w:r w:rsidRPr="00AE4E29">
        <w:rPr>
          <w:rFonts w:asciiTheme="majorHAnsi" w:hAnsiTheme="majorHAnsi"/>
          <w:b/>
          <w:color w:val="000000"/>
          <w:sz w:val="20"/>
          <w:szCs w:val="20"/>
        </w:rPr>
        <w:t>21</w:t>
      </w:r>
      <w:r w:rsidR="0075351D" w:rsidRPr="00AE4E29">
        <w:rPr>
          <w:rFonts w:asciiTheme="majorHAnsi" w:hAnsiTheme="majorHAnsi"/>
          <w:b/>
          <w:color w:val="000000"/>
          <w:sz w:val="20"/>
          <w:szCs w:val="20"/>
        </w:rPr>
        <w:t>-02</w:t>
      </w:r>
      <w:r w:rsidRPr="00AE4E29">
        <w:rPr>
          <w:rFonts w:asciiTheme="majorHAnsi" w:hAnsiTheme="majorHAnsi"/>
          <w:b/>
          <w:color w:val="000000"/>
          <w:sz w:val="20"/>
          <w:szCs w:val="20"/>
        </w:rPr>
        <w:tab/>
      </w:r>
      <w:r w:rsidR="0075351D" w:rsidRPr="00AE4E29">
        <w:rPr>
          <w:rFonts w:asciiTheme="majorHAnsi" w:hAnsiTheme="majorHAnsi"/>
          <w:b/>
          <w:color w:val="000000"/>
          <w:sz w:val="20"/>
          <w:szCs w:val="20"/>
        </w:rPr>
        <w:t>SWO</w:t>
      </w:r>
    </w:p>
    <w:p w14:paraId="3C305EB7" w14:textId="77777777" w:rsidR="00101938" w:rsidRPr="00AE4E29" w:rsidRDefault="00101938" w:rsidP="00101938">
      <w:pPr>
        <w:pBdr>
          <w:top w:val="double" w:sz="4" w:space="1" w:color="auto"/>
          <w:left w:val="double" w:sz="4" w:space="4" w:color="auto"/>
          <w:bottom w:val="double" w:sz="4" w:space="1" w:color="auto"/>
          <w:right w:val="double" w:sz="4" w:space="4" w:color="auto"/>
        </w:pBdr>
        <w:autoSpaceDE w:val="0"/>
        <w:autoSpaceDN w:val="0"/>
        <w:adjustRightInd w:val="0"/>
        <w:ind w:left="8080" w:hanging="8080"/>
        <w:jc w:val="both"/>
        <w:rPr>
          <w:rFonts w:asciiTheme="majorHAnsi" w:hAnsiTheme="majorHAnsi"/>
          <w:b/>
          <w:color w:val="000000"/>
          <w:sz w:val="20"/>
          <w:szCs w:val="20"/>
        </w:rPr>
      </w:pPr>
    </w:p>
    <w:p w14:paraId="4CB3A111" w14:textId="23597337" w:rsidR="00506B05" w:rsidRPr="00AE4E29" w:rsidRDefault="006303F1" w:rsidP="00A667CF">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b/>
          <w:color w:val="000000"/>
          <w:sz w:val="20"/>
          <w:szCs w:val="20"/>
        </w:rPr>
      </w:pPr>
      <w:r w:rsidRPr="00AE4E29">
        <w:rPr>
          <w:rFonts w:asciiTheme="majorHAnsi" w:hAnsiTheme="majorHAnsi"/>
          <w:b/>
          <w:color w:val="000000"/>
          <w:sz w:val="20"/>
          <w:szCs w:val="20"/>
        </w:rPr>
        <w:t>RECOMMANDATION SUPPLEMENTAIRE DE L'ICCAT PROLONGEANT ET MODIFIANT LA RECOMMANDATION 17-02</w:t>
      </w:r>
      <w:r w:rsidR="00D87F0D" w:rsidRPr="00AE4E29">
        <w:rPr>
          <w:rFonts w:asciiTheme="majorHAnsi" w:hAnsiTheme="majorHAnsi"/>
          <w:b/>
          <w:color w:val="000000"/>
          <w:sz w:val="20"/>
          <w:szCs w:val="20"/>
        </w:rPr>
        <w:t xml:space="preserve"> </w:t>
      </w:r>
      <w:r w:rsidRPr="00AE4E29">
        <w:rPr>
          <w:rFonts w:asciiTheme="majorHAnsi" w:hAnsiTheme="majorHAnsi"/>
          <w:b/>
          <w:color w:val="000000"/>
          <w:sz w:val="20"/>
          <w:szCs w:val="20"/>
        </w:rPr>
        <w:t>AMENDANT LA RECOMMANDATION</w:t>
      </w:r>
      <w:r w:rsidR="00D87F0D" w:rsidRPr="00AE4E29">
        <w:rPr>
          <w:rFonts w:asciiTheme="majorHAnsi" w:hAnsiTheme="majorHAnsi"/>
          <w:b/>
          <w:color w:val="000000"/>
          <w:sz w:val="20"/>
          <w:szCs w:val="20"/>
        </w:rPr>
        <w:t xml:space="preserve"> </w:t>
      </w:r>
      <w:r w:rsidR="00266914" w:rsidRPr="00AE4E29">
        <w:rPr>
          <w:rFonts w:asciiTheme="majorHAnsi" w:hAnsiTheme="majorHAnsi"/>
          <w:b/>
          <w:color w:val="000000"/>
          <w:sz w:val="20"/>
          <w:szCs w:val="20"/>
        </w:rPr>
        <w:t xml:space="preserve">16-03 </w:t>
      </w:r>
      <w:r w:rsidRPr="00AE4E29">
        <w:rPr>
          <w:rFonts w:asciiTheme="majorHAnsi" w:hAnsiTheme="majorHAnsi"/>
          <w:b/>
          <w:color w:val="000000"/>
          <w:sz w:val="20"/>
          <w:szCs w:val="20"/>
        </w:rPr>
        <w:t>SUR LA CONSERVATION DE L’ESPADON DE L’ATLANTIQUE NORD</w:t>
      </w:r>
    </w:p>
    <w:p w14:paraId="39A5C44C" w14:textId="77777777" w:rsidR="0013763B" w:rsidRPr="00AE4E29" w:rsidRDefault="0013763B" w:rsidP="00A667CF">
      <w:pPr>
        <w:pBdr>
          <w:top w:val="double" w:sz="4" w:space="1" w:color="auto"/>
          <w:left w:val="double" w:sz="4" w:space="4" w:color="auto"/>
          <w:bottom w:val="double" w:sz="4" w:space="1" w:color="auto"/>
          <w:right w:val="double" w:sz="4" w:space="4" w:color="auto"/>
        </w:pBdr>
        <w:autoSpaceDE w:val="0"/>
        <w:autoSpaceDN w:val="0"/>
        <w:adjustRightInd w:val="0"/>
        <w:jc w:val="center"/>
        <w:rPr>
          <w:rFonts w:asciiTheme="majorHAnsi" w:hAnsiTheme="majorHAnsi" w:cs="Calibri"/>
          <w:b/>
          <w:bCs/>
          <w:color w:val="000000"/>
          <w:sz w:val="20"/>
          <w:szCs w:val="20"/>
        </w:rPr>
      </w:pPr>
    </w:p>
    <w:p w14:paraId="4D74BA5E" w14:textId="65295AE8" w:rsidR="006303F1" w:rsidRPr="00AE4E29" w:rsidRDefault="006303F1" w:rsidP="006303F1">
      <w:pPr>
        <w:jc w:val="center"/>
        <w:rPr>
          <w:rFonts w:asciiTheme="majorHAnsi" w:hAnsiTheme="majorHAnsi"/>
          <w:i/>
          <w:sz w:val="20"/>
          <w:szCs w:val="20"/>
        </w:rPr>
      </w:pPr>
    </w:p>
    <w:bookmarkEnd w:id="0"/>
    <w:p w14:paraId="492B83BE" w14:textId="77777777" w:rsidR="006303F1" w:rsidRPr="00AE4E29" w:rsidRDefault="006303F1" w:rsidP="006303F1">
      <w:pPr>
        <w:tabs>
          <w:tab w:val="left" w:pos="567"/>
          <w:tab w:val="left" w:pos="8505"/>
        </w:tabs>
        <w:spacing w:line="240" w:lineRule="exact"/>
        <w:jc w:val="both"/>
        <w:rPr>
          <w:rFonts w:asciiTheme="majorHAnsi" w:hAnsiTheme="majorHAnsi"/>
          <w:sz w:val="20"/>
          <w:szCs w:val="20"/>
        </w:rPr>
      </w:pPr>
    </w:p>
    <w:p w14:paraId="2569E718" w14:textId="74FA5218" w:rsidR="006303F1" w:rsidRPr="00AE4E29" w:rsidRDefault="006303F1" w:rsidP="00250689">
      <w:pPr>
        <w:ind w:firstLine="426"/>
        <w:jc w:val="both"/>
        <w:rPr>
          <w:rFonts w:asciiTheme="majorHAnsi" w:hAnsiTheme="majorHAnsi"/>
          <w:color w:val="000000"/>
          <w:sz w:val="20"/>
          <w:szCs w:val="20"/>
        </w:rPr>
      </w:pPr>
      <w:r w:rsidRPr="00AE4E29">
        <w:rPr>
          <w:rFonts w:asciiTheme="majorHAnsi" w:hAnsiTheme="majorHAnsi"/>
          <w:i/>
          <w:iCs/>
          <w:color w:val="000000"/>
          <w:sz w:val="20"/>
          <w:szCs w:val="20"/>
        </w:rPr>
        <w:t>RAPPELANT</w:t>
      </w:r>
      <w:r w:rsidRPr="00AE4E29">
        <w:rPr>
          <w:rFonts w:asciiTheme="majorHAnsi" w:hAnsiTheme="majorHAnsi"/>
          <w:color w:val="000000"/>
          <w:sz w:val="20"/>
          <w:szCs w:val="20"/>
        </w:rPr>
        <w:t xml:space="preserve"> la </w:t>
      </w:r>
      <w:r w:rsidRPr="00AE4E29">
        <w:rPr>
          <w:rFonts w:asciiTheme="majorHAnsi" w:hAnsiTheme="majorHAnsi"/>
          <w:i/>
          <w:iCs/>
          <w:color w:val="000000"/>
          <w:sz w:val="20"/>
          <w:szCs w:val="20"/>
        </w:rPr>
        <w:t xml:space="preserve">Recommandation de l’ICCAT amendant la Recommandation 16-03 sur la conservation de l’espadon de l’Atlantique Nord </w:t>
      </w:r>
      <w:r w:rsidRPr="00AE4E29">
        <w:rPr>
          <w:rFonts w:asciiTheme="majorHAnsi" w:hAnsiTheme="majorHAnsi"/>
          <w:color w:val="000000"/>
          <w:sz w:val="20"/>
          <w:szCs w:val="20"/>
        </w:rPr>
        <w:t>(Rec. 17-02), telle qu</w:t>
      </w:r>
      <w:r w:rsidR="001E3763" w:rsidRPr="00AE4E29">
        <w:rPr>
          <w:rFonts w:asciiTheme="majorHAnsi" w:hAnsiTheme="majorHAnsi"/>
          <w:color w:val="000000"/>
          <w:sz w:val="20"/>
          <w:szCs w:val="20"/>
        </w:rPr>
        <w:t>’</w:t>
      </w:r>
      <w:r w:rsidRPr="00AE4E29">
        <w:rPr>
          <w:rFonts w:asciiTheme="majorHAnsi" w:hAnsiTheme="majorHAnsi"/>
          <w:color w:val="000000"/>
          <w:sz w:val="20"/>
          <w:szCs w:val="20"/>
        </w:rPr>
        <w:t xml:space="preserve">amendée par la </w:t>
      </w:r>
      <w:r w:rsidRPr="00AE4E29">
        <w:rPr>
          <w:rFonts w:asciiTheme="majorHAnsi" w:hAnsiTheme="majorHAnsi"/>
          <w:i/>
          <w:iCs/>
          <w:color w:val="000000"/>
          <w:sz w:val="20"/>
          <w:szCs w:val="20"/>
        </w:rPr>
        <w:t>Recommandation de l’ICCAT amendant la Recommandation 17-02 sur la conservation de l’espadon de l’Atlantique Nord</w:t>
      </w:r>
      <w:r w:rsidRPr="00AE4E29">
        <w:rPr>
          <w:rFonts w:asciiTheme="majorHAnsi" w:hAnsiTheme="majorHAnsi"/>
          <w:color w:val="000000"/>
          <w:sz w:val="20"/>
          <w:szCs w:val="20"/>
        </w:rPr>
        <w:t xml:space="preserve"> (Rec. 19-03) et la </w:t>
      </w:r>
      <w:r w:rsidRPr="00AE4E29">
        <w:rPr>
          <w:rFonts w:asciiTheme="majorHAnsi" w:hAnsiTheme="majorHAnsi"/>
          <w:i/>
          <w:iCs/>
          <w:color w:val="000000"/>
          <w:sz w:val="20"/>
          <w:szCs w:val="20"/>
        </w:rPr>
        <w:t>Recommandation de l’ICCAT amendant la Recommandation 19-03 sur la conservation de l’espadon de l’Atlantique Nord</w:t>
      </w:r>
      <w:r w:rsidRPr="00AE4E29">
        <w:rPr>
          <w:rFonts w:asciiTheme="majorHAnsi" w:hAnsiTheme="majorHAnsi"/>
          <w:color w:val="000000"/>
          <w:sz w:val="20"/>
          <w:szCs w:val="20"/>
        </w:rPr>
        <w:t xml:space="preserve"> (Rec. 20-02) ;</w:t>
      </w:r>
    </w:p>
    <w:p w14:paraId="6AD339BD" w14:textId="77777777" w:rsidR="006303F1" w:rsidRPr="00AE4E29" w:rsidRDefault="006303F1" w:rsidP="00250689">
      <w:pPr>
        <w:ind w:firstLine="426"/>
        <w:rPr>
          <w:rFonts w:asciiTheme="majorHAnsi" w:hAnsiTheme="majorHAnsi"/>
          <w:sz w:val="20"/>
          <w:szCs w:val="20"/>
        </w:rPr>
      </w:pPr>
    </w:p>
    <w:p w14:paraId="445B0670" w14:textId="6AD0BF72" w:rsidR="006303F1" w:rsidRPr="00AE4E29" w:rsidRDefault="006303F1" w:rsidP="00250689">
      <w:pPr>
        <w:ind w:firstLine="426"/>
        <w:jc w:val="both"/>
        <w:rPr>
          <w:rFonts w:asciiTheme="majorHAnsi" w:hAnsiTheme="majorHAnsi"/>
          <w:sz w:val="20"/>
          <w:szCs w:val="20"/>
        </w:rPr>
      </w:pPr>
      <w:r w:rsidRPr="00AE4E29">
        <w:rPr>
          <w:rFonts w:asciiTheme="majorHAnsi" w:hAnsiTheme="majorHAnsi"/>
          <w:i/>
          <w:iCs/>
          <w:color w:val="000000"/>
          <w:sz w:val="20"/>
          <w:szCs w:val="20"/>
        </w:rPr>
        <w:t>NOTANT</w:t>
      </w:r>
      <w:r w:rsidRPr="00AE4E29">
        <w:rPr>
          <w:rFonts w:asciiTheme="majorHAnsi" w:hAnsiTheme="majorHAnsi"/>
          <w:color w:val="000000"/>
          <w:sz w:val="20"/>
          <w:szCs w:val="20"/>
        </w:rPr>
        <w:t xml:space="preserve"> la nécessité de poursuivre les mesures </w:t>
      </w:r>
      <w:r w:rsidR="00095694" w:rsidRPr="00AE4E29">
        <w:rPr>
          <w:rFonts w:asciiTheme="majorHAnsi" w:hAnsiTheme="majorHAnsi"/>
          <w:color w:val="000000"/>
          <w:sz w:val="20"/>
          <w:szCs w:val="20"/>
        </w:rPr>
        <w:t>pertinentes</w:t>
      </w:r>
      <w:r w:rsidRPr="00AE4E29">
        <w:rPr>
          <w:rFonts w:asciiTheme="majorHAnsi" w:hAnsiTheme="majorHAnsi"/>
          <w:color w:val="000000"/>
          <w:sz w:val="20"/>
          <w:szCs w:val="20"/>
        </w:rPr>
        <w:t xml:space="preserve"> pour la conservation et </w:t>
      </w:r>
      <w:r w:rsidR="000C6A39" w:rsidRPr="00AE4E29">
        <w:rPr>
          <w:rFonts w:asciiTheme="majorHAnsi" w:hAnsiTheme="majorHAnsi"/>
          <w:color w:val="000000"/>
          <w:sz w:val="20"/>
          <w:szCs w:val="20"/>
        </w:rPr>
        <w:t>la</w:t>
      </w:r>
      <w:r w:rsidRPr="00AE4E29">
        <w:rPr>
          <w:rFonts w:asciiTheme="majorHAnsi" w:hAnsiTheme="majorHAnsi"/>
          <w:color w:val="000000"/>
          <w:sz w:val="20"/>
          <w:szCs w:val="20"/>
        </w:rPr>
        <w:t xml:space="preserve"> gestion du stock d’espadon de l’Atlantique Nord ;</w:t>
      </w:r>
    </w:p>
    <w:p w14:paraId="7312DD69" w14:textId="77777777" w:rsidR="006303F1" w:rsidRPr="00AE4E29" w:rsidRDefault="006303F1" w:rsidP="00250689">
      <w:pPr>
        <w:ind w:firstLine="426"/>
        <w:rPr>
          <w:rFonts w:asciiTheme="majorHAnsi" w:hAnsiTheme="majorHAnsi"/>
          <w:sz w:val="20"/>
          <w:szCs w:val="20"/>
        </w:rPr>
      </w:pPr>
    </w:p>
    <w:p w14:paraId="35C50679" w14:textId="77777777" w:rsidR="006303F1" w:rsidRPr="00AE4E29" w:rsidRDefault="006303F1" w:rsidP="00250689">
      <w:pPr>
        <w:ind w:firstLine="426"/>
        <w:jc w:val="both"/>
        <w:rPr>
          <w:rFonts w:asciiTheme="majorHAnsi" w:hAnsiTheme="majorHAnsi"/>
          <w:sz w:val="20"/>
          <w:szCs w:val="20"/>
        </w:rPr>
      </w:pPr>
      <w:r w:rsidRPr="00AE4E29">
        <w:rPr>
          <w:rFonts w:asciiTheme="majorHAnsi" w:hAnsiTheme="majorHAnsi"/>
          <w:i/>
          <w:iCs/>
          <w:color w:val="000000"/>
          <w:sz w:val="20"/>
          <w:szCs w:val="20"/>
        </w:rPr>
        <w:t>CONSIDÉRANT</w:t>
      </w:r>
      <w:r w:rsidRPr="00AE4E29">
        <w:rPr>
          <w:rFonts w:asciiTheme="majorHAnsi" w:hAnsiTheme="majorHAnsi"/>
          <w:color w:val="000000"/>
          <w:sz w:val="20"/>
          <w:szCs w:val="20"/>
        </w:rPr>
        <w:t xml:space="preserve"> que le SCRS n'a formulé aucun nouvel avis en 2021 concernant les mesures de gestion de l'espadon de l'Atlantique Nord, mais consciente que, selon la dernière évaluation, le maintien du TAC actuel pour une année supplémentaire devrait permettre de maintenir le stock dans la zone verte du diagramme de Kobe, conformément à l'objectif de la Convention ICCAT ;</w:t>
      </w:r>
    </w:p>
    <w:p w14:paraId="62961736" w14:textId="77777777" w:rsidR="006303F1" w:rsidRPr="00AE4E29" w:rsidRDefault="006303F1" w:rsidP="00250689">
      <w:pPr>
        <w:ind w:firstLine="426"/>
        <w:rPr>
          <w:rFonts w:asciiTheme="majorHAnsi" w:hAnsiTheme="majorHAnsi"/>
          <w:sz w:val="20"/>
          <w:szCs w:val="20"/>
        </w:rPr>
      </w:pPr>
    </w:p>
    <w:p w14:paraId="330568DB" w14:textId="0543452B" w:rsidR="006303F1" w:rsidRPr="00AE4E29" w:rsidRDefault="006303F1" w:rsidP="00250689">
      <w:pPr>
        <w:ind w:firstLine="426"/>
        <w:jc w:val="both"/>
        <w:rPr>
          <w:rFonts w:asciiTheme="majorHAnsi" w:hAnsiTheme="majorHAnsi"/>
          <w:sz w:val="20"/>
          <w:szCs w:val="20"/>
        </w:rPr>
      </w:pPr>
      <w:r w:rsidRPr="00AE4E29">
        <w:rPr>
          <w:rFonts w:asciiTheme="majorHAnsi" w:hAnsiTheme="majorHAnsi"/>
          <w:i/>
          <w:iCs/>
          <w:color w:val="000000"/>
          <w:sz w:val="20"/>
          <w:szCs w:val="20"/>
        </w:rPr>
        <w:t>CONFIRMANT</w:t>
      </w:r>
      <w:r w:rsidRPr="00AE4E29">
        <w:rPr>
          <w:rFonts w:asciiTheme="majorHAnsi" w:hAnsiTheme="majorHAnsi"/>
          <w:color w:val="000000"/>
          <w:sz w:val="20"/>
          <w:szCs w:val="20"/>
        </w:rPr>
        <w:t xml:space="preserve"> que l'extension des mesures actuelles ne préjuge en rien des mesures ou des discussions futures ;</w:t>
      </w:r>
    </w:p>
    <w:p w14:paraId="71946529" w14:textId="77777777" w:rsidR="006303F1" w:rsidRPr="00AE4E29" w:rsidRDefault="006303F1" w:rsidP="00250689">
      <w:pPr>
        <w:ind w:firstLine="426"/>
        <w:rPr>
          <w:rFonts w:asciiTheme="majorHAnsi" w:hAnsiTheme="majorHAnsi"/>
          <w:sz w:val="20"/>
          <w:szCs w:val="20"/>
        </w:rPr>
      </w:pPr>
    </w:p>
    <w:p w14:paraId="64F9BA4C" w14:textId="00C13C05" w:rsidR="006303F1" w:rsidRPr="00AE4E29" w:rsidRDefault="006303F1" w:rsidP="00250689">
      <w:pPr>
        <w:ind w:firstLine="426"/>
        <w:jc w:val="both"/>
        <w:rPr>
          <w:rFonts w:asciiTheme="majorHAnsi" w:hAnsiTheme="majorHAnsi"/>
          <w:sz w:val="20"/>
          <w:szCs w:val="20"/>
        </w:rPr>
      </w:pPr>
      <w:r w:rsidRPr="00AE4E29">
        <w:rPr>
          <w:rFonts w:asciiTheme="majorHAnsi" w:hAnsiTheme="majorHAnsi"/>
          <w:i/>
          <w:iCs/>
          <w:color w:val="000000"/>
          <w:sz w:val="20"/>
          <w:szCs w:val="20"/>
        </w:rPr>
        <w:t>DÉSIREUSE</w:t>
      </w:r>
      <w:r w:rsidRPr="00AE4E29">
        <w:rPr>
          <w:rFonts w:asciiTheme="majorHAnsi" w:hAnsiTheme="majorHAnsi"/>
          <w:color w:val="000000"/>
          <w:sz w:val="20"/>
          <w:szCs w:val="20"/>
        </w:rPr>
        <w:t xml:space="preserve"> de donner effet, pour 2022, aux dispositions de l'Accord de commerce et de coopération entre le Royaume-Uni et l'Union européenne qui établissaient les parts respectives de ces deux Parties pour certaines espèces relevant de l’ICCAT, y compris l'espadon de l'Atlantique Nord ;</w:t>
      </w:r>
    </w:p>
    <w:p w14:paraId="5B6CDEBB" w14:textId="5BA6475E" w:rsidR="006303F1" w:rsidRPr="00AE4E29" w:rsidRDefault="006303F1" w:rsidP="006303F1">
      <w:pPr>
        <w:tabs>
          <w:tab w:val="left" w:pos="426"/>
        </w:tabs>
        <w:spacing w:line="240" w:lineRule="exact"/>
        <w:jc w:val="both"/>
        <w:rPr>
          <w:rFonts w:asciiTheme="majorHAnsi" w:hAnsiTheme="majorHAnsi"/>
          <w:sz w:val="20"/>
          <w:szCs w:val="20"/>
        </w:rPr>
      </w:pPr>
    </w:p>
    <w:p w14:paraId="150CBED0" w14:textId="77777777" w:rsidR="00B95218" w:rsidRPr="00AE4E29" w:rsidRDefault="00B95218" w:rsidP="006303F1">
      <w:pPr>
        <w:tabs>
          <w:tab w:val="left" w:pos="426"/>
        </w:tabs>
        <w:spacing w:line="240" w:lineRule="exact"/>
        <w:jc w:val="both"/>
        <w:rPr>
          <w:rFonts w:asciiTheme="majorHAnsi" w:hAnsiTheme="majorHAnsi"/>
          <w:sz w:val="20"/>
          <w:szCs w:val="20"/>
        </w:rPr>
      </w:pPr>
    </w:p>
    <w:p w14:paraId="7AA9A610" w14:textId="77777777" w:rsidR="006303F1" w:rsidRPr="00AE4E29" w:rsidRDefault="006303F1" w:rsidP="006303F1">
      <w:pPr>
        <w:spacing w:line="240" w:lineRule="exact"/>
        <w:jc w:val="center"/>
        <w:outlineLvl w:val="0"/>
        <w:rPr>
          <w:rFonts w:asciiTheme="majorHAnsi" w:hAnsiTheme="majorHAnsi"/>
          <w:sz w:val="20"/>
          <w:szCs w:val="20"/>
        </w:rPr>
      </w:pPr>
      <w:r w:rsidRPr="00AE4E29">
        <w:rPr>
          <w:rFonts w:asciiTheme="majorHAnsi" w:hAnsiTheme="majorHAnsi"/>
          <w:sz w:val="20"/>
          <w:szCs w:val="20"/>
        </w:rPr>
        <w:t>LA COMMISSION INTERNATIONALE POUR LA CONSERVATION</w:t>
      </w:r>
    </w:p>
    <w:p w14:paraId="5954B6DC" w14:textId="77777777" w:rsidR="006303F1" w:rsidRPr="00AE4E29" w:rsidRDefault="006303F1" w:rsidP="006303F1">
      <w:pPr>
        <w:spacing w:line="240" w:lineRule="exact"/>
        <w:jc w:val="center"/>
        <w:rPr>
          <w:rFonts w:asciiTheme="majorHAnsi" w:hAnsiTheme="majorHAnsi"/>
          <w:sz w:val="20"/>
          <w:szCs w:val="20"/>
        </w:rPr>
      </w:pPr>
      <w:r w:rsidRPr="00AE4E29">
        <w:rPr>
          <w:rFonts w:asciiTheme="majorHAnsi" w:hAnsiTheme="majorHAnsi"/>
          <w:sz w:val="20"/>
          <w:szCs w:val="20"/>
        </w:rPr>
        <w:t>DES THONIDÉS DE L’ATLANTIQUE (ICCAT) RECOMMANDE CE QUI SUIT :</w:t>
      </w:r>
    </w:p>
    <w:p w14:paraId="21F80A4A" w14:textId="2500E6FD" w:rsidR="006303F1" w:rsidRPr="00AE4E29" w:rsidRDefault="006303F1" w:rsidP="006303F1">
      <w:pPr>
        <w:spacing w:line="240" w:lineRule="exact"/>
        <w:jc w:val="center"/>
        <w:rPr>
          <w:rFonts w:asciiTheme="majorHAnsi" w:hAnsiTheme="majorHAnsi"/>
          <w:sz w:val="20"/>
          <w:szCs w:val="20"/>
        </w:rPr>
      </w:pPr>
    </w:p>
    <w:p w14:paraId="2EAA3EF2" w14:textId="77777777" w:rsidR="00B95218" w:rsidRPr="00AE4E29" w:rsidRDefault="00B95218" w:rsidP="006303F1">
      <w:pPr>
        <w:spacing w:line="240" w:lineRule="exact"/>
        <w:jc w:val="center"/>
        <w:rPr>
          <w:rFonts w:asciiTheme="majorHAnsi" w:hAnsiTheme="majorHAnsi"/>
          <w:sz w:val="20"/>
          <w:szCs w:val="20"/>
        </w:rPr>
      </w:pPr>
    </w:p>
    <w:p w14:paraId="43AF6FBB" w14:textId="14F72A9C" w:rsidR="006303F1" w:rsidRPr="00AE4E29" w:rsidRDefault="006303F1" w:rsidP="00250689">
      <w:pPr>
        <w:pStyle w:val="NormalWeb"/>
        <w:spacing w:before="0" w:beforeAutospacing="0" w:after="0" w:afterAutospacing="0"/>
        <w:ind w:left="426" w:hanging="426"/>
        <w:jc w:val="both"/>
        <w:rPr>
          <w:rFonts w:asciiTheme="majorHAnsi" w:hAnsiTheme="majorHAnsi"/>
          <w:sz w:val="20"/>
          <w:szCs w:val="20"/>
        </w:rPr>
      </w:pPr>
      <w:r w:rsidRPr="00AE4E29">
        <w:rPr>
          <w:rFonts w:asciiTheme="majorHAnsi" w:hAnsiTheme="majorHAnsi"/>
          <w:sz w:val="20"/>
          <w:szCs w:val="20"/>
        </w:rPr>
        <w:t>1</w:t>
      </w:r>
      <w:r w:rsidRPr="00AE4E29">
        <w:rPr>
          <w:rFonts w:asciiTheme="majorHAnsi" w:hAnsiTheme="majorHAnsi"/>
          <w:b/>
          <w:bCs/>
          <w:sz w:val="20"/>
          <w:szCs w:val="20"/>
        </w:rPr>
        <w:t>.</w:t>
      </w:r>
      <w:r w:rsidRPr="00AE4E29">
        <w:rPr>
          <w:rFonts w:asciiTheme="majorHAnsi" w:hAnsiTheme="majorHAnsi"/>
          <w:sz w:val="20"/>
          <w:szCs w:val="20"/>
        </w:rPr>
        <w:tab/>
        <w:t xml:space="preserve">Les dispositions de la </w:t>
      </w:r>
      <w:hyperlink r:id="rId7" w:history="1">
        <w:r w:rsidRPr="00AE4E29">
          <w:rPr>
            <w:rStyle w:val="Hyperlink"/>
            <w:rFonts w:asciiTheme="majorHAnsi" w:hAnsiTheme="majorHAnsi"/>
            <w:i/>
            <w:iCs/>
            <w:color w:val="000000"/>
            <w:sz w:val="20"/>
            <w:szCs w:val="20"/>
            <w:u w:val="none"/>
          </w:rPr>
          <w:t>Recommandation de l’ICCAT amendant la Recommandation 16-03 sur la conservation de l’espadon de l’Atlantique Nord</w:t>
        </w:r>
      </w:hyperlink>
      <w:r w:rsidRPr="00AE4E29">
        <w:rPr>
          <w:rFonts w:asciiTheme="majorHAnsi" w:hAnsiTheme="majorHAnsi"/>
          <w:sz w:val="20"/>
          <w:szCs w:val="20"/>
        </w:rPr>
        <w:t xml:space="preserve"> (Rec.</w:t>
      </w:r>
      <w:r w:rsidRPr="00AE4E29">
        <w:rPr>
          <w:rFonts w:asciiTheme="majorHAnsi" w:hAnsiTheme="majorHAnsi"/>
          <w:color w:val="000000"/>
          <w:sz w:val="20"/>
          <w:szCs w:val="20"/>
        </w:rPr>
        <w:t xml:space="preserve"> 17-02) devront être prorogées jusqu’à 2022 compris, avec les modifications suivantes :</w:t>
      </w:r>
    </w:p>
    <w:p w14:paraId="3C5E3146" w14:textId="77777777" w:rsidR="006303F1" w:rsidRPr="00AE4E29" w:rsidRDefault="006303F1" w:rsidP="006303F1">
      <w:pPr>
        <w:rPr>
          <w:rFonts w:asciiTheme="majorHAnsi" w:hAnsiTheme="majorHAnsi"/>
          <w:sz w:val="20"/>
          <w:szCs w:val="20"/>
        </w:rPr>
      </w:pPr>
    </w:p>
    <w:p w14:paraId="04952A31" w14:textId="5E0E3E4C" w:rsidR="006303F1" w:rsidRPr="00AE4E29" w:rsidRDefault="006303F1" w:rsidP="002956CB">
      <w:pPr>
        <w:tabs>
          <w:tab w:val="left" w:pos="426"/>
        </w:tabs>
        <w:rPr>
          <w:rFonts w:asciiTheme="majorHAnsi" w:hAnsiTheme="majorHAnsi"/>
          <w:sz w:val="20"/>
          <w:szCs w:val="20"/>
        </w:rPr>
      </w:pPr>
      <w:r w:rsidRPr="00AE4E29">
        <w:rPr>
          <w:rFonts w:asciiTheme="majorHAnsi" w:hAnsiTheme="majorHAnsi"/>
          <w:color w:val="000000"/>
          <w:sz w:val="20"/>
          <w:szCs w:val="20"/>
        </w:rPr>
        <w:t xml:space="preserve">A. </w:t>
      </w:r>
      <w:r w:rsidR="002956CB" w:rsidRPr="00AE4E29">
        <w:rPr>
          <w:rFonts w:asciiTheme="majorHAnsi" w:hAnsiTheme="majorHAnsi"/>
          <w:color w:val="000000"/>
          <w:sz w:val="20"/>
          <w:szCs w:val="20"/>
        </w:rPr>
        <w:tab/>
      </w:r>
      <w:r w:rsidRPr="00AE4E29">
        <w:rPr>
          <w:rFonts w:asciiTheme="majorHAnsi" w:hAnsiTheme="majorHAnsi"/>
          <w:color w:val="000000"/>
          <w:sz w:val="20"/>
          <w:szCs w:val="20"/>
        </w:rPr>
        <w:t>Les sous-paragraphes 2(a) et (b) devront être remplacés par le texte suivant :</w:t>
      </w:r>
    </w:p>
    <w:p w14:paraId="69805285" w14:textId="77777777" w:rsidR="006303F1" w:rsidRPr="00AE4E29" w:rsidRDefault="006303F1" w:rsidP="006303F1">
      <w:pPr>
        <w:tabs>
          <w:tab w:val="left" w:pos="709"/>
          <w:tab w:val="left" w:pos="993"/>
        </w:tabs>
        <w:spacing w:line="240" w:lineRule="exact"/>
        <w:jc w:val="both"/>
        <w:rPr>
          <w:rFonts w:asciiTheme="majorHAnsi" w:hAnsiTheme="majorHAnsi"/>
          <w:sz w:val="20"/>
          <w:szCs w:val="20"/>
        </w:rPr>
      </w:pPr>
    </w:p>
    <w:p w14:paraId="7AEAA569" w14:textId="77777777" w:rsidR="006303F1" w:rsidRPr="00AE4E29" w:rsidRDefault="006303F1" w:rsidP="006303F1">
      <w:pPr>
        <w:tabs>
          <w:tab w:val="left" w:pos="426"/>
          <w:tab w:val="left" w:pos="993"/>
        </w:tabs>
        <w:spacing w:line="240" w:lineRule="exact"/>
        <w:ind w:left="426" w:hanging="426"/>
        <w:jc w:val="both"/>
        <w:rPr>
          <w:rFonts w:asciiTheme="majorHAnsi" w:hAnsiTheme="majorHAnsi"/>
          <w:sz w:val="20"/>
          <w:szCs w:val="20"/>
        </w:rPr>
      </w:pPr>
      <w:r w:rsidRPr="00AE4E29">
        <w:rPr>
          <w:rFonts w:asciiTheme="majorHAnsi" w:hAnsiTheme="majorHAnsi"/>
          <w:sz w:val="20"/>
          <w:szCs w:val="20"/>
        </w:rPr>
        <w:tab/>
        <w:t>« 2.</w:t>
      </w:r>
      <w:r w:rsidRPr="00AE4E29">
        <w:rPr>
          <w:rFonts w:asciiTheme="majorHAnsi" w:hAnsiTheme="majorHAnsi"/>
          <w:sz w:val="20"/>
          <w:szCs w:val="20"/>
        </w:rPr>
        <w:tab/>
        <w:t>TAC et limites de capture</w:t>
      </w:r>
    </w:p>
    <w:p w14:paraId="16D898F8" w14:textId="77777777" w:rsidR="006303F1" w:rsidRPr="00AE4E29" w:rsidRDefault="006303F1" w:rsidP="006303F1">
      <w:pPr>
        <w:tabs>
          <w:tab w:val="left" w:pos="426"/>
          <w:tab w:val="left" w:pos="709"/>
          <w:tab w:val="left" w:pos="993"/>
        </w:tabs>
        <w:spacing w:line="240" w:lineRule="exact"/>
        <w:jc w:val="both"/>
        <w:rPr>
          <w:rFonts w:asciiTheme="majorHAnsi" w:hAnsiTheme="majorHAnsi"/>
          <w:sz w:val="20"/>
          <w:szCs w:val="20"/>
        </w:rPr>
      </w:pPr>
    </w:p>
    <w:p w14:paraId="0E712442" w14:textId="3FA9DED0" w:rsidR="006303F1" w:rsidRPr="00AE4E29" w:rsidRDefault="006303F1" w:rsidP="002956CB">
      <w:pPr>
        <w:tabs>
          <w:tab w:val="left" w:pos="426"/>
          <w:tab w:val="left" w:pos="851"/>
          <w:tab w:val="left" w:pos="1276"/>
        </w:tabs>
        <w:ind w:left="1276" w:hanging="294"/>
        <w:jc w:val="both"/>
        <w:rPr>
          <w:rFonts w:asciiTheme="majorHAnsi" w:hAnsiTheme="majorHAnsi"/>
          <w:sz w:val="20"/>
          <w:szCs w:val="20"/>
        </w:rPr>
      </w:pPr>
      <w:r w:rsidRPr="00AE4E29">
        <w:rPr>
          <w:rFonts w:asciiTheme="majorHAnsi" w:hAnsiTheme="majorHAnsi"/>
          <w:sz w:val="20"/>
          <w:szCs w:val="20"/>
        </w:rPr>
        <w:t xml:space="preserve">a) </w:t>
      </w:r>
      <w:r w:rsidR="002956CB" w:rsidRPr="00AE4E29">
        <w:rPr>
          <w:rFonts w:asciiTheme="majorHAnsi" w:hAnsiTheme="majorHAnsi"/>
          <w:sz w:val="20"/>
          <w:szCs w:val="20"/>
        </w:rPr>
        <w:tab/>
      </w:r>
      <w:r w:rsidRPr="00AE4E29">
        <w:rPr>
          <w:rFonts w:asciiTheme="majorHAnsi" w:hAnsiTheme="majorHAnsi"/>
          <w:sz w:val="20"/>
          <w:szCs w:val="20"/>
        </w:rPr>
        <w:t>Le total des prises admissibles (TAC) devra être établi à 13.200 t pour l'espadon de l'Atlantique Nord au titre de 2018, 2019, 2020, 2021 et 2022.</w:t>
      </w:r>
    </w:p>
    <w:p w14:paraId="2588BA5D" w14:textId="77777777" w:rsidR="006303F1" w:rsidRPr="00AE4E29" w:rsidRDefault="006303F1" w:rsidP="006303F1">
      <w:pPr>
        <w:tabs>
          <w:tab w:val="left" w:pos="426"/>
          <w:tab w:val="left" w:pos="851"/>
          <w:tab w:val="left" w:pos="1276"/>
        </w:tabs>
        <w:spacing w:line="240" w:lineRule="exact"/>
        <w:jc w:val="both"/>
        <w:rPr>
          <w:rFonts w:asciiTheme="majorHAnsi" w:hAnsiTheme="majorHAnsi"/>
          <w:sz w:val="20"/>
          <w:szCs w:val="20"/>
        </w:rPr>
      </w:pPr>
    </w:p>
    <w:p w14:paraId="09625915" w14:textId="3FDD59AE" w:rsidR="006303F1" w:rsidRPr="00AE4E29" w:rsidRDefault="006303F1" w:rsidP="002956CB">
      <w:pPr>
        <w:tabs>
          <w:tab w:val="left" w:pos="426"/>
          <w:tab w:val="left" w:pos="851"/>
          <w:tab w:val="left" w:pos="1276"/>
        </w:tabs>
        <w:ind w:left="1276" w:hanging="294"/>
        <w:jc w:val="both"/>
        <w:rPr>
          <w:rFonts w:asciiTheme="majorHAnsi" w:hAnsiTheme="majorHAnsi"/>
          <w:sz w:val="20"/>
          <w:szCs w:val="20"/>
        </w:rPr>
      </w:pPr>
      <w:r w:rsidRPr="00AE4E29">
        <w:rPr>
          <w:rFonts w:asciiTheme="majorHAnsi" w:hAnsiTheme="majorHAnsi"/>
          <w:sz w:val="20"/>
          <w:szCs w:val="20"/>
        </w:rPr>
        <w:t>b)</w:t>
      </w:r>
      <w:r w:rsidR="002956CB" w:rsidRPr="00AE4E29">
        <w:rPr>
          <w:rFonts w:asciiTheme="majorHAnsi" w:hAnsiTheme="majorHAnsi"/>
          <w:sz w:val="20"/>
          <w:szCs w:val="20"/>
        </w:rPr>
        <w:tab/>
      </w:r>
      <w:r w:rsidRPr="00AE4E29">
        <w:rPr>
          <w:rFonts w:asciiTheme="majorHAnsi" w:hAnsiTheme="majorHAnsi"/>
          <w:sz w:val="20"/>
          <w:szCs w:val="20"/>
        </w:rPr>
        <w:t>Les limites annuelles de capture telles qu'illustrées dans le tableau ci-dessous devront être appliquées au titre de 2018, 2019, 2020, 2021 et 2022 :</w:t>
      </w:r>
      <w:r w:rsidRPr="00AE4E29">
        <w:rPr>
          <w:rFonts w:asciiTheme="majorHAnsi" w:hAnsiTheme="majorHAnsi"/>
          <w:sz w:val="20"/>
          <w:szCs w:val="20"/>
        </w:rPr>
        <w:br w:type="page"/>
      </w:r>
    </w:p>
    <w:tbl>
      <w:tblPr>
        <w:tblStyle w:val="TableauNorm"/>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2593"/>
      </w:tblGrid>
      <w:tr w:rsidR="006303F1" w:rsidRPr="00AE4E29" w14:paraId="3F21E1C7" w14:textId="77777777" w:rsidTr="00250689">
        <w:trPr>
          <w:trHeight w:val="327"/>
        </w:trPr>
        <w:tc>
          <w:tcPr>
            <w:tcW w:w="3644" w:type="dxa"/>
            <w:tcBorders>
              <w:bottom w:val="single" w:sz="4" w:space="0" w:color="auto"/>
            </w:tcBorders>
          </w:tcPr>
          <w:p w14:paraId="1D001F32"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p>
        </w:tc>
        <w:tc>
          <w:tcPr>
            <w:tcW w:w="2593" w:type="dxa"/>
            <w:tcBorders>
              <w:bottom w:val="single" w:sz="4" w:space="0" w:color="auto"/>
            </w:tcBorders>
          </w:tcPr>
          <w:p w14:paraId="28B98D38"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hAnsiTheme="majorHAnsi"/>
                <w:i/>
                <w:sz w:val="20"/>
                <w:szCs w:val="20"/>
              </w:rPr>
            </w:pPr>
            <w:r w:rsidRPr="00AE4E29">
              <w:rPr>
                <w:rFonts w:asciiTheme="majorHAnsi" w:hAnsiTheme="majorHAnsi"/>
                <w:i/>
                <w:sz w:val="20"/>
                <w:szCs w:val="20"/>
              </w:rPr>
              <w:t xml:space="preserve">Limite de capture ** </w:t>
            </w:r>
          </w:p>
          <w:p w14:paraId="716B5ED4"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i/>
                <w:sz w:val="20"/>
                <w:szCs w:val="20"/>
              </w:rPr>
              <w:t>13.200 (t)</w:t>
            </w:r>
          </w:p>
        </w:tc>
      </w:tr>
      <w:tr w:rsidR="006303F1" w:rsidRPr="00AE4E29" w14:paraId="28B45B5B" w14:textId="77777777" w:rsidTr="00250689">
        <w:trPr>
          <w:trHeight w:val="74"/>
        </w:trPr>
        <w:tc>
          <w:tcPr>
            <w:tcW w:w="3644" w:type="dxa"/>
            <w:tcBorders>
              <w:top w:val="single" w:sz="4" w:space="0" w:color="auto"/>
              <w:left w:val="single" w:sz="4" w:space="0" w:color="auto"/>
              <w:bottom w:val="single" w:sz="4" w:space="0" w:color="auto"/>
              <w:right w:val="nil"/>
            </w:tcBorders>
          </w:tcPr>
          <w:p w14:paraId="11DF6564"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Union européenne ***</w:t>
            </w:r>
          </w:p>
          <w:p w14:paraId="4241557D"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 xml:space="preserve">États-Unis *** </w:t>
            </w:r>
          </w:p>
          <w:p w14:paraId="5F798409"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Canada</w:t>
            </w:r>
          </w:p>
          <w:p w14:paraId="53CB2F20"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Japon ***</w:t>
            </w:r>
          </w:p>
          <w:p w14:paraId="34DBC102"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Maroc</w:t>
            </w:r>
          </w:p>
          <w:p w14:paraId="6D883028"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Mexique</w:t>
            </w:r>
          </w:p>
          <w:p w14:paraId="1CAC64D8"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Brésil</w:t>
            </w:r>
          </w:p>
          <w:p w14:paraId="1CA5851E"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Barbade</w:t>
            </w:r>
          </w:p>
          <w:p w14:paraId="14F090CA"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Venezuela</w:t>
            </w:r>
          </w:p>
          <w:p w14:paraId="6BEF5465" w14:textId="4F90C66A"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Trini</w:t>
            </w:r>
            <w:r w:rsidR="00902400" w:rsidRPr="00AE4E29">
              <w:rPr>
                <w:rFonts w:asciiTheme="majorHAnsi" w:hAnsiTheme="majorHAnsi"/>
                <w:sz w:val="20"/>
                <w:szCs w:val="20"/>
              </w:rPr>
              <w:t>té-et-</w:t>
            </w:r>
            <w:r w:rsidRPr="00AE4E29">
              <w:rPr>
                <w:rFonts w:asciiTheme="majorHAnsi" w:hAnsiTheme="majorHAnsi"/>
                <w:sz w:val="20"/>
                <w:szCs w:val="20"/>
              </w:rPr>
              <w:t>Tobago</w:t>
            </w:r>
          </w:p>
          <w:p w14:paraId="57859DAD"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Royaume-Uni (Territoires d'O.M.)</w:t>
            </w:r>
          </w:p>
          <w:p w14:paraId="3BFEE0C5"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France (Saint-Pierre-et-Miquelon)</w:t>
            </w:r>
          </w:p>
          <w:p w14:paraId="3C01C720"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Chine</w:t>
            </w:r>
          </w:p>
          <w:p w14:paraId="2B40DD22"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Sénégal</w:t>
            </w:r>
          </w:p>
          <w:p w14:paraId="72703844"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Corée***</w:t>
            </w:r>
          </w:p>
          <w:p w14:paraId="562B7D84" w14:textId="77777777" w:rsidR="006303F1" w:rsidRPr="00AE4E29" w:rsidRDefault="006303F1" w:rsidP="006046A8">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Belize***</w:t>
            </w:r>
          </w:p>
          <w:p w14:paraId="5D7B11AF"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 xml:space="preserve">Côte d’Ivoire </w:t>
            </w:r>
          </w:p>
          <w:p w14:paraId="55625385"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Saint-Vincent-et-les Grenadines</w:t>
            </w:r>
          </w:p>
          <w:p w14:paraId="382AF334"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Vanuatu</w:t>
            </w:r>
          </w:p>
          <w:p w14:paraId="62C0DC38" w14:textId="77777777" w:rsidR="006303F1" w:rsidRPr="00AE4E29" w:rsidRDefault="006303F1" w:rsidP="0037465E">
            <w:pPr>
              <w:tabs>
                <w:tab w:val="left" w:pos="426"/>
                <w:tab w:val="left" w:pos="709"/>
                <w:tab w:val="left" w:pos="993"/>
              </w:tabs>
              <w:autoSpaceDE w:val="0"/>
              <w:autoSpaceDN w:val="0"/>
              <w:adjustRightInd w:val="0"/>
              <w:spacing w:line="240" w:lineRule="exact"/>
              <w:rPr>
                <w:rFonts w:asciiTheme="majorHAnsi" w:eastAsia="Times New Roman" w:hAnsiTheme="majorHAnsi"/>
                <w:sz w:val="20"/>
                <w:szCs w:val="20"/>
              </w:rPr>
            </w:pPr>
            <w:r w:rsidRPr="00AE4E29">
              <w:rPr>
                <w:rFonts w:asciiTheme="majorHAnsi" w:hAnsiTheme="majorHAnsi"/>
                <w:sz w:val="20"/>
                <w:szCs w:val="20"/>
              </w:rPr>
              <w:t>Taipei chinois</w:t>
            </w:r>
          </w:p>
        </w:tc>
        <w:tc>
          <w:tcPr>
            <w:tcW w:w="2593" w:type="dxa"/>
            <w:tcBorders>
              <w:top w:val="single" w:sz="4" w:space="0" w:color="auto"/>
              <w:left w:val="nil"/>
              <w:bottom w:val="single" w:sz="4" w:space="0" w:color="auto"/>
              <w:right w:val="single" w:sz="4" w:space="0" w:color="auto"/>
            </w:tcBorders>
          </w:tcPr>
          <w:p w14:paraId="1BCD3161"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6.718*</w:t>
            </w:r>
          </w:p>
          <w:p w14:paraId="29EC1255"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3.907*</w:t>
            </w:r>
          </w:p>
          <w:p w14:paraId="60881447"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1.348*</w:t>
            </w:r>
          </w:p>
          <w:p w14:paraId="5F7ED9FB"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842*</w:t>
            </w:r>
          </w:p>
          <w:p w14:paraId="207D6B7F"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850</w:t>
            </w:r>
          </w:p>
          <w:p w14:paraId="06919D8A"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200</w:t>
            </w:r>
          </w:p>
          <w:p w14:paraId="1B5565AA"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50</w:t>
            </w:r>
          </w:p>
          <w:p w14:paraId="3629FCE1"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45</w:t>
            </w:r>
          </w:p>
          <w:p w14:paraId="03D72094"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85</w:t>
            </w:r>
          </w:p>
          <w:p w14:paraId="6F098343"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125</w:t>
            </w:r>
          </w:p>
          <w:p w14:paraId="5AFD95B4"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35</w:t>
            </w:r>
          </w:p>
          <w:p w14:paraId="4D64F7AD"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40</w:t>
            </w:r>
          </w:p>
          <w:p w14:paraId="357E8728"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100</w:t>
            </w:r>
          </w:p>
          <w:p w14:paraId="5213E52B"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250</w:t>
            </w:r>
          </w:p>
          <w:p w14:paraId="604B8214"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50</w:t>
            </w:r>
          </w:p>
          <w:p w14:paraId="4BCA22D7" w14:textId="77777777" w:rsidR="006303F1" w:rsidRPr="00AE4E29" w:rsidRDefault="006303F1" w:rsidP="006046A8">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130</w:t>
            </w:r>
          </w:p>
          <w:p w14:paraId="24A76953"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50</w:t>
            </w:r>
          </w:p>
          <w:p w14:paraId="4580591D"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75</w:t>
            </w:r>
          </w:p>
          <w:p w14:paraId="67E77DB5"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25</w:t>
            </w:r>
          </w:p>
          <w:p w14:paraId="36CE703B" w14:textId="77777777" w:rsidR="006303F1" w:rsidRPr="00AE4E29" w:rsidRDefault="006303F1" w:rsidP="0037465E">
            <w:pPr>
              <w:tabs>
                <w:tab w:val="left" w:pos="426"/>
                <w:tab w:val="left" w:pos="709"/>
                <w:tab w:val="left" w:pos="993"/>
              </w:tabs>
              <w:autoSpaceDE w:val="0"/>
              <w:autoSpaceDN w:val="0"/>
              <w:adjustRightInd w:val="0"/>
              <w:spacing w:line="240" w:lineRule="exact"/>
              <w:jc w:val="center"/>
              <w:rPr>
                <w:rFonts w:asciiTheme="majorHAnsi" w:eastAsia="Times New Roman" w:hAnsiTheme="majorHAnsi"/>
                <w:sz w:val="20"/>
                <w:szCs w:val="20"/>
              </w:rPr>
            </w:pPr>
            <w:r w:rsidRPr="00AE4E29">
              <w:rPr>
                <w:rFonts w:asciiTheme="majorHAnsi" w:hAnsiTheme="majorHAnsi"/>
                <w:sz w:val="20"/>
                <w:szCs w:val="20"/>
              </w:rPr>
              <w:t>270</w:t>
            </w:r>
          </w:p>
        </w:tc>
      </w:tr>
    </w:tbl>
    <w:p w14:paraId="51260AE5" w14:textId="77777777" w:rsidR="00780989" w:rsidRPr="00AE4E29" w:rsidRDefault="00780989" w:rsidP="006303F1">
      <w:pPr>
        <w:autoSpaceDE w:val="0"/>
        <w:autoSpaceDN w:val="0"/>
        <w:adjustRightInd w:val="0"/>
        <w:spacing w:before="60"/>
        <w:ind w:left="993" w:right="992"/>
        <w:jc w:val="both"/>
        <w:rPr>
          <w:rFonts w:asciiTheme="majorHAnsi" w:hAnsiTheme="majorHAnsi"/>
          <w:sz w:val="16"/>
          <w:szCs w:val="16"/>
        </w:rPr>
      </w:pPr>
    </w:p>
    <w:p w14:paraId="2A217652" w14:textId="1BC9858C" w:rsidR="006303F1" w:rsidRPr="00AE4E29" w:rsidRDefault="006303F1" w:rsidP="006303F1">
      <w:pPr>
        <w:autoSpaceDE w:val="0"/>
        <w:autoSpaceDN w:val="0"/>
        <w:adjustRightInd w:val="0"/>
        <w:spacing w:before="60"/>
        <w:ind w:left="993" w:right="992"/>
        <w:jc w:val="both"/>
        <w:rPr>
          <w:rFonts w:asciiTheme="majorHAnsi" w:hAnsiTheme="majorHAnsi"/>
          <w:sz w:val="16"/>
          <w:szCs w:val="16"/>
        </w:rPr>
      </w:pPr>
      <w:r w:rsidRPr="00AE4E29">
        <w:rPr>
          <w:rFonts w:asciiTheme="majorHAnsi" w:hAnsiTheme="majorHAnsi"/>
          <w:sz w:val="16"/>
          <w:szCs w:val="16"/>
        </w:rPr>
        <w:t>*Les limites de capture de ces quatre CPC se fondent sur l’allocation de quota indiquée au paragraphe</w:t>
      </w:r>
      <w:r w:rsidR="00902400" w:rsidRPr="00AE4E29">
        <w:rPr>
          <w:rFonts w:asciiTheme="majorHAnsi" w:hAnsiTheme="majorHAnsi"/>
          <w:sz w:val="16"/>
          <w:szCs w:val="16"/>
        </w:rPr>
        <w:t> </w:t>
      </w:r>
      <w:r w:rsidRPr="00AE4E29">
        <w:rPr>
          <w:rFonts w:asciiTheme="majorHAnsi" w:hAnsiTheme="majorHAnsi"/>
          <w:sz w:val="16"/>
          <w:szCs w:val="16"/>
        </w:rPr>
        <w:t xml:space="preserve">3c) de la </w:t>
      </w:r>
      <w:r w:rsidRPr="00AE4E29">
        <w:rPr>
          <w:rFonts w:asciiTheme="majorHAnsi" w:hAnsiTheme="majorHAnsi"/>
          <w:i/>
          <w:sz w:val="16"/>
          <w:szCs w:val="16"/>
        </w:rPr>
        <w:t>Recommandation supplémentaire de l</w:t>
      </w:r>
      <w:r w:rsidRPr="00AE4E29">
        <w:rPr>
          <w:rFonts w:asciiTheme="majorHAnsi" w:hAnsiTheme="majorHAnsi"/>
          <w:i/>
          <w:iCs/>
          <w:sz w:val="16"/>
          <w:szCs w:val="16"/>
        </w:rPr>
        <w:t>’ICCAT visant à amender le programme de rétablissement de l’espadon de l’Atlantique Nord</w:t>
      </w:r>
      <w:r w:rsidRPr="00AE4E29">
        <w:rPr>
          <w:rFonts w:asciiTheme="majorHAnsi" w:hAnsiTheme="majorHAnsi"/>
          <w:sz w:val="16"/>
          <w:szCs w:val="16"/>
        </w:rPr>
        <w:t xml:space="preserve"> [Rec. 06-02].</w:t>
      </w:r>
    </w:p>
    <w:p w14:paraId="60C4ED78" w14:textId="77777777" w:rsidR="006303F1" w:rsidRPr="00AE4E29" w:rsidRDefault="006303F1" w:rsidP="006303F1">
      <w:pPr>
        <w:autoSpaceDE w:val="0"/>
        <w:autoSpaceDN w:val="0"/>
        <w:adjustRightInd w:val="0"/>
        <w:ind w:left="992" w:right="992"/>
        <w:jc w:val="both"/>
        <w:rPr>
          <w:rFonts w:asciiTheme="majorHAnsi" w:hAnsiTheme="majorHAnsi"/>
          <w:sz w:val="16"/>
          <w:szCs w:val="16"/>
        </w:rPr>
      </w:pPr>
    </w:p>
    <w:p w14:paraId="7DD711F2" w14:textId="26AD9CA2" w:rsidR="006303F1" w:rsidRPr="00AE4E29" w:rsidRDefault="006303F1" w:rsidP="006303F1">
      <w:pPr>
        <w:tabs>
          <w:tab w:val="left" w:pos="2268"/>
        </w:tabs>
        <w:autoSpaceDE w:val="0"/>
        <w:autoSpaceDN w:val="0"/>
        <w:adjustRightInd w:val="0"/>
        <w:ind w:left="993" w:right="992"/>
        <w:rPr>
          <w:rFonts w:asciiTheme="majorHAnsi" w:hAnsiTheme="majorHAnsi"/>
          <w:sz w:val="16"/>
          <w:szCs w:val="16"/>
        </w:rPr>
      </w:pPr>
      <w:r w:rsidRPr="00AE4E29">
        <w:rPr>
          <w:rFonts w:asciiTheme="majorHAnsi" w:hAnsiTheme="majorHAnsi"/>
          <w:sz w:val="16"/>
          <w:szCs w:val="16"/>
        </w:rPr>
        <w:t>**</w:t>
      </w:r>
      <w:r w:rsidR="00B95218" w:rsidRPr="00AE4E29">
        <w:rPr>
          <w:rFonts w:asciiTheme="majorHAnsi" w:hAnsiTheme="majorHAnsi"/>
          <w:sz w:val="16"/>
          <w:szCs w:val="16"/>
        </w:rPr>
        <w:t xml:space="preserve"> </w:t>
      </w:r>
      <w:r w:rsidRPr="00AE4E29">
        <w:rPr>
          <w:rFonts w:asciiTheme="majorHAnsi" w:hAnsiTheme="majorHAnsi"/>
          <w:sz w:val="16"/>
          <w:szCs w:val="16"/>
        </w:rPr>
        <w:t>Les transferts suivants des limites annuelles de capture devront être autorisés :</w:t>
      </w:r>
    </w:p>
    <w:p w14:paraId="3ED86CB2" w14:textId="1D151405" w:rsidR="006303F1" w:rsidRPr="00AE4E29" w:rsidRDefault="006303F1" w:rsidP="00902400">
      <w:pPr>
        <w:tabs>
          <w:tab w:val="left" w:pos="1701"/>
        </w:tabs>
        <w:autoSpaceDE w:val="0"/>
        <w:autoSpaceDN w:val="0"/>
        <w:adjustRightInd w:val="0"/>
        <w:ind w:left="1701" w:right="992"/>
        <w:jc w:val="both"/>
        <w:rPr>
          <w:rFonts w:asciiTheme="majorHAnsi" w:hAnsiTheme="majorHAnsi"/>
          <w:sz w:val="16"/>
          <w:szCs w:val="16"/>
        </w:rPr>
      </w:pPr>
      <w:r w:rsidRPr="00AE4E29">
        <w:rPr>
          <w:rFonts w:asciiTheme="majorHAnsi" w:hAnsiTheme="majorHAnsi"/>
          <w:sz w:val="16"/>
          <w:szCs w:val="16"/>
        </w:rPr>
        <w:t xml:space="preserve">Du Japon au Maroc : 100 t au titre de chaque année 2018 et 2019, et 150 t au titre de </w:t>
      </w:r>
      <w:r w:rsidR="001E3763" w:rsidRPr="00AE4E29">
        <w:rPr>
          <w:rFonts w:asciiTheme="majorHAnsi" w:hAnsiTheme="majorHAnsi"/>
          <w:sz w:val="16"/>
          <w:szCs w:val="16"/>
        </w:rPr>
        <w:t xml:space="preserve">chaque année </w:t>
      </w:r>
      <w:r w:rsidRPr="00AE4E29">
        <w:rPr>
          <w:rFonts w:asciiTheme="majorHAnsi" w:hAnsiTheme="majorHAnsi"/>
          <w:sz w:val="16"/>
          <w:szCs w:val="16"/>
        </w:rPr>
        <w:t>2020, 2021 et 2022.</w:t>
      </w:r>
    </w:p>
    <w:p w14:paraId="0FCEC534" w14:textId="4B9B36A7" w:rsidR="006303F1" w:rsidRPr="00AE4E29" w:rsidRDefault="006303F1" w:rsidP="006303F1">
      <w:pPr>
        <w:tabs>
          <w:tab w:val="left" w:pos="1701"/>
        </w:tabs>
        <w:autoSpaceDE w:val="0"/>
        <w:autoSpaceDN w:val="0"/>
        <w:adjustRightInd w:val="0"/>
        <w:ind w:left="992" w:right="992"/>
        <w:jc w:val="both"/>
        <w:rPr>
          <w:rFonts w:asciiTheme="majorHAnsi" w:hAnsiTheme="majorHAnsi"/>
          <w:sz w:val="16"/>
          <w:szCs w:val="16"/>
        </w:rPr>
      </w:pPr>
      <w:r w:rsidRPr="00AE4E29">
        <w:rPr>
          <w:rFonts w:asciiTheme="majorHAnsi" w:hAnsiTheme="majorHAnsi"/>
          <w:sz w:val="16"/>
          <w:szCs w:val="16"/>
        </w:rPr>
        <w:tab/>
        <w:t xml:space="preserve">Du Japon au Canada : 35 t </w:t>
      </w:r>
    </w:p>
    <w:p w14:paraId="0A701BE2" w14:textId="5542AE5F" w:rsidR="006303F1" w:rsidRPr="00AE4E29" w:rsidRDefault="006303F1" w:rsidP="006303F1">
      <w:pPr>
        <w:tabs>
          <w:tab w:val="left" w:pos="1701"/>
        </w:tabs>
        <w:autoSpaceDE w:val="0"/>
        <w:autoSpaceDN w:val="0"/>
        <w:adjustRightInd w:val="0"/>
        <w:ind w:left="992" w:right="992"/>
        <w:jc w:val="both"/>
        <w:rPr>
          <w:rFonts w:asciiTheme="majorHAnsi" w:hAnsiTheme="majorHAnsi"/>
          <w:sz w:val="16"/>
          <w:szCs w:val="16"/>
        </w:rPr>
      </w:pPr>
      <w:r w:rsidRPr="00AE4E29">
        <w:rPr>
          <w:rFonts w:asciiTheme="majorHAnsi" w:hAnsiTheme="majorHAnsi"/>
          <w:sz w:val="16"/>
          <w:szCs w:val="16"/>
        </w:rPr>
        <w:tab/>
        <w:t>De l'UE à la France (St Pierre et Miquelon) : 40 t</w:t>
      </w:r>
    </w:p>
    <w:p w14:paraId="09EA653A" w14:textId="78563B3C" w:rsidR="006303F1" w:rsidRPr="00AE4E29" w:rsidRDefault="006303F1" w:rsidP="006303F1">
      <w:pPr>
        <w:tabs>
          <w:tab w:val="left" w:pos="1701"/>
        </w:tabs>
        <w:autoSpaceDE w:val="0"/>
        <w:autoSpaceDN w:val="0"/>
        <w:adjustRightInd w:val="0"/>
        <w:ind w:left="992" w:right="992"/>
        <w:jc w:val="both"/>
        <w:rPr>
          <w:rFonts w:asciiTheme="majorHAnsi" w:hAnsiTheme="majorHAnsi"/>
          <w:sz w:val="16"/>
          <w:szCs w:val="16"/>
        </w:rPr>
      </w:pPr>
      <w:r w:rsidRPr="00AE4E29">
        <w:rPr>
          <w:rFonts w:asciiTheme="majorHAnsi" w:hAnsiTheme="majorHAnsi"/>
          <w:sz w:val="16"/>
          <w:szCs w:val="16"/>
        </w:rPr>
        <w:tab/>
        <w:t>Du Venezuela à la France (Saint-Pierre-et-Miquelon) : 12,75 t</w:t>
      </w:r>
    </w:p>
    <w:p w14:paraId="003A176C" w14:textId="1F2B56D3" w:rsidR="006303F1" w:rsidRPr="00AE4E29" w:rsidRDefault="006303F1" w:rsidP="006303F1">
      <w:pPr>
        <w:tabs>
          <w:tab w:val="left" w:pos="1701"/>
        </w:tabs>
        <w:autoSpaceDE w:val="0"/>
        <w:autoSpaceDN w:val="0"/>
        <w:adjustRightInd w:val="0"/>
        <w:ind w:left="992" w:right="992"/>
        <w:jc w:val="both"/>
        <w:rPr>
          <w:rFonts w:asciiTheme="majorHAnsi" w:hAnsiTheme="majorHAnsi"/>
          <w:sz w:val="16"/>
          <w:szCs w:val="16"/>
        </w:rPr>
      </w:pPr>
      <w:r w:rsidRPr="00AE4E29">
        <w:rPr>
          <w:rFonts w:asciiTheme="majorHAnsi" w:hAnsiTheme="majorHAnsi"/>
          <w:sz w:val="16"/>
          <w:szCs w:val="16"/>
        </w:rPr>
        <w:tab/>
        <w:t>Du Sénégal au Canada : 125 t</w:t>
      </w:r>
    </w:p>
    <w:p w14:paraId="4FA14A4C" w14:textId="2FFE921C" w:rsidR="006303F1" w:rsidRPr="00AE4E29" w:rsidRDefault="006303F1" w:rsidP="006303F1">
      <w:pPr>
        <w:tabs>
          <w:tab w:val="left" w:pos="1701"/>
        </w:tabs>
        <w:autoSpaceDE w:val="0"/>
        <w:autoSpaceDN w:val="0"/>
        <w:adjustRightInd w:val="0"/>
        <w:ind w:left="992" w:right="992"/>
        <w:jc w:val="both"/>
        <w:rPr>
          <w:rFonts w:asciiTheme="majorHAnsi" w:hAnsiTheme="majorHAnsi"/>
          <w:sz w:val="16"/>
          <w:szCs w:val="16"/>
        </w:rPr>
      </w:pPr>
      <w:r w:rsidRPr="00AE4E29">
        <w:rPr>
          <w:rFonts w:asciiTheme="majorHAnsi" w:hAnsiTheme="majorHAnsi"/>
          <w:sz w:val="16"/>
          <w:szCs w:val="16"/>
        </w:rPr>
        <w:tab/>
        <w:t>De Trinité-et-Tobago au Belize : 75 t</w:t>
      </w:r>
    </w:p>
    <w:p w14:paraId="79AC2B10" w14:textId="04F696AF" w:rsidR="006303F1" w:rsidRPr="00AE4E29" w:rsidRDefault="006303F1" w:rsidP="006303F1">
      <w:pPr>
        <w:tabs>
          <w:tab w:val="left" w:pos="1701"/>
        </w:tabs>
        <w:autoSpaceDE w:val="0"/>
        <w:autoSpaceDN w:val="0"/>
        <w:adjustRightInd w:val="0"/>
        <w:ind w:left="992" w:right="992"/>
        <w:jc w:val="both"/>
        <w:rPr>
          <w:rFonts w:asciiTheme="majorHAnsi" w:hAnsiTheme="majorHAnsi"/>
          <w:sz w:val="16"/>
          <w:szCs w:val="16"/>
        </w:rPr>
      </w:pPr>
      <w:r w:rsidRPr="00AE4E29">
        <w:rPr>
          <w:rFonts w:asciiTheme="majorHAnsi" w:hAnsiTheme="majorHAnsi"/>
          <w:sz w:val="16"/>
          <w:szCs w:val="16"/>
        </w:rPr>
        <w:tab/>
        <w:t>Du Taipei chinois au Canada : 35 t</w:t>
      </w:r>
    </w:p>
    <w:p w14:paraId="5CFCEACA" w14:textId="43B57F0D" w:rsidR="006303F1" w:rsidRPr="00AE4E29" w:rsidRDefault="006303F1" w:rsidP="006303F1">
      <w:pPr>
        <w:tabs>
          <w:tab w:val="left" w:pos="1701"/>
        </w:tabs>
        <w:autoSpaceDE w:val="0"/>
        <w:autoSpaceDN w:val="0"/>
        <w:adjustRightInd w:val="0"/>
        <w:ind w:left="1701" w:right="992"/>
        <w:jc w:val="both"/>
        <w:rPr>
          <w:rFonts w:asciiTheme="majorHAnsi" w:hAnsiTheme="majorHAnsi"/>
          <w:sz w:val="16"/>
          <w:szCs w:val="16"/>
        </w:rPr>
      </w:pPr>
      <w:r w:rsidRPr="00AE4E29">
        <w:rPr>
          <w:rFonts w:asciiTheme="majorHAnsi" w:hAnsiTheme="majorHAnsi"/>
          <w:sz w:val="16"/>
          <w:szCs w:val="16"/>
        </w:rPr>
        <w:t>Du Brésil, du Japon et du Sénégal à la Mauritanie : 25 t chacun pour un total de 75 t au titre de 2018, 2019, 2020, 2021 et 2022, à condition que la Mauritanie soumette son plan de développement en vertu du paragraphe 5 de la présente Recommandation. Si un plan de développement n’est pas soumis, ces transferts seront considérés comme annulés. Les futures décisions concernant l’accès à la pêcherie d’espadon de l’Atlantique Nord par la Mauritanie dépendront de la soumission de son plan de développement.</w:t>
      </w:r>
    </w:p>
    <w:p w14:paraId="6DC82976" w14:textId="77777777" w:rsidR="006303F1" w:rsidRPr="00AE4E29" w:rsidRDefault="006303F1" w:rsidP="006303F1">
      <w:pPr>
        <w:tabs>
          <w:tab w:val="left" w:pos="1701"/>
        </w:tabs>
        <w:autoSpaceDE w:val="0"/>
        <w:autoSpaceDN w:val="0"/>
        <w:adjustRightInd w:val="0"/>
        <w:ind w:left="1701" w:right="992"/>
        <w:jc w:val="both"/>
        <w:rPr>
          <w:rFonts w:asciiTheme="majorHAnsi" w:hAnsiTheme="majorHAnsi"/>
          <w:sz w:val="16"/>
          <w:szCs w:val="16"/>
        </w:rPr>
      </w:pPr>
      <w:r w:rsidRPr="00AE4E29">
        <w:rPr>
          <w:rFonts w:asciiTheme="majorHAnsi" w:hAnsiTheme="majorHAnsi"/>
          <w:sz w:val="16"/>
          <w:szCs w:val="16"/>
        </w:rPr>
        <w:t>De Trinité-et-Tobago au Maroc : 25 t au titre de chaque année 2020, 2021 et 2022</w:t>
      </w:r>
    </w:p>
    <w:p w14:paraId="32EB8B27" w14:textId="77777777" w:rsidR="006303F1" w:rsidRPr="00AE4E29" w:rsidRDefault="006303F1" w:rsidP="006303F1">
      <w:pPr>
        <w:tabs>
          <w:tab w:val="left" w:pos="1701"/>
        </w:tabs>
        <w:autoSpaceDE w:val="0"/>
        <w:autoSpaceDN w:val="0"/>
        <w:adjustRightInd w:val="0"/>
        <w:ind w:left="1701" w:right="992"/>
        <w:jc w:val="both"/>
        <w:rPr>
          <w:rFonts w:asciiTheme="majorHAnsi" w:hAnsiTheme="majorHAnsi"/>
          <w:sz w:val="16"/>
          <w:szCs w:val="16"/>
        </w:rPr>
      </w:pPr>
      <w:r w:rsidRPr="00AE4E29">
        <w:rPr>
          <w:rFonts w:asciiTheme="majorHAnsi" w:hAnsiTheme="majorHAnsi"/>
          <w:sz w:val="16"/>
          <w:szCs w:val="16"/>
        </w:rPr>
        <w:t>Du Taipei chinois au Maroc : 20 t au titre de chaque année 2020, 2021 et 2022</w:t>
      </w:r>
    </w:p>
    <w:p w14:paraId="1146379B" w14:textId="77777777" w:rsidR="006303F1" w:rsidRPr="00AE4E29" w:rsidRDefault="006303F1" w:rsidP="006303F1">
      <w:pPr>
        <w:tabs>
          <w:tab w:val="left" w:pos="1701"/>
        </w:tabs>
        <w:autoSpaceDE w:val="0"/>
        <w:autoSpaceDN w:val="0"/>
        <w:adjustRightInd w:val="0"/>
        <w:ind w:left="1701" w:right="992"/>
        <w:jc w:val="both"/>
        <w:rPr>
          <w:rFonts w:asciiTheme="majorHAnsi" w:hAnsiTheme="majorHAnsi"/>
          <w:sz w:val="16"/>
          <w:szCs w:val="16"/>
        </w:rPr>
      </w:pPr>
      <w:r w:rsidRPr="00AE4E29">
        <w:rPr>
          <w:rFonts w:asciiTheme="majorHAnsi" w:hAnsiTheme="majorHAnsi"/>
          <w:sz w:val="16"/>
          <w:szCs w:val="16"/>
        </w:rPr>
        <w:t>De l’Union européenne au Royaume-Uni : 0,67 t au titre de 2022 </w:t>
      </w:r>
    </w:p>
    <w:p w14:paraId="4DCFE004" w14:textId="77777777" w:rsidR="006303F1" w:rsidRPr="00AE4E29" w:rsidRDefault="006303F1" w:rsidP="006303F1">
      <w:pPr>
        <w:tabs>
          <w:tab w:val="left" w:pos="1701"/>
        </w:tabs>
        <w:autoSpaceDE w:val="0"/>
        <w:autoSpaceDN w:val="0"/>
        <w:adjustRightInd w:val="0"/>
        <w:spacing w:line="220" w:lineRule="exact"/>
        <w:ind w:left="992" w:right="992"/>
        <w:jc w:val="both"/>
        <w:rPr>
          <w:rFonts w:asciiTheme="majorHAnsi" w:hAnsiTheme="majorHAnsi"/>
          <w:sz w:val="16"/>
          <w:szCs w:val="16"/>
        </w:rPr>
      </w:pPr>
      <w:r w:rsidRPr="00AE4E29">
        <w:rPr>
          <w:rFonts w:asciiTheme="majorHAnsi" w:hAnsiTheme="majorHAnsi"/>
          <w:sz w:val="16"/>
          <w:szCs w:val="16"/>
        </w:rPr>
        <w:tab/>
      </w:r>
    </w:p>
    <w:p w14:paraId="3AD1E7D3" w14:textId="77777777" w:rsidR="006303F1" w:rsidRPr="00AE4E29" w:rsidRDefault="006303F1" w:rsidP="00E40557">
      <w:pPr>
        <w:tabs>
          <w:tab w:val="left" w:pos="1276"/>
          <w:tab w:val="left" w:pos="1560"/>
        </w:tabs>
        <w:autoSpaceDE w:val="0"/>
        <w:autoSpaceDN w:val="0"/>
        <w:adjustRightInd w:val="0"/>
        <w:spacing w:after="80"/>
        <w:ind w:left="1226" w:right="992"/>
        <w:jc w:val="both"/>
        <w:rPr>
          <w:rFonts w:asciiTheme="majorHAnsi" w:hAnsiTheme="majorHAnsi"/>
          <w:sz w:val="16"/>
          <w:szCs w:val="16"/>
        </w:rPr>
      </w:pPr>
      <w:r w:rsidRPr="00AE4E29">
        <w:rPr>
          <w:rFonts w:asciiTheme="majorHAnsi" w:hAnsiTheme="majorHAnsi"/>
          <w:sz w:val="16"/>
          <w:szCs w:val="16"/>
        </w:rPr>
        <w:t>Ces transferts ne changent pas les parts relatives des CPC, tel que cela est reflété dans les limites de capture ci-dessus.</w:t>
      </w:r>
    </w:p>
    <w:p w14:paraId="21B7527C" w14:textId="77777777" w:rsidR="006303F1" w:rsidRPr="00AE4E29" w:rsidRDefault="006303F1" w:rsidP="006303F1">
      <w:pPr>
        <w:tabs>
          <w:tab w:val="left" w:pos="1560"/>
        </w:tabs>
        <w:autoSpaceDE w:val="0"/>
        <w:autoSpaceDN w:val="0"/>
        <w:adjustRightInd w:val="0"/>
        <w:spacing w:after="80"/>
        <w:ind w:leftChars="511" w:left="1492" w:rightChars="472" w:right="1133" w:hanging="266"/>
        <w:jc w:val="both"/>
        <w:rPr>
          <w:rFonts w:asciiTheme="majorHAnsi" w:hAnsiTheme="majorHAnsi"/>
          <w:sz w:val="16"/>
          <w:szCs w:val="16"/>
        </w:rPr>
      </w:pPr>
      <w:r w:rsidRPr="00AE4E29">
        <w:rPr>
          <w:rFonts w:asciiTheme="majorHAnsi" w:hAnsiTheme="majorHAnsi"/>
          <w:sz w:val="16"/>
          <w:szCs w:val="16"/>
        </w:rPr>
        <w:t>***</w:t>
      </w:r>
      <w:r w:rsidRPr="00AE4E29">
        <w:rPr>
          <w:rFonts w:asciiTheme="majorHAnsi" w:hAnsiTheme="majorHAnsi"/>
          <w:sz w:val="16"/>
          <w:szCs w:val="16"/>
        </w:rPr>
        <w:tab/>
        <w:t>Le Japon devra être autorisé à comptabiliser jusqu'à 400 t de sa capture d'espadon provenant de l’unité de gestion de l'Atlantique Sud, en compensation de la partie non capturée de ses limites de capture d'espadon de l’Atlantique Nord.</w:t>
      </w:r>
    </w:p>
    <w:p w14:paraId="10E427CE" w14:textId="77777777" w:rsidR="006303F1" w:rsidRPr="00AE4E29" w:rsidRDefault="006303F1" w:rsidP="006303F1">
      <w:pPr>
        <w:tabs>
          <w:tab w:val="left" w:pos="1418"/>
          <w:tab w:val="left" w:pos="1560"/>
        </w:tabs>
        <w:autoSpaceDE w:val="0"/>
        <w:autoSpaceDN w:val="0"/>
        <w:adjustRightInd w:val="0"/>
        <w:spacing w:after="80"/>
        <w:ind w:leftChars="636" w:left="1526" w:right="992"/>
        <w:jc w:val="both"/>
        <w:rPr>
          <w:rFonts w:asciiTheme="majorHAnsi" w:hAnsiTheme="majorHAnsi"/>
          <w:sz w:val="16"/>
          <w:szCs w:val="16"/>
        </w:rPr>
      </w:pPr>
      <w:r w:rsidRPr="00AE4E29">
        <w:rPr>
          <w:rFonts w:asciiTheme="majorHAnsi" w:hAnsiTheme="majorHAnsi"/>
          <w:sz w:val="16"/>
          <w:szCs w:val="16"/>
        </w:rPr>
        <w:t>L’Union européenne devra être autorisée à comptabiliser jusqu'à 200 t de sa capture d'espadon provenant de l'unité de gestion de l’Atlantique Sud, en compensation de la partie non capturée de ses limites de capture d'espadon de l’Atlantique Nord.</w:t>
      </w:r>
    </w:p>
    <w:p w14:paraId="1BD7CBA0" w14:textId="06F3BF43" w:rsidR="006303F1" w:rsidRPr="00AE4E29" w:rsidRDefault="006303F1" w:rsidP="006303F1">
      <w:pPr>
        <w:tabs>
          <w:tab w:val="left" w:pos="1418"/>
          <w:tab w:val="left" w:pos="1560"/>
        </w:tabs>
        <w:autoSpaceDE w:val="0"/>
        <w:autoSpaceDN w:val="0"/>
        <w:adjustRightInd w:val="0"/>
        <w:spacing w:after="80"/>
        <w:ind w:leftChars="635" w:left="1524" w:right="992"/>
        <w:jc w:val="both"/>
        <w:rPr>
          <w:rFonts w:asciiTheme="majorHAnsi" w:hAnsiTheme="majorHAnsi"/>
          <w:sz w:val="16"/>
          <w:szCs w:val="16"/>
        </w:rPr>
      </w:pPr>
      <w:r w:rsidRPr="00AE4E29">
        <w:rPr>
          <w:rFonts w:asciiTheme="majorHAnsi" w:hAnsiTheme="majorHAnsi"/>
          <w:sz w:val="16"/>
          <w:szCs w:val="16"/>
        </w:rPr>
        <w:t xml:space="preserve">Les Etats-Unis devront être autorisés à comptabiliser jusqu'à 200 t de leur capture d'espadon provenant de la zone située entre 5ºN et 5ºS, en compensation de la partie non capturée de </w:t>
      </w:r>
      <w:r w:rsidR="00E40557" w:rsidRPr="00AE4E29">
        <w:rPr>
          <w:rFonts w:asciiTheme="majorHAnsi" w:hAnsiTheme="majorHAnsi"/>
          <w:sz w:val="16"/>
          <w:szCs w:val="16"/>
        </w:rPr>
        <w:t>leur</w:t>
      </w:r>
      <w:r w:rsidRPr="00AE4E29">
        <w:rPr>
          <w:rFonts w:asciiTheme="majorHAnsi" w:hAnsiTheme="majorHAnsi"/>
          <w:sz w:val="16"/>
          <w:szCs w:val="16"/>
        </w:rPr>
        <w:t xml:space="preserve"> limite de capture d'espadon de l’Atlantique Nord.</w:t>
      </w:r>
    </w:p>
    <w:p w14:paraId="40AB7F09" w14:textId="77777777" w:rsidR="006303F1" w:rsidRPr="00AE4E29" w:rsidRDefault="006303F1" w:rsidP="006303F1">
      <w:pPr>
        <w:tabs>
          <w:tab w:val="left" w:pos="1418"/>
          <w:tab w:val="left" w:pos="1560"/>
        </w:tabs>
        <w:autoSpaceDE w:val="0"/>
        <w:autoSpaceDN w:val="0"/>
        <w:adjustRightInd w:val="0"/>
        <w:spacing w:after="80"/>
        <w:ind w:leftChars="634" w:left="1522" w:right="992"/>
        <w:jc w:val="both"/>
        <w:rPr>
          <w:rFonts w:asciiTheme="majorHAnsi" w:hAnsiTheme="majorHAnsi"/>
          <w:sz w:val="16"/>
          <w:szCs w:val="16"/>
        </w:rPr>
      </w:pPr>
      <w:r w:rsidRPr="00AE4E29">
        <w:rPr>
          <w:rFonts w:asciiTheme="majorHAnsi" w:hAnsiTheme="majorHAnsi"/>
          <w:sz w:val="16"/>
          <w:szCs w:val="16"/>
        </w:rPr>
        <w:t>Le Belize devra être autorisé à comptabiliser jusqu’à 75 t de sa capture d’espadon provenant de la zone entre 5ºN et 5ºS, en compensation de la partie non capturée de sa limite de capture d’espadon de l’Atlantique Nord.</w:t>
      </w:r>
    </w:p>
    <w:p w14:paraId="0E3541CE" w14:textId="3A8154CC" w:rsidR="006303F1" w:rsidRPr="00AE4E29" w:rsidRDefault="006303F1" w:rsidP="006303F1">
      <w:pPr>
        <w:tabs>
          <w:tab w:val="left" w:pos="1418"/>
          <w:tab w:val="left" w:pos="1560"/>
        </w:tabs>
        <w:autoSpaceDE w:val="0"/>
        <w:autoSpaceDN w:val="0"/>
        <w:adjustRightInd w:val="0"/>
        <w:ind w:leftChars="634" w:left="1522" w:right="992"/>
        <w:jc w:val="both"/>
        <w:rPr>
          <w:rFonts w:asciiTheme="majorHAnsi" w:hAnsiTheme="majorHAnsi"/>
          <w:sz w:val="16"/>
          <w:szCs w:val="16"/>
        </w:rPr>
      </w:pPr>
      <w:r w:rsidRPr="00AE4E29">
        <w:rPr>
          <w:rFonts w:asciiTheme="majorHAnsi" w:hAnsiTheme="majorHAnsi"/>
          <w:sz w:val="16"/>
          <w:szCs w:val="16"/>
          <w:shd w:val="clear" w:color="auto" w:fill="FFFFFF"/>
        </w:rPr>
        <w:t>La Corée devra être autorisé</w:t>
      </w:r>
      <w:r w:rsidR="00F75286" w:rsidRPr="00AE4E29">
        <w:rPr>
          <w:rFonts w:asciiTheme="majorHAnsi" w:hAnsiTheme="majorHAnsi"/>
          <w:sz w:val="16"/>
          <w:szCs w:val="16"/>
          <w:shd w:val="clear" w:color="auto" w:fill="FFFFFF"/>
        </w:rPr>
        <w:t>e</w:t>
      </w:r>
      <w:r w:rsidRPr="00AE4E29">
        <w:rPr>
          <w:rFonts w:asciiTheme="majorHAnsi" w:hAnsiTheme="majorHAnsi"/>
          <w:sz w:val="16"/>
          <w:szCs w:val="16"/>
          <w:shd w:val="clear" w:color="auto" w:fill="FFFFFF"/>
        </w:rPr>
        <w:t xml:space="preserve"> à comptabiliser jusqu’à 25 t de sa capture d’espadon provenant de la zone de gestion de l’Atlantique Sud en 2018, 2019, 2020</w:t>
      </w:r>
      <w:r w:rsidR="00B95218" w:rsidRPr="00AE4E29">
        <w:rPr>
          <w:rFonts w:asciiTheme="majorHAnsi" w:hAnsiTheme="majorHAnsi"/>
          <w:sz w:val="16"/>
          <w:szCs w:val="16"/>
          <w:shd w:val="clear" w:color="auto" w:fill="FFFFFF"/>
        </w:rPr>
        <w:t>, 2021</w:t>
      </w:r>
      <w:r w:rsidRPr="00AE4E29">
        <w:rPr>
          <w:rFonts w:asciiTheme="majorHAnsi" w:hAnsiTheme="majorHAnsi"/>
          <w:sz w:val="16"/>
          <w:szCs w:val="16"/>
          <w:shd w:val="clear" w:color="auto" w:fill="FFFFFF"/>
        </w:rPr>
        <w:t xml:space="preserve"> et 2022, en compensation de la partie non capturée de sa limite de capture d’espadon de l’Atlantique Nord.</w:t>
      </w:r>
      <w:r w:rsidR="000E16E8" w:rsidRPr="00AE4E29">
        <w:rPr>
          <w:rFonts w:asciiTheme="majorHAnsi" w:hAnsiTheme="majorHAnsi"/>
          <w:sz w:val="16"/>
          <w:szCs w:val="16"/>
        </w:rPr>
        <w:t> »</w:t>
      </w:r>
    </w:p>
    <w:p w14:paraId="2C2A44E4" w14:textId="77777777" w:rsidR="006303F1" w:rsidRPr="00AE4E29" w:rsidRDefault="006303F1" w:rsidP="006303F1">
      <w:pPr>
        <w:tabs>
          <w:tab w:val="left" w:pos="426"/>
          <w:tab w:val="left" w:pos="709"/>
          <w:tab w:val="left" w:pos="993"/>
        </w:tabs>
        <w:spacing w:line="240" w:lineRule="exact"/>
        <w:jc w:val="both"/>
        <w:rPr>
          <w:rFonts w:asciiTheme="majorHAnsi" w:hAnsiTheme="majorHAnsi"/>
          <w:sz w:val="16"/>
          <w:szCs w:val="16"/>
        </w:rPr>
      </w:pPr>
    </w:p>
    <w:p w14:paraId="6CA1BC7C" w14:textId="45ADF0AF" w:rsidR="006303F1" w:rsidRPr="00AE4E29" w:rsidRDefault="006303F1" w:rsidP="006303F1">
      <w:pPr>
        <w:tabs>
          <w:tab w:val="left" w:pos="284"/>
          <w:tab w:val="left" w:pos="709"/>
          <w:tab w:val="left" w:pos="993"/>
        </w:tabs>
        <w:autoSpaceDE w:val="0"/>
        <w:autoSpaceDN w:val="0"/>
        <w:adjustRightInd w:val="0"/>
        <w:spacing w:line="240" w:lineRule="exact"/>
        <w:ind w:left="270" w:hanging="270"/>
        <w:jc w:val="both"/>
        <w:rPr>
          <w:rFonts w:asciiTheme="majorHAnsi" w:hAnsiTheme="majorHAnsi"/>
          <w:sz w:val="20"/>
          <w:szCs w:val="20"/>
        </w:rPr>
      </w:pPr>
      <w:r w:rsidRPr="00AE4E29">
        <w:rPr>
          <w:rFonts w:asciiTheme="majorHAnsi" w:hAnsiTheme="majorHAnsi"/>
          <w:sz w:val="20"/>
          <w:szCs w:val="20"/>
        </w:rPr>
        <w:lastRenderedPageBreak/>
        <w:t>B.</w:t>
      </w:r>
      <w:r w:rsidR="00EF3885" w:rsidRPr="00AE4E29">
        <w:rPr>
          <w:rFonts w:asciiTheme="majorHAnsi" w:hAnsiTheme="majorHAnsi"/>
          <w:sz w:val="20"/>
          <w:szCs w:val="20"/>
        </w:rPr>
        <w:tab/>
      </w:r>
      <w:r w:rsidRPr="00AE4E29">
        <w:rPr>
          <w:rFonts w:asciiTheme="majorHAnsi" w:hAnsiTheme="majorHAnsi"/>
          <w:sz w:val="20"/>
          <w:szCs w:val="20"/>
        </w:rPr>
        <w:t>Le paragraphe 3 devra être remplacé par le texte suivant :</w:t>
      </w:r>
    </w:p>
    <w:p w14:paraId="01FBDF72" w14:textId="77777777" w:rsidR="00B95218" w:rsidRPr="00AE4E29" w:rsidRDefault="00B95218" w:rsidP="006303F1">
      <w:pPr>
        <w:tabs>
          <w:tab w:val="left" w:pos="284"/>
          <w:tab w:val="left" w:pos="709"/>
          <w:tab w:val="left" w:pos="993"/>
        </w:tabs>
        <w:autoSpaceDE w:val="0"/>
        <w:autoSpaceDN w:val="0"/>
        <w:adjustRightInd w:val="0"/>
        <w:spacing w:line="240" w:lineRule="exact"/>
        <w:ind w:left="270" w:hanging="270"/>
        <w:jc w:val="both"/>
        <w:rPr>
          <w:rFonts w:asciiTheme="majorHAnsi" w:hAnsiTheme="majorHAnsi"/>
          <w:sz w:val="20"/>
          <w:szCs w:val="20"/>
        </w:rPr>
      </w:pPr>
    </w:p>
    <w:p w14:paraId="13C8E333" w14:textId="3C0F1E90" w:rsidR="006303F1" w:rsidRPr="00AE4E29" w:rsidRDefault="006303F1" w:rsidP="00EF3885">
      <w:pPr>
        <w:spacing w:line="240" w:lineRule="exact"/>
        <w:ind w:left="851" w:hanging="567"/>
        <w:jc w:val="both"/>
        <w:rPr>
          <w:rFonts w:asciiTheme="majorHAnsi" w:hAnsiTheme="majorHAnsi"/>
          <w:sz w:val="20"/>
          <w:szCs w:val="20"/>
        </w:rPr>
      </w:pPr>
      <w:r w:rsidRPr="00AE4E29">
        <w:rPr>
          <w:rFonts w:asciiTheme="majorHAnsi" w:hAnsiTheme="majorHAnsi"/>
          <w:sz w:val="20"/>
          <w:szCs w:val="20"/>
        </w:rPr>
        <w:t>« 3.</w:t>
      </w:r>
      <w:r w:rsidRPr="00AE4E29">
        <w:rPr>
          <w:rFonts w:asciiTheme="majorHAnsi" w:hAnsiTheme="majorHAnsi"/>
          <w:sz w:val="20"/>
          <w:szCs w:val="20"/>
        </w:rPr>
        <w:tab/>
        <w:t>Toute partie non utilisée ou excédentaire du quota annuel ajusté pourra être ajoutée ou devra être déduite, selon le cas, du quota/limite de capture respectif pendant ou avant l'année d'ajustement de la façon suivante :</w:t>
      </w:r>
    </w:p>
    <w:p w14:paraId="1CC0E2A3" w14:textId="77777777" w:rsidR="006303F1" w:rsidRPr="00AE4E29" w:rsidRDefault="006303F1" w:rsidP="00EF3885">
      <w:pPr>
        <w:ind w:left="851" w:hanging="567"/>
        <w:rPr>
          <w:rFonts w:asciiTheme="majorHAnsi" w:hAnsiTheme="majorHAnsi"/>
          <w:sz w:val="20"/>
          <w:szCs w:val="20"/>
        </w:rPr>
      </w:pPr>
    </w:p>
    <w:tbl>
      <w:tblPr>
        <w:tblStyle w:val="TableauNorm"/>
        <w:tblW w:w="0" w:type="auto"/>
        <w:jc w:val="center"/>
        <w:tblLook w:val="00A0" w:firstRow="1" w:lastRow="0" w:firstColumn="1" w:lastColumn="0" w:noHBand="0" w:noVBand="0"/>
      </w:tblPr>
      <w:tblGrid>
        <w:gridCol w:w="1701"/>
        <w:gridCol w:w="1701"/>
      </w:tblGrid>
      <w:tr w:rsidR="006303F1" w:rsidRPr="00AE4E29" w14:paraId="119723BF" w14:textId="77777777" w:rsidTr="0037465E">
        <w:trPr>
          <w:jc w:val="center"/>
        </w:trPr>
        <w:tc>
          <w:tcPr>
            <w:tcW w:w="1701" w:type="dxa"/>
            <w:tcBorders>
              <w:top w:val="single" w:sz="4" w:space="0" w:color="auto"/>
              <w:left w:val="single" w:sz="4" w:space="0" w:color="auto"/>
              <w:bottom w:val="single" w:sz="4" w:space="0" w:color="auto"/>
              <w:right w:val="single" w:sz="4" w:space="0" w:color="auto"/>
            </w:tcBorders>
          </w:tcPr>
          <w:p w14:paraId="2EC34927" w14:textId="77777777" w:rsidR="006303F1" w:rsidRPr="00AE4E29" w:rsidRDefault="006303F1" w:rsidP="0037465E">
            <w:pPr>
              <w:tabs>
                <w:tab w:val="left" w:pos="426"/>
                <w:tab w:val="left" w:pos="709"/>
                <w:tab w:val="left" w:pos="993"/>
              </w:tabs>
              <w:spacing w:line="240" w:lineRule="exact"/>
              <w:jc w:val="center"/>
              <w:rPr>
                <w:rFonts w:asciiTheme="majorHAnsi" w:eastAsia="Times New Roman" w:hAnsiTheme="majorHAnsi"/>
                <w:i/>
                <w:sz w:val="20"/>
                <w:szCs w:val="20"/>
              </w:rPr>
            </w:pPr>
            <w:r w:rsidRPr="00AE4E29">
              <w:rPr>
                <w:rFonts w:asciiTheme="majorHAnsi" w:hAnsiTheme="majorHAnsi"/>
                <w:i/>
                <w:sz w:val="20"/>
                <w:szCs w:val="20"/>
              </w:rPr>
              <w:t>Année de capture</w:t>
            </w:r>
          </w:p>
        </w:tc>
        <w:tc>
          <w:tcPr>
            <w:tcW w:w="1701" w:type="dxa"/>
            <w:tcBorders>
              <w:top w:val="single" w:sz="4" w:space="0" w:color="auto"/>
              <w:left w:val="single" w:sz="4" w:space="0" w:color="auto"/>
              <w:bottom w:val="single" w:sz="4" w:space="0" w:color="auto"/>
              <w:right w:val="single" w:sz="4" w:space="0" w:color="auto"/>
            </w:tcBorders>
          </w:tcPr>
          <w:p w14:paraId="14DA3104" w14:textId="77777777" w:rsidR="006303F1" w:rsidRPr="00AE4E29" w:rsidRDefault="006303F1" w:rsidP="0037465E">
            <w:pPr>
              <w:tabs>
                <w:tab w:val="left" w:pos="426"/>
                <w:tab w:val="left" w:pos="709"/>
                <w:tab w:val="left" w:pos="993"/>
              </w:tabs>
              <w:spacing w:line="240" w:lineRule="exact"/>
              <w:jc w:val="center"/>
              <w:rPr>
                <w:rFonts w:asciiTheme="majorHAnsi" w:eastAsia="Times New Roman" w:hAnsiTheme="majorHAnsi"/>
                <w:i/>
                <w:sz w:val="20"/>
                <w:szCs w:val="20"/>
              </w:rPr>
            </w:pPr>
            <w:r w:rsidRPr="00AE4E29">
              <w:rPr>
                <w:rFonts w:asciiTheme="majorHAnsi" w:hAnsiTheme="majorHAnsi"/>
                <w:i/>
                <w:sz w:val="20"/>
                <w:szCs w:val="20"/>
              </w:rPr>
              <w:t>Année d’ajustement</w:t>
            </w:r>
          </w:p>
        </w:tc>
      </w:tr>
      <w:tr w:rsidR="006303F1" w:rsidRPr="00AE4E29" w14:paraId="7199B7CF" w14:textId="77777777" w:rsidTr="0037465E">
        <w:trPr>
          <w:jc w:val="center"/>
        </w:trPr>
        <w:tc>
          <w:tcPr>
            <w:tcW w:w="1701" w:type="dxa"/>
            <w:tcBorders>
              <w:top w:val="single" w:sz="4" w:space="0" w:color="auto"/>
              <w:left w:val="single" w:sz="4" w:space="0" w:color="auto"/>
              <w:bottom w:val="single" w:sz="4" w:space="0" w:color="auto"/>
              <w:right w:val="single" w:sz="4" w:space="0" w:color="auto"/>
            </w:tcBorders>
          </w:tcPr>
          <w:p w14:paraId="6E432030" w14:textId="77777777" w:rsidR="006303F1" w:rsidRPr="00AE4E29" w:rsidRDefault="006303F1" w:rsidP="0037465E">
            <w:pPr>
              <w:tabs>
                <w:tab w:val="left" w:pos="426"/>
                <w:tab w:val="left" w:pos="709"/>
                <w:tab w:val="left" w:pos="993"/>
              </w:tabs>
              <w:spacing w:line="240" w:lineRule="exact"/>
              <w:jc w:val="center"/>
              <w:rPr>
                <w:rFonts w:asciiTheme="majorHAnsi" w:eastAsia="Times New Roman" w:hAnsiTheme="majorHAnsi"/>
                <w:sz w:val="20"/>
                <w:szCs w:val="20"/>
              </w:rPr>
            </w:pPr>
            <w:r w:rsidRPr="00AE4E29">
              <w:rPr>
                <w:rFonts w:asciiTheme="majorHAnsi" w:hAnsiTheme="majorHAnsi"/>
                <w:sz w:val="20"/>
                <w:szCs w:val="20"/>
              </w:rPr>
              <w:t>2016</w:t>
            </w:r>
          </w:p>
        </w:tc>
        <w:tc>
          <w:tcPr>
            <w:tcW w:w="1701" w:type="dxa"/>
            <w:tcBorders>
              <w:top w:val="single" w:sz="4" w:space="0" w:color="auto"/>
              <w:left w:val="single" w:sz="4" w:space="0" w:color="auto"/>
              <w:bottom w:val="single" w:sz="4" w:space="0" w:color="auto"/>
              <w:right w:val="single" w:sz="4" w:space="0" w:color="auto"/>
            </w:tcBorders>
          </w:tcPr>
          <w:p w14:paraId="2036CE6C" w14:textId="77777777" w:rsidR="006303F1" w:rsidRPr="00AE4E29" w:rsidRDefault="006303F1" w:rsidP="0037465E">
            <w:pPr>
              <w:tabs>
                <w:tab w:val="left" w:pos="426"/>
                <w:tab w:val="left" w:pos="709"/>
                <w:tab w:val="left" w:pos="993"/>
              </w:tabs>
              <w:spacing w:line="240" w:lineRule="exact"/>
              <w:jc w:val="center"/>
              <w:rPr>
                <w:rFonts w:asciiTheme="majorHAnsi" w:eastAsia="Times New Roman" w:hAnsiTheme="majorHAnsi"/>
                <w:sz w:val="20"/>
                <w:szCs w:val="20"/>
              </w:rPr>
            </w:pPr>
            <w:r w:rsidRPr="00AE4E29">
              <w:rPr>
                <w:rFonts w:asciiTheme="majorHAnsi" w:hAnsiTheme="majorHAnsi"/>
                <w:sz w:val="20"/>
                <w:szCs w:val="20"/>
              </w:rPr>
              <w:t>2018</w:t>
            </w:r>
          </w:p>
        </w:tc>
      </w:tr>
      <w:tr w:rsidR="006303F1" w:rsidRPr="00AE4E29" w14:paraId="44F00477" w14:textId="77777777" w:rsidTr="0037465E">
        <w:trPr>
          <w:jc w:val="center"/>
        </w:trPr>
        <w:tc>
          <w:tcPr>
            <w:tcW w:w="1701" w:type="dxa"/>
            <w:tcBorders>
              <w:top w:val="single" w:sz="4" w:space="0" w:color="auto"/>
              <w:left w:val="single" w:sz="4" w:space="0" w:color="auto"/>
              <w:bottom w:val="single" w:sz="4" w:space="0" w:color="auto"/>
              <w:right w:val="single" w:sz="4" w:space="0" w:color="auto"/>
            </w:tcBorders>
          </w:tcPr>
          <w:p w14:paraId="312D7158" w14:textId="77777777" w:rsidR="006303F1" w:rsidRPr="00AE4E29" w:rsidRDefault="006303F1" w:rsidP="0037465E">
            <w:pPr>
              <w:tabs>
                <w:tab w:val="left" w:pos="426"/>
                <w:tab w:val="left" w:pos="709"/>
                <w:tab w:val="left" w:pos="993"/>
              </w:tabs>
              <w:spacing w:line="240" w:lineRule="exact"/>
              <w:jc w:val="center"/>
              <w:rPr>
                <w:rFonts w:asciiTheme="majorHAnsi" w:eastAsia="Times New Roman" w:hAnsiTheme="majorHAnsi"/>
                <w:sz w:val="20"/>
                <w:szCs w:val="20"/>
              </w:rPr>
            </w:pPr>
            <w:r w:rsidRPr="00AE4E29">
              <w:rPr>
                <w:rFonts w:asciiTheme="majorHAnsi" w:hAnsiTheme="majorHAnsi"/>
                <w:sz w:val="20"/>
                <w:szCs w:val="20"/>
              </w:rPr>
              <w:t>2017</w:t>
            </w:r>
          </w:p>
        </w:tc>
        <w:tc>
          <w:tcPr>
            <w:tcW w:w="1701" w:type="dxa"/>
            <w:tcBorders>
              <w:top w:val="single" w:sz="4" w:space="0" w:color="auto"/>
              <w:left w:val="single" w:sz="4" w:space="0" w:color="auto"/>
              <w:bottom w:val="single" w:sz="4" w:space="0" w:color="auto"/>
              <w:right w:val="single" w:sz="4" w:space="0" w:color="auto"/>
            </w:tcBorders>
          </w:tcPr>
          <w:p w14:paraId="3761FB3C" w14:textId="77777777" w:rsidR="006303F1" w:rsidRPr="00AE4E29" w:rsidRDefault="006303F1" w:rsidP="0037465E">
            <w:pPr>
              <w:tabs>
                <w:tab w:val="left" w:pos="426"/>
                <w:tab w:val="left" w:pos="709"/>
                <w:tab w:val="left" w:pos="993"/>
              </w:tabs>
              <w:spacing w:line="240" w:lineRule="exact"/>
              <w:jc w:val="center"/>
              <w:rPr>
                <w:rFonts w:asciiTheme="majorHAnsi" w:eastAsia="Times New Roman" w:hAnsiTheme="majorHAnsi"/>
                <w:sz w:val="20"/>
                <w:szCs w:val="20"/>
              </w:rPr>
            </w:pPr>
            <w:r w:rsidRPr="00AE4E29">
              <w:rPr>
                <w:rFonts w:asciiTheme="majorHAnsi" w:hAnsiTheme="majorHAnsi"/>
                <w:sz w:val="20"/>
                <w:szCs w:val="20"/>
              </w:rPr>
              <w:t>2019</w:t>
            </w:r>
          </w:p>
        </w:tc>
      </w:tr>
      <w:tr w:rsidR="006303F1" w:rsidRPr="00AE4E29" w14:paraId="70C09EE7" w14:textId="77777777" w:rsidTr="0037465E">
        <w:trPr>
          <w:jc w:val="center"/>
        </w:trPr>
        <w:tc>
          <w:tcPr>
            <w:tcW w:w="1701" w:type="dxa"/>
            <w:tcBorders>
              <w:top w:val="single" w:sz="4" w:space="0" w:color="auto"/>
              <w:left w:val="single" w:sz="4" w:space="0" w:color="auto"/>
              <w:bottom w:val="single" w:sz="4" w:space="0" w:color="auto"/>
              <w:right w:val="single" w:sz="4" w:space="0" w:color="auto"/>
            </w:tcBorders>
          </w:tcPr>
          <w:p w14:paraId="46E810A3"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2018</w:t>
            </w:r>
          </w:p>
        </w:tc>
        <w:tc>
          <w:tcPr>
            <w:tcW w:w="1701" w:type="dxa"/>
            <w:tcBorders>
              <w:top w:val="single" w:sz="4" w:space="0" w:color="auto"/>
              <w:left w:val="single" w:sz="4" w:space="0" w:color="auto"/>
              <w:bottom w:val="single" w:sz="4" w:space="0" w:color="auto"/>
              <w:right w:val="single" w:sz="4" w:space="0" w:color="auto"/>
            </w:tcBorders>
          </w:tcPr>
          <w:p w14:paraId="4FD31B06"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2020</w:t>
            </w:r>
          </w:p>
        </w:tc>
      </w:tr>
      <w:tr w:rsidR="006303F1" w:rsidRPr="00AE4E29" w14:paraId="5203196D" w14:textId="77777777" w:rsidTr="0037465E">
        <w:trPr>
          <w:trHeight w:val="221"/>
          <w:jc w:val="center"/>
        </w:trPr>
        <w:tc>
          <w:tcPr>
            <w:tcW w:w="1701" w:type="dxa"/>
            <w:tcBorders>
              <w:top w:val="single" w:sz="4" w:space="0" w:color="auto"/>
              <w:left w:val="single" w:sz="4" w:space="0" w:color="auto"/>
              <w:bottom w:val="single" w:sz="4" w:space="0" w:color="auto"/>
              <w:right w:val="single" w:sz="4" w:space="0" w:color="auto"/>
            </w:tcBorders>
          </w:tcPr>
          <w:p w14:paraId="289CE913"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2019</w:t>
            </w:r>
          </w:p>
        </w:tc>
        <w:tc>
          <w:tcPr>
            <w:tcW w:w="1701" w:type="dxa"/>
            <w:tcBorders>
              <w:top w:val="single" w:sz="4" w:space="0" w:color="auto"/>
              <w:left w:val="single" w:sz="4" w:space="0" w:color="auto"/>
              <w:bottom w:val="single" w:sz="4" w:space="0" w:color="auto"/>
              <w:right w:val="single" w:sz="4" w:space="0" w:color="auto"/>
            </w:tcBorders>
          </w:tcPr>
          <w:p w14:paraId="26A639C6"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2021</w:t>
            </w:r>
          </w:p>
        </w:tc>
      </w:tr>
      <w:tr w:rsidR="006303F1" w:rsidRPr="00AE4E29" w14:paraId="66DEDF37" w14:textId="77777777" w:rsidTr="0037465E">
        <w:trPr>
          <w:jc w:val="center"/>
        </w:trPr>
        <w:tc>
          <w:tcPr>
            <w:tcW w:w="1701" w:type="dxa"/>
            <w:tcBorders>
              <w:top w:val="single" w:sz="4" w:space="0" w:color="auto"/>
              <w:left w:val="single" w:sz="4" w:space="0" w:color="auto"/>
              <w:bottom w:val="single" w:sz="4" w:space="0" w:color="auto"/>
              <w:right w:val="single" w:sz="4" w:space="0" w:color="auto"/>
            </w:tcBorders>
          </w:tcPr>
          <w:p w14:paraId="5BF342C9"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2020</w:t>
            </w:r>
          </w:p>
        </w:tc>
        <w:tc>
          <w:tcPr>
            <w:tcW w:w="1701" w:type="dxa"/>
            <w:tcBorders>
              <w:top w:val="single" w:sz="4" w:space="0" w:color="auto"/>
              <w:left w:val="single" w:sz="4" w:space="0" w:color="auto"/>
              <w:bottom w:val="single" w:sz="4" w:space="0" w:color="auto"/>
              <w:right w:val="single" w:sz="4" w:space="0" w:color="auto"/>
            </w:tcBorders>
          </w:tcPr>
          <w:p w14:paraId="1E561135"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2022</w:t>
            </w:r>
          </w:p>
        </w:tc>
      </w:tr>
      <w:tr w:rsidR="006303F1" w:rsidRPr="00AE4E29" w14:paraId="5F2AD0C0" w14:textId="77777777" w:rsidTr="0037465E">
        <w:trPr>
          <w:jc w:val="center"/>
        </w:trPr>
        <w:tc>
          <w:tcPr>
            <w:tcW w:w="1701" w:type="dxa"/>
            <w:tcBorders>
              <w:top w:val="single" w:sz="4" w:space="0" w:color="auto"/>
              <w:left w:val="single" w:sz="4" w:space="0" w:color="auto"/>
              <w:bottom w:val="single" w:sz="4" w:space="0" w:color="auto"/>
              <w:right w:val="single" w:sz="4" w:space="0" w:color="auto"/>
            </w:tcBorders>
          </w:tcPr>
          <w:p w14:paraId="0F262D55"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2021</w:t>
            </w:r>
          </w:p>
        </w:tc>
        <w:tc>
          <w:tcPr>
            <w:tcW w:w="1701" w:type="dxa"/>
            <w:tcBorders>
              <w:top w:val="single" w:sz="4" w:space="0" w:color="auto"/>
              <w:left w:val="single" w:sz="4" w:space="0" w:color="auto"/>
              <w:bottom w:val="single" w:sz="4" w:space="0" w:color="auto"/>
              <w:right w:val="single" w:sz="4" w:space="0" w:color="auto"/>
            </w:tcBorders>
          </w:tcPr>
          <w:p w14:paraId="46A5BC04"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2023</w:t>
            </w:r>
          </w:p>
        </w:tc>
      </w:tr>
      <w:tr w:rsidR="006303F1" w:rsidRPr="00AE4E29" w14:paraId="46BB8F4F" w14:textId="77777777" w:rsidTr="0037465E">
        <w:trPr>
          <w:jc w:val="center"/>
        </w:trPr>
        <w:tc>
          <w:tcPr>
            <w:tcW w:w="1701" w:type="dxa"/>
            <w:tcBorders>
              <w:top w:val="single" w:sz="4" w:space="0" w:color="auto"/>
              <w:left w:val="single" w:sz="4" w:space="0" w:color="auto"/>
              <w:bottom w:val="single" w:sz="4" w:space="0" w:color="auto"/>
              <w:right w:val="single" w:sz="4" w:space="0" w:color="auto"/>
            </w:tcBorders>
          </w:tcPr>
          <w:p w14:paraId="089733CA"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2022</w:t>
            </w:r>
          </w:p>
        </w:tc>
        <w:tc>
          <w:tcPr>
            <w:tcW w:w="1701" w:type="dxa"/>
            <w:tcBorders>
              <w:top w:val="single" w:sz="4" w:space="0" w:color="auto"/>
              <w:left w:val="single" w:sz="4" w:space="0" w:color="auto"/>
              <w:bottom w:val="single" w:sz="4" w:space="0" w:color="auto"/>
              <w:right w:val="single" w:sz="4" w:space="0" w:color="auto"/>
            </w:tcBorders>
          </w:tcPr>
          <w:p w14:paraId="2BAA7E49" w14:textId="77777777" w:rsidR="006303F1" w:rsidRPr="00AE4E29" w:rsidRDefault="006303F1" w:rsidP="0037465E">
            <w:pPr>
              <w:tabs>
                <w:tab w:val="left" w:pos="426"/>
                <w:tab w:val="left" w:pos="709"/>
                <w:tab w:val="left" w:pos="993"/>
              </w:tabs>
              <w:spacing w:line="240" w:lineRule="exact"/>
              <w:jc w:val="center"/>
              <w:rPr>
                <w:rFonts w:asciiTheme="majorHAnsi" w:hAnsiTheme="majorHAnsi"/>
                <w:sz w:val="20"/>
                <w:szCs w:val="20"/>
              </w:rPr>
            </w:pPr>
            <w:r w:rsidRPr="00AE4E29">
              <w:rPr>
                <w:rFonts w:asciiTheme="majorHAnsi" w:hAnsiTheme="majorHAnsi"/>
                <w:sz w:val="20"/>
                <w:szCs w:val="20"/>
              </w:rPr>
              <w:t>2024</w:t>
            </w:r>
          </w:p>
        </w:tc>
      </w:tr>
      <w:tr w:rsidR="006303F1" w:rsidRPr="00AE4E29" w14:paraId="5E468A8F" w14:textId="77777777" w:rsidTr="0037465E">
        <w:trPr>
          <w:jc w:val="center"/>
        </w:trPr>
        <w:tc>
          <w:tcPr>
            <w:tcW w:w="1701" w:type="dxa"/>
            <w:tcBorders>
              <w:top w:val="single" w:sz="4" w:space="0" w:color="auto"/>
            </w:tcBorders>
          </w:tcPr>
          <w:p w14:paraId="2475ACE8" w14:textId="77777777" w:rsidR="006303F1" w:rsidRPr="00AE4E29" w:rsidRDefault="006303F1" w:rsidP="0037465E">
            <w:pPr>
              <w:tabs>
                <w:tab w:val="left" w:pos="426"/>
                <w:tab w:val="left" w:pos="709"/>
                <w:tab w:val="left" w:pos="993"/>
              </w:tabs>
              <w:spacing w:line="240" w:lineRule="exact"/>
              <w:jc w:val="both"/>
              <w:rPr>
                <w:rFonts w:asciiTheme="majorHAnsi" w:eastAsia="Times New Roman" w:hAnsiTheme="majorHAnsi"/>
                <w:sz w:val="20"/>
                <w:szCs w:val="20"/>
              </w:rPr>
            </w:pPr>
          </w:p>
        </w:tc>
        <w:tc>
          <w:tcPr>
            <w:tcW w:w="1701" w:type="dxa"/>
            <w:tcBorders>
              <w:top w:val="single" w:sz="4" w:space="0" w:color="auto"/>
            </w:tcBorders>
          </w:tcPr>
          <w:p w14:paraId="517706A3" w14:textId="77777777" w:rsidR="006303F1" w:rsidRPr="00AE4E29" w:rsidRDefault="006303F1" w:rsidP="0037465E">
            <w:pPr>
              <w:tabs>
                <w:tab w:val="left" w:pos="426"/>
                <w:tab w:val="left" w:pos="709"/>
                <w:tab w:val="left" w:pos="993"/>
              </w:tabs>
              <w:spacing w:line="240" w:lineRule="exact"/>
              <w:jc w:val="both"/>
              <w:rPr>
                <w:rFonts w:asciiTheme="majorHAnsi" w:eastAsia="Times New Roman" w:hAnsiTheme="majorHAnsi"/>
                <w:sz w:val="20"/>
                <w:szCs w:val="20"/>
              </w:rPr>
            </w:pPr>
          </w:p>
        </w:tc>
      </w:tr>
    </w:tbl>
    <w:p w14:paraId="533E66A4" w14:textId="010A4573" w:rsidR="006303F1" w:rsidRPr="00AE4E29" w:rsidRDefault="006303F1" w:rsidP="006303F1">
      <w:pPr>
        <w:tabs>
          <w:tab w:val="left" w:pos="426"/>
          <w:tab w:val="left" w:pos="709"/>
          <w:tab w:val="left" w:pos="993"/>
        </w:tabs>
        <w:autoSpaceDE w:val="0"/>
        <w:autoSpaceDN w:val="0"/>
        <w:adjustRightInd w:val="0"/>
        <w:spacing w:line="240" w:lineRule="exact"/>
        <w:ind w:leftChars="185" w:left="444"/>
        <w:jc w:val="both"/>
        <w:rPr>
          <w:rFonts w:asciiTheme="majorHAnsi" w:hAnsiTheme="majorHAnsi"/>
          <w:sz w:val="20"/>
          <w:szCs w:val="20"/>
        </w:rPr>
      </w:pPr>
      <w:r w:rsidRPr="00AE4E29">
        <w:rPr>
          <w:rFonts w:asciiTheme="majorHAnsi" w:hAnsiTheme="majorHAnsi"/>
          <w:sz w:val="20"/>
          <w:szCs w:val="20"/>
        </w:rPr>
        <w:t>Toutefois, la sous-consommation maximale qu’une Partie pourra</w:t>
      </w:r>
      <w:r w:rsidR="002C7822" w:rsidRPr="00AE4E29">
        <w:rPr>
          <w:rFonts w:asciiTheme="majorHAnsi" w:hAnsiTheme="majorHAnsi"/>
          <w:sz w:val="20"/>
          <w:szCs w:val="20"/>
        </w:rPr>
        <w:t>it</w:t>
      </w:r>
      <w:r w:rsidRPr="00AE4E29">
        <w:rPr>
          <w:rFonts w:asciiTheme="majorHAnsi" w:hAnsiTheme="majorHAnsi"/>
          <w:sz w:val="20"/>
          <w:szCs w:val="20"/>
        </w:rPr>
        <w:t xml:space="preserve"> reporter au cours d’une année donnée ne devra pas dépasser 15% de sa limite de capture initiale (comme spécifié au paragraphe</w:t>
      </w:r>
      <w:r w:rsidR="002C7822" w:rsidRPr="00AE4E29">
        <w:rPr>
          <w:rFonts w:asciiTheme="majorHAnsi" w:hAnsiTheme="majorHAnsi"/>
          <w:sz w:val="20"/>
          <w:szCs w:val="20"/>
        </w:rPr>
        <w:t> </w:t>
      </w:r>
      <w:r w:rsidRPr="00AE4E29">
        <w:rPr>
          <w:rFonts w:asciiTheme="majorHAnsi" w:hAnsiTheme="majorHAnsi"/>
          <w:sz w:val="20"/>
          <w:szCs w:val="20"/>
        </w:rPr>
        <w:t xml:space="preserve">2b ci-dessus et exception faite des transferts de quota) pour les CPC détenant des limites de capture de plus de 500 t et 40% pour les autres CPC. » </w:t>
      </w:r>
    </w:p>
    <w:p w14:paraId="1BF4817D" w14:textId="77777777" w:rsidR="006303F1" w:rsidRPr="00AE4E29" w:rsidRDefault="006303F1" w:rsidP="006303F1">
      <w:pPr>
        <w:tabs>
          <w:tab w:val="left" w:pos="426"/>
          <w:tab w:val="left" w:pos="709"/>
          <w:tab w:val="left" w:pos="993"/>
        </w:tabs>
        <w:autoSpaceDE w:val="0"/>
        <w:autoSpaceDN w:val="0"/>
        <w:adjustRightInd w:val="0"/>
        <w:spacing w:line="240" w:lineRule="exact"/>
        <w:ind w:left="388" w:hanging="388"/>
        <w:jc w:val="both"/>
        <w:rPr>
          <w:rFonts w:asciiTheme="majorHAnsi" w:hAnsiTheme="majorHAnsi"/>
          <w:sz w:val="20"/>
          <w:szCs w:val="20"/>
        </w:rPr>
      </w:pPr>
    </w:p>
    <w:p w14:paraId="0E185F12" w14:textId="538547E7" w:rsidR="006303F1" w:rsidRPr="00AE4E29" w:rsidRDefault="006303F1" w:rsidP="00EF3885">
      <w:pPr>
        <w:tabs>
          <w:tab w:val="left" w:pos="284"/>
          <w:tab w:val="left" w:pos="709"/>
          <w:tab w:val="left" w:pos="993"/>
        </w:tabs>
        <w:autoSpaceDE w:val="0"/>
        <w:autoSpaceDN w:val="0"/>
        <w:adjustRightInd w:val="0"/>
        <w:spacing w:line="240" w:lineRule="exact"/>
        <w:ind w:left="270" w:hanging="270"/>
        <w:jc w:val="both"/>
        <w:rPr>
          <w:rFonts w:asciiTheme="majorHAnsi" w:hAnsiTheme="majorHAnsi"/>
          <w:sz w:val="20"/>
          <w:szCs w:val="20"/>
        </w:rPr>
      </w:pPr>
      <w:r w:rsidRPr="00AE4E29">
        <w:rPr>
          <w:rFonts w:asciiTheme="majorHAnsi" w:hAnsiTheme="majorHAnsi"/>
          <w:color w:val="000000"/>
          <w:sz w:val="20"/>
          <w:szCs w:val="20"/>
        </w:rPr>
        <w:t>C.</w:t>
      </w:r>
      <w:r w:rsidR="00EF3885" w:rsidRPr="00AE4E29">
        <w:rPr>
          <w:rFonts w:asciiTheme="majorHAnsi" w:hAnsiTheme="majorHAnsi"/>
          <w:color w:val="000000"/>
          <w:sz w:val="20"/>
          <w:szCs w:val="20"/>
        </w:rPr>
        <w:tab/>
      </w:r>
      <w:r w:rsidRPr="00AE4E29">
        <w:rPr>
          <w:rFonts w:asciiTheme="majorHAnsi" w:hAnsiTheme="majorHAnsi"/>
          <w:color w:val="000000"/>
          <w:sz w:val="20"/>
          <w:szCs w:val="20"/>
        </w:rPr>
        <w:t xml:space="preserve">Le </w:t>
      </w:r>
      <w:r w:rsidRPr="00AE4E29">
        <w:rPr>
          <w:rFonts w:asciiTheme="majorHAnsi" w:hAnsiTheme="majorHAnsi"/>
          <w:sz w:val="20"/>
          <w:szCs w:val="20"/>
        </w:rPr>
        <w:t>paragraphe</w:t>
      </w:r>
      <w:r w:rsidRPr="00AE4E29">
        <w:rPr>
          <w:rFonts w:asciiTheme="majorHAnsi" w:hAnsiTheme="majorHAnsi"/>
          <w:color w:val="000000"/>
          <w:sz w:val="20"/>
          <w:szCs w:val="20"/>
        </w:rPr>
        <w:t xml:space="preserve"> 4 devra être remplacé par le texte suivant :</w:t>
      </w:r>
    </w:p>
    <w:p w14:paraId="5803F407" w14:textId="77777777" w:rsidR="006303F1" w:rsidRPr="00AE4E29" w:rsidRDefault="006303F1" w:rsidP="006303F1">
      <w:pPr>
        <w:tabs>
          <w:tab w:val="left" w:pos="426"/>
          <w:tab w:val="left" w:pos="709"/>
          <w:tab w:val="left" w:pos="993"/>
        </w:tabs>
        <w:spacing w:line="240" w:lineRule="exact"/>
        <w:ind w:left="426" w:hanging="426"/>
        <w:jc w:val="both"/>
        <w:rPr>
          <w:rFonts w:asciiTheme="majorHAnsi" w:hAnsiTheme="majorHAnsi"/>
          <w:sz w:val="20"/>
          <w:szCs w:val="20"/>
        </w:rPr>
      </w:pPr>
    </w:p>
    <w:p w14:paraId="2AB59D1E" w14:textId="088F82A7" w:rsidR="006303F1" w:rsidRPr="00AE4E29" w:rsidRDefault="006303F1" w:rsidP="00EF3885">
      <w:pPr>
        <w:spacing w:line="240" w:lineRule="exact"/>
        <w:ind w:left="851" w:hanging="567"/>
        <w:jc w:val="both"/>
        <w:rPr>
          <w:rFonts w:asciiTheme="majorHAnsi" w:hAnsiTheme="majorHAnsi"/>
          <w:sz w:val="20"/>
          <w:szCs w:val="20"/>
        </w:rPr>
      </w:pPr>
      <w:r w:rsidRPr="00AE4E29">
        <w:rPr>
          <w:rFonts w:asciiTheme="majorHAnsi" w:hAnsiTheme="majorHAnsi"/>
          <w:sz w:val="20"/>
          <w:szCs w:val="20"/>
        </w:rPr>
        <w:t>« 4.</w:t>
      </w:r>
      <w:r w:rsidR="002C7822" w:rsidRPr="00AE4E29">
        <w:rPr>
          <w:rFonts w:asciiTheme="majorHAnsi" w:hAnsiTheme="majorHAnsi"/>
          <w:sz w:val="20"/>
          <w:szCs w:val="20"/>
        </w:rPr>
        <w:tab/>
      </w:r>
      <w:r w:rsidRPr="00AE4E29">
        <w:rPr>
          <w:rFonts w:asciiTheme="majorHAnsi" w:hAnsiTheme="majorHAnsi"/>
          <w:sz w:val="20"/>
          <w:szCs w:val="20"/>
        </w:rPr>
        <w:t xml:space="preserve">Si les débarquements du Japon dépassent sa limite de capture au cours d’une année donnée, la surconsommation devra être déduite des années suivantes afin que les débarquements totaux du Japon ne dépassent pas sa limite de capture totale pour la période de </w:t>
      </w:r>
      <w:r w:rsidR="00060601" w:rsidRPr="00AE4E29">
        <w:rPr>
          <w:rFonts w:asciiTheme="majorHAnsi" w:hAnsiTheme="majorHAnsi"/>
          <w:sz w:val="20"/>
          <w:szCs w:val="20"/>
        </w:rPr>
        <w:t>cinq</w:t>
      </w:r>
      <w:r w:rsidRPr="00AE4E29">
        <w:rPr>
          <w:rFonts w:asciiTheme="majorHAnsi" w:hAnsiTheme="majorHAnsi"/>
          <w:sz w:val="20"/>
          <w:szCs w:val="20"/>
        </w:rPr>
        <w:t xml:space="preserve"> ans commençant en 201</w:t>
      </w:r>
      <w:r w:rsidR="00060601" w:rsidRPr="00AE4E29">
        <w:rPr>
          <w:rFonts w:asciiTheme="majorHAnsi" w:hAnsiTheme="majorHAnsi"/>
          <w:sz w:val="20"/>
          <w:szCs w:val="20"/>
        </w:rPr>
        <w:t>8</w:t>
      </w:r>
      <w:r w:rsidRPr="00AE4E29">
        <w:rPr>
          <w:rFonts w:asciiTheme="majorHAnsi" w:hAnsiTheme="majorHAnsi"/>
          <w:sz w:val="20"/>
          <w:szCs w:val="20"/>
        </w:rPr>
        <w:t>. Si les débarquements annuels du Japon sont inférieurs à ses limites de capture, la sous-consommation pourra être ajoutée aux limites de capture des années suivantes, afin que les débarquements totaux du Japon ne dépassent pas son total pour la même période de quatre ans. Toute sous-consommation ou surconsommation de la période de gestion 201</w:t>
      </w:r>
      <w:r w:rsidR="00060601" w:rsidRPr="00AE4E29">
        <w:rPr>
          <w:rFonts w:asciiTheme="majorHAnsi" w:hAnsiTheme="majorHAnsi"/>
          <w:sz w:val="20"/>
          <w:szCs w:val="20"/>
        </w:rPr>
        <w:t>8</w:t>
      </w:r>
      <w:r w:rsidRPr="00AE4E29">
        <w:rPr>
          <w:rFonts w:asciiTheme="majorHAnsi" w:hAnsiTheme="majorHAnsi"/>
          <w:sz w:val="20"/>
          <w:szCs w:val="20"/>
        </w:rPr>
        <w:t xml:space="preserve">-2022 devra être appliquée à la période de gestion </w:t>
      </w:r>
      <w:r w:rsidR="00060601" w:rsidRPr="00AE4E29">
        <w:rPr>
          <w:rFonts w:asciiTheme="majorHAnsi" w:hAnsiTheme="majorHAnsi"/>
          <w:sz w:val="20"/>
          <w:szCs w:val="20"/>
        </w:rPr>
        <w:t>suivante qui sera décidée par la Commission en 2022</w:t>
      </w:r>
      <w:r w:rsidR="00A667CF" w:rsidRPr="00AE4E29">
        <w:rPr>
          <w:rFonts w:asciiTheme="majorHAnsi" w:hAnsiTheme="majorHAnsi"/>
          <w:sz w:val="20"/>
          <w:szCs w:val="20"/>
        </w:rPr>
        <w:t>. »</w:t>
      </w:r>
    </w:p>
    <w:p w14:paraId="145942F2" w14:textId="77777777" w:rsidR="006303F1" w:rsidRPr="00AE4E29" w:rsidRDefault="006303F1" w:rsidP="006303F1">
      <w:pPr>
        <w:tabs>
          <w:tab w:val="left" w:pos="426"/>
          <w:tab w:val="left" w:pos="993"/>
        </w:tabs>
        <w:spacing w:line="240" w:lineRule="exact"/>
        <w:jc w:val="both"/>
        <w:rPr>
          <w:rFonts w:asciiTheme="majorHAnsi" w:hAnsiTheme="majorHAnsi"/>
          <w:sz w:val="20"/>
          <w:szCs w:val="20"/>
        </w:rPr>
      </w:pPr>
    </w:p>
    <w:p w14:paraId="3F69F67C" w14:textId="3BD33810" w:rsidR="006303F1" w:rsidRPr="00AE4E29" w:rsidRDefault="006303F1" w:rsidP="006303F1">
      <w:pPr>
        <w:tabs>
          <w:tab w:val="left" w:pos="426"/>
          <w:tab w:val="left" w:pos="993"/>
        </w:tabs>
        <w:spacing w:line="240" w:lineRule="exact"/>
        <w:jc w:val="both"/>
        <w:rPr>
          <w:rFonts w:asciiTheme="majorHAnsi" w:hAnsiTheme="majorHAnsi"/>
          <w:sz w:val="20"/>
          <w:szCs w:val="20"/>
        </w:rPr>
      </w:pPr>
      <w:r w:rsidRPr="00AE4E29">
        <w:rPr>
          <w:rFonts w:asciiTheme="majorHAnsi" w:hAnsiTheme="majorHAnsi"/>
          <w:sz w:val="20"/>
          <w:szCs w:val="20"/>
        </w:rPr>
        <w:t>D.</w:t>
      </w:r>
      <w:r w:rsidR="002C7822" w:rsidRPr="00AE4E29">
        <w:rPr>
          <w:rFonts w:asciiTheme="majorHAnsi" w:hAnsiTheme="majorHAnsi"/>
          <w:sz w:val="20"/>
          <w:szCs w:val="20"/>
        </w:rPr>
        <w:tab/>
      </w:r>
      <w:r w:rsidRPr="00AE4E29">
        <w:rPr>
          <w:rFonts w:asciiTheme="majorHAnsi" w:hAnsiTheme="majorHAnsi"/>
          <w:sz w:val="20"/>
          <w:szCs w:val="20"/>
        </w:rPr>
        <w:t>La première phrase du paragraphe 5 devra être remplacée par le texte suivant :</w:t>
      </w:r>
    </w:p>
    <w:p w14:paraId="31DD33A0" w14:textId="77777777" w:rsidR="00780989" w:rsidRPr="00AE4E29" w:rsidRDefault="00780989" w:rsidP="006303F1">
      <w:pPr>
        <w:tabs>
          <w:tab w:val="left" w:pos="426"/>
          <w:tab w:val="left" w:pos="993"/>
        </w:tabs>
        <w:spacing w:line="240" w:lineRule="exact"/>
        <w:jc w:val="both"/>
        <w:rPr>
          <w:rFonts w:asciiTheme="majorHAnsi" w:hAnsiTheme="majorHAnsi"/>
          <w:sz w:val="20"/>
          <w:szCs w:val="20"/>
        </w:rPr>
      </w:pPr>
    </w:p>
    <w:p w14:paraId="5F21D234" w14:textId="3747ED2C" w:rsidR="006303F1" w:rsidRPr="00AE4E29" w:rsidRDefault="006303F1" w:rsidP="002C7822">
      <w:pPr>
        <w:spacing w:line="240" w:lineRule="exact"/>
        <w:ind w:left="851" w:hanging="567"/>
        <w:jc w:val="both"/>
        <w:rPr>
          <w:rFonts w:asciiTheme="majorHAnsi" w:hAnsiTheme="majorHAnsi"/>
          <w:sz w:val="20"/>
          <w:szCs w:val="20"/>
        </w:rPr>
      </w:pPr>
      <w:r w:rsidRPr="00AE4E29">
        <w:rPr>
          <w:rFonts w:asciiTheme="majorHAnsi" w:hAnsiTheme="majorHAnsi"/>
          <w:sz w:val="20"/>
          <w:szCs w:val="20"/>
        </w:rPr>
        <w:t>« 5.</w:t>
      </w:r>
      <w:r w:rsidR="002C7822" w:rsidRPr="00AE4E29">
        <w:rPr>
          <w:rFonts w:asciiTheme="majorHAnsi" w:hAnsiTheme="majorHAnsi"/>
          <w:sz w:val="20"/>
          <w:szCs w:val="20"/>
        </w:rPr>
        <w:tab/>
      </w:r>
      <w:r w:rsidRPr="00AE4E29">
        <w:rPr>
          <w:rFonts w:asciiTheme="majorHAnsi" w:hAnsiTheme="majorHAnsi"/>
          <w:sz w:val="20"/>
          <w:szCs w:val="20"/>
        </w:rPr>
        <w:t xml:space="preserve">À sa réunion de 2022, la Commission devra établir des mesures de conservation et de gestion s'appliquant à l'espadon de l’Atlantique Nord sur la base de l'avis du SCRS qui se fondera sur </w:t>
      </w:r>
      <w:r w:rsidR="001E3763" w:rsidRPr="00AE4E29">
        <w:rPr>
          <w:rFonts w:asciiTheme="majorHAnsi" w:hAnsiTheme="majorHAnsi"/>
          <w:sz w:val="20"/>
          <w:szCs w:val="20"/>
        </w:rPr>
        <w:t xml:space="preserve">une </w:t>
      </w:r>
      <w:r w:rsidRPr="00AE4E29">
        <w:rPr>
          <w:rFonts w:asciiTheme="majorHAnsi" w:hAnsiTheme="majorHAnsi"/>
          <w:sz w:val="20"/>
          <w:szCs w:val="20"/>
        </w:rPr>
        <w:t>évaluation du stock que réalisera le SCRS en 2022, ainsi que sur la</w:t>
      </w:r>
      <w:r w:rsidRPr="00AE4E29">
        <w:rPr>
          <w:rFonts w:asciiTheme="majorHAnsi" w:hAnsiTheme="majorHAnsi"/>
          <w:i/>
          <w:iCs/>
          <w:sz w:val="20"/>
          <w:szCs w:val="20"/>
        </w:rPr>
        <w:t xml:space="preserve"> Résolution de l’ICCAT portant sur les critères pour l’allocation de possibilités de pêche</w:t>
      </w:r>
      <w:r w:rsidRPr="00AE4E29">
        <w:rPr>
          <w:rFonts w:asciiTheme="majorHAnsi" w:hAnsiTheme="majorHAnsi"/>
          <w:sz w:val="20"/>
          <w:szCs w:val="20"/>
        </w:rPr>
        <w:t xml:space="preserve"> (Rés. 15-13</w:t>
      </w:r>
      <w:r w:rsidR="006F24D0" w:rsidRPr="00AE4E29">
        <w:rPr>
          <w:rFonts w:asciiTheme="majorHAnsi" w:hAnsiTheme="majorHAnsi"/>
          <w:sz w:val="20"/>
          <w:szCs w:val="20"/>
        </w:rPr>
        <w:t>) »</w:t>
      </w:r>
      <w:r w:rsidRPr="00AE4E29">
        <w:rPr>
          <w:rFonts w:asciiTheme="majorHAnsi" w:hAnsiTheme="majorHAnsi"/>
          <w:sz w:val="20"/>
          <w:szCs w:val="20"/>
        </w:rPr>
        <w:t xml:space="preserve">. </w:t>
      </w:r>
    </w:p>
    <w:p w14:paraId="5D866057" w14:textId="77777777" w:rsidR="006303F1" w:rsidRPr="00AE4E29" w:rsidRDefault="006303F1" w:rsidP="006303F1">
      <w:pPr>
        <w:tabs>
          <w:tab w:val="left" w:pos="426"/>
          <w:tab w:val="left" w:pos="993"/>
        </w:tabs>
        <w:spacing w:line="240" w:lineRule="exact"/>
        <w:jc w:val="both"/>
        <w:rPr>
          <w:rFonts w:asciiTheme="majorHAnsi" w:hAnsiTheme="majorHAnsi"/>
          <w:sz w:val="20"/>
          <w:szCs w:val="20"/>
        </w:rPr>
      </w:pPr>
    </w:p>
    <w:p w14:paraId="072AD26F" w14:textId="25C2B15D" w:rsidR="006303F1" w:rsidRPr="00AE4E29" w:rsidRDefault="006303F1" w:rsidP="00250689">
      <w:pPr>
        <w:pStyle w:val="NormalWeb"/>
        <w:spacing w:before="0" w:beforeAutospacing="0" w:after="0" w:afterAutospacing="0"/>
        <w:ind w:left="426" w:hanging="426"/>
        <w:jc w:val="both"/>
        <w:rPr>
          <w:rFonts w:asciiTheme="majorHAnsi" w:eastAsia="Times New Roman" w:hAnsiTheme="majorHAnsi"/>
          <w:sz w:val="20"/>
          <w:szCs w:val="20"/>
        </w:rPr>
      </w:pPr>
      <w:r w:rsidRPr="00AE4E29">
        <w:rPr>
          <w:rFonts w:asciiTheme="majorHAnsi" w:hAnsiTheme="majorHAnsi"/>
          <w:sz w:val="20"/>
          <w:szCs w:val="20"/>
        </w:rPr>
        <w:t>2</w:t>
      </w:r>
      <w:r w:rsidRPr="00AE4E29">
        <w:rPr>
          <w:rFonts w:asciiTheme="majorHAnsi" w:hAnsiTheme="majorHAnsi"/>
          <w:b/>
          <w:bCs/>
          <w:sz w:val="20"/>
          <w:szCs w:val="20"/>
        </w:rPr>
        <w:t>.</w:t>
      </w:r>
      <w:r w:rsidRPr="00AE4E29">
        <w:rPr>
          <w:rFonts w:asciiTheme="majorHAnsi" w:hAnsiTheme="majorHAnsi"/>
          <w:sz w:val="20"/>
          <w:szCs w:val="20"/>
        </w:rPr>
        <w:tab/>
        <w:t xml:space="preserve">La présente Recommandation remplace et abroge la </w:t>
      </w:r>
      <w:r w:rsidRPr="00AE4E29">
        <w:rPr>
          <w:rFonts w:asciiTheme="majorHAnsi" w:hAnsiTheme="majorHAnsi"/>
          <w:i/>
          <w:iCs/>
          <w:sz w:val="20"/>
          <w:szCs w:val="20"/>
        </w:rPr>
        <w:t>Recommandation de l’ICCAT amendant la Recommandation 17-02 sur la conservation de l’espadon de l'Atlantique Nord</w:t>
      </w:r>
      <w:r w:rsidRPr="00AE4E29">
        <w:rPr>
          <w:rFonts w:asciiTheme="majorHAnsi" w:hAnsiTheme="majorHAnsi"/>
          <w:sz w:val="20"/>
          <w:szCs w:val="20"/>
        </w:rPr>
        <w:t xml:space="preserve"> (Rec.</w:t>
      </w:r>
      <w:r w:rsidRPr="00AE4E29">
        <w:rPr>
          <w:rFonts w:asciiTheme="majorHAnsi" w:hAnsiTheme="majorHAnsi"/>
          <w:color w:val="000000"/>
          <w:sz w:val="20"/>
          <w:szCs w:val="20"/>
        </w:rPr>
        <w:t xml:space="preserve"> 19-03) et la </w:t>
      </w:r>
      <w:r w:rsidRPr="00AE4E29">
        <w:rPr>
          <w:rFonts w:asciiTheme="majorHAnsi" w:hAnsiTheme="majorHAnsi"/>
          <w:i/>
          <w:iCs/>
          <w:color w:val="000000"/>
          <w:sz w:val="20"/>
          <w:szCs w:val="20"/>
        </w:rPr>
        <w:t>Recommandation de l’ICCAT amendant la Recommandation 19-03 sur la conservation de l’espadon de l'Atlantique Nord</w:t>
      </w:r>
      <w:r w:rsidRPr="00AE4E29">
        <w:rPr>
          <w:rFonts w:asciiTheme="majorHAnsi" w:hAnsiTheme="majorHAnsi"/>
          <w:color w:val="000000"/>
          <w:sz w:val="20"/>
          <w:szCs w:val="20"/>
        </w:rPr>
        <w:t xml:space="preserve"> (Rec. 20-02). </w:t>
      </w:r>
    </w:p>
    <w:p w14:paraId="10D7A439" w14:textId="77777777" w:rsidR="006303F1" w:rsidRPr="00AE4E29" w:rsidRDefault="006303F1" w:rsidP="006303F1">
      <w:pPr>
        <w:rPr>
          <w:rFonts w:asciiTheme="majorHAnsi" w:hAnsiTheme="majorHAnsi"/>
          <w:sz w:val="20"/>
          <w:szCs w:val="20"/>
        </w:rPr>
      </w:pPr>
    </w:p>
    <w:p w14:paraId="3BC3E584" w14:textId="77777777" w:rsidR="006303F1" w:rsidRPr="00AE4E29" w:rsidRDefault="006303F1" w:rsidP="006303F1">
      <w:pPr>
        <w:tabs>
          <w:tab w:val="left" w:pos="426"/>
          <w:tab w:val="left" w:pos="709"/>
          <w:tab w:val="left" w:pos="993"/>
        </w:tabs>
        <w:autoSpaceDE w:val="0"/>
        <w:autoSpaceDN w:val="0"/>
        <w:adjustRightInd w:val="0"/>
        <w:spacing w:line="240" w:lineRule="exact"/>
        <w:ind w:left="420" w:hanging="420"/>
        <w:jc w:val="both"/>
        <w:rPr>
          <w:rFonts w:asciiTheme="majorHAnsi" w:hAnsiTheme="majorHAnsi"/>
          <w:sz w:val="20"/>
          <w:szCs w:val="20"/>
        </w:rPr>
      </w:pPr>
    </w:p>
    <w:p w14:paraId="6169287C" w14:textId="77777777" w:rsidR="00764B45" w:rsidRPr="00AE4E29" w:rsidRDefault="00764B45" w:rsidP="00764B45">
      <w:pPr>
        <w:rPr>
          <w:rFonts w:asciiTheme="majorHAnsi" w:eastAsia="Batang" w:hAnsiTheme="majorHAnsi"/>
          <w:sz w:val="20"/>
          <w:szCs w:val="20"/>
        </w:rPr>
      </w:pPr>
    </w:p>
    <w:sectPr w:rsidR="00764B45" w:rsidRPr="00AE4E29" w:rsidSect="003A64A0">
      <w:footerReference w:type="even"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B05F" w14:textId="77777777" w:rsidR="000852ED" w:rsidRDefault="000852ED">
      <w:r>
        <w:separator/>
      </w:r>
    </w:p>
  </w:endnote>
  <w:endnote w:type="continuationSeparator" w:id="0">
    <w:p w14:paraId="1DD50A56" w14:textId="77777777" w:rsidR="000852ED" w:rsidRDefault="0008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940B" w14:textId="34A6A546" w:rsidR="006C0637" w:rsidRDefault="006C06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3958">
      <w:rPr>
        <w:rStyle w:val="PageNumber"/>
        <w:noProof/>
      </w:rPr>
      <w:t>1</w:t>
    </w:r>
    <w:r>
      <w:rPr>
        <w:rStyle w:val="PageNumber"/>
      </w:rPr>
      <w:fldChar w:fldCharType="end"/>
    </w:r>
  </w:p>
  <w:p w14:paraId="2EA84257" w14:textId="77777777" w:rsidR="006C0637" w:rsidRDefault="006C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7AB9" w14:textId="0AB81073" w:rsidR="006C0637" w:rsidRPr="00283E76" w:rsidRDefault="006C0637" w:rsidP="00A667CF">
    <w:pPr>
      <w:pStyle w:val="Footer"/>
      <w:framePr w:wrap="around" w:vAnchor="text" w:hAnchor="margin" w:xAlign="center" w:y="1"/>
      <w:jc w:val="center"/>
      <w:rPr>
        <w:rStyle w:val="PageNumber"/>
        <w:i/>
        <w:sz w:val="16"/>
        <w:szCs w:val="16"/>
      </w:rPr>
    </w:pPr>
    <w:r w:rsidRPr="00A667CF">
      <w:rPr>
        <w:rFonts w:asciiTheme="majorHAnsi" w:hAnsiTheme="majorHAnsi"/>
        <w:sz w:val="20"/>
      </w:rPr>
      <w:fldChar w:fldCharType="begin"/>
    </w:r>
    <w:r w:rsidRPr="00A667CF">
      <w:rPr>
        <w:rFonts w:asciiTheme="majorHAnsi" w:hAnsiTheme="majorHAnsi"/>
        <w:sz w:val="20"/>
      </w:rPr>
      <w:instrText xml:space="preserve"> PAGE </w:instrText>
    </w:r>
    <w:r w:rsidRPr="00A667CF">
      <w:rPr>
        <w:rFonts w:asciiTheme="majorHAnsi" w:hAnsiTheme="majorHAnsi"/>
        <w:sz w:val="20"/>
      </w:rPr>
      <w:fldChar w:fldCharType="separate"/>
    </w:r>
    <w:r w:rsidR="00E918F8" w:rsidRPr="00A667CF">
      <w:rPr>
        <w:rFonts w:asciiTheme="majorHAnsi" w:hAnsiTheme="majorHAnsi"/>
        <w:sz w:val="20"/>
      </w:rPr>
      <w:t>1</w:t>
    </w:r>
    <w:r w:rsidRPr="00A667CF">
      <w:rPr>
        <w:rFonts w:asciiTheme="majorHAnsi" w:hAnsiTheme="majorHAnsi"/>
        <w:sz w:val="20"/>
      </w:rPr>
      <w:fldChar w:fldCharType="end"/>
    </w:r>
  </w:p>
  <w:p w14:paraId="5C2DF707" w14:textId="77777777" w:rsidR="006C0637" w:rsidRDefault="006C0637" w:rsidP="0025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9BFA" w14:textId="77777777" w:rsidR="000852ED" w:rsidRDefault="000852ED">
      <w:r>
        <w:separator/>
      </w:r>
    </w:p>
  </w:footnote>
  <w:footnote w:type="continuationSeparator" w:id="0">
    <w:p w14:paraId="65FB4645" w14:textId="77777777" w:rsidR="000852ED" w:rsidRDefault="00085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1D5625D6"/>
    <w:multiLevelType w:val="hybridMultilevel"/>
    <w:tmpl w:val="72689620"/>
    <w:lvl w:ilvl="0" w:tplc="B2422A12">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A6"/>
    <w:rsid w:val="0003616D"/>
    <w:rsid w:val="00060601"/>
    <w:rsid w:val="0006247A"/>
    <w:rsid w:val="000659C4"/>
    <w:rsid w:val="000852ED"/>
    <w:rsid w:val="00095694"/>
    <w:rsid w:val="000B5F5A"/>
    <w:rsid w:val="000C4F26"/>
    <w:rsid w:val="000C6A39"/>
    <w:rsid w:val="000E16E8"/>
    <w:rsid w:val="000E6DD0"/>
    <w:rsid w:val="000F6A8D"/>
    <w:rsid w:val="00101938"/>
    <w:rsid w:val="00113BC5"/>
    <w:rsid w:val="0013763B"/>
    <w:rsid w:val="001678F5"/>
    <w:rsid w:val="00167A88"/>
    <w:rsid w:val="001C23D3"/>
    <w:rsid w:val="001D4D46"/>
    <w:rsid w:val="001E3676"/>
    <w:rsid w:val="001E3763"/>
    <w:rsid w:val="001E68D1"/>
    <w:rsid w:val="00250689"/>
    <w:rsid w:val="00254FF9"/>
    <w:rsid w:val="00266914"/>
    <w:rsid w:val="00283E76"/>
    <w:rsid w:val="002956CB"/>
    <w:rsid w:val="002C7822"/>
    <w:rsid w:val="002E699A"/>
    <w:rsid w:val="00323E1A"/>
    <w:rsid w:val="00332D96"/>
    <w:rsid w:val="00346639"/>
    <w:rsid w:val="003724A7"/>
    <w:rsid w:val="00373D99"/>
    <w:rsid w:val="00391C34"/>
    <w:rsid w:val="003A64A0"/>
    <w:rsid w:val="003E2062"/>
    <w:rsid w:val="00402F50"/>
    <w:rsid w:val="00426531"/>
    <w:rsid w:val="00434760"/>
    <w:rsid w:val="0045394E"/>
    <w:rsid w:val="004540CB"/>
    <w:rsid w:val="0046101B"/>
    <w:rsid w:val="004E32FD"/>
    <w:rsid w:val="00506B05"/>
    <w:rsid w:val="00537789"/>
    <w:rsid w:val="00542FAD"/>
    <w:rsid w:val="00546F19"/>
    <w:rsid w:val="005645E3"/>
    <w:rsid w:val="00564EE9"/>
    <w:rsid w:val="00576CED"/>
    <w:rsid w:val="005C71A6"/>
    <w:rsid w:val="005D2D55"/>
    <w:rsid w:val="006046A8"/>
    <w:rsid w:val="00605313"/>
    <w:rsid w:val="00622379"/>
    <w:rsid w:val="006303F1"/>
    <w:rsid w:val="0064198F"/>
    <w:rsid w:val="0066110C"/>
    <w:rsid w:val="006841AA"/>
    <w:rsid w:val="006914F4"/>
    <w:rsid w:val="006A3B16"/>
    <w:rsid w:val="006C0637"/>
    <w:rsid w:val="006F24D0"/>
    <w:rsid w:val="006F460F"/>
    <w:rsid w:val="0075351D"/>
    <w:rsid w:val="00760FF2"/>
    <w:rsid w:val="00764B45"/>
    <w:rsid w:val="00780989"/>
    <w:rsid w:val="007963F6"/>
    <w:rsid w:val="007A4BCC"/>
    <w:rsid w:val="007C67CE"/>
    <w:rsid w:val="00902400"/>
    <w:rsid w:val="0094690C"/>
    <w:rsid w:val="009526FF"/>
    <w:rsid w:val="00977B9C"/>
    <w:rsid w:val="00982B16"/>
    <w:rsid w:val="009B6375"/>
    <w:rsid w:val="009F47B2"/>
    <w:rsid w:val="00A518C7"/>
    <w:rsid w:val="00A667CF"/>
    <w:rsid w:val="00AE4E29"/>
    <w:rsid w:val="00B07571"/>
    <w:rsid w:val="00B239D3"/>
    <w:rsid w:val="00B33958"/>
    <w:rsid w:val="00B85DC9"/>
    <w:rsid w:val="00B95218"/>
    <w:rsid w:val="00B976B0"/>
    <w:rsid w:val="00BD3864"/>
    <w:rsid w:val="00BE4070"/>
    <w:rsid w:val="00BE59E6"/>
    <w:rsid w:val="00C23F87"/>
    <w:rsid w:val="00C300DB"/>
    <w:rsid w:val="00C340E8"/>
    <w:rsid w:val="00C41928"/>
    <w:rsid w:val="00C72C47"/>
    <w:rsid w:val="00C74360"/>
    <w:rsid w:val="00C900C2"/>
    <w:rsid w:val="00C94FC1"/>
    <w:rsid w:val="00D10E5C"/>
    <w:rsid w:val="00D3444D"/>
    <w:rsid w:val="00D87F0D"/>
    <w:rsid w:val="00DB299D"/>
    <w:rsid w:val="00E07A7A"/>
    <w:rsid w:val="00E309D3"/>
    <w:rsid w:val="00E40557"/>
    <w:rsid w:val="00E918F8"/>
    <w:rsid w:val="00EB37B6"/>
    <w:rsid w:val="00EE73FE"/>
    <w:rsid w:val="00EF3885"/>
    <w:rsid w:val="00F067A8"/>
    <w:rsid w:val="00F75286"/>
    <w:rsid w:val="00F77C95"/>
    <w:rsid w:val="00F86040"/>
    <w:rsid w:val="00F92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D4D4C"/>
  <w15:docId w15:val="{9CD02B0F-C592-421A-9B91-FC51BD43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rPr>
  </w:style>
  <w:style w:type="character" w:styleId="PageNumber">
    <w:name w:val="page number"/>
    <w:basedOn w:val="DefaultParagraphFont"/>
  </w:style>
  <w:style w:type="character" w:styleId="Hyperlink">
    <w:name w:val="Hyperlink"/>
    <w:basedOn w:val="DefaultParagraphFont"/>
    <w:uiPriority w:val="99"/>
    <w:rsid w:val="006303F1"/>
    <w:rPr>
      <w:color w:val="0000FF"/>
      <w:u w:val="single"/>
    </w:rPr>
  </w:style>
  <w:style w:type="paragraph" w:styleId="CommentText">
    <w:name w:val="annotation text"/>
    <w:basedOn w:val="Normal"/>
    <w:link w:val="CommentTextChar"/>
    <w:uiPriority w:val="99"/>
    <w:rsid w:val="006303F1"/>
    <w:pPr>
      <w:suppressAutoHyphens/>
      <w:spacing w:after="240"/>
      <w:jc w:val="both"/>
    </w:pPr>
    <w:rPr>
      <w:rFonts w:eastAsia="Calibri"/>
      <w:sz w:val="20"/>
      <w:szCs w:val="20"/>
      <w:lang w:eastAsia="ar-SA"/>
    </w:rPr>
  </w:style>
  <w:style w:type="character" w:customStyle="1" w:styleId="CommentTextChar">
    <w:name w:val="Comment Text Char"/>
    <w:basedOn w:val="DefaultParagraphFont"/>
    <w:link w:val="CommentText"/>
    <w:uiPriority w:val="99"/>
    <w:rsid w:val="006303F1"/>
    <w:rPr>
      <w:rFonts w:eastAsia="Calibri"/>
      <w:lang w:val="fr-FR" w:eastAsia="ar-SA"/>
    </w:rPr>
  </w:style>
  <w:style w:type="character" w:styleId="CommentReference">
    <w:name w:val="annotation reference"/>
    <w:basedOn w:val="DefaultParagraphFont"/>
    <w:uiPriority w:val="99"/>
    <w:rsid w:val="006303F1"/>
    <w:rPr>
      <w:rFonts w:cs="Times New Roman"/>
      <w:sz w:val="16"/>
      <w:szCs w:val="16"/>
    </w:rPr>
  </w:style>
  <w:style w:type="paragraph" w:styleId="NormalWeb">
    <w:name w:val="Normal (Web)"/>
    <w:basedOn w:val="Normal"/>
    <w:uiPriority w:val="99"/>
    <w:unhideWhenUsed/>
    <w:rsid w:val="006303F1"/>
    <w:pPr>
      <w:spacing w:before="100" w:beforeAutospacing="1" w:after="100" w:afterAutospacing="1"/>
    </w:pPr>
    <w:rPr>
      <w:rFonts w:eastAsia="Calibri"/>
      <w:lang w:eastAsia="en-GB"/>
    </w:rPr>
  </w:style>
  <w:style w:type="table" w:customStyle="1" w:styleId="TableauNorm">
    <w:name w:val="Tableau Norm"/>
    <w:uiPriority w:val="99"/>
    <w:semiHidden/>
    <w:rsid w:val="006303F1"/>
    <w:rPr>
      <w:rFonts w:ascii="Calibri" w:eastAsia="Calibri" w:hAnsi="Calibri"/>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cat.int/Documents/Recs/compendiopdf-f/2017-02-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TENTATIVE AGENDA, STANDING COMMITTEE ON RESEARCH &amp; STATISTICS (SCRS)</vt:lpstr>
    </vt:vector>
  </TitlesOfParts>
  <Company>ICCAT</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 STANDING COMMITTEE ON RESEARCH &amp; STATISTICS (SCRS)</dc:title>
  <dc:creator>Phil Seidita</dc:creator>
  <cp:lastModifiedBy>Dorothee Pinet</cp:lastModifiedBy>
  <cp:revision>28</cp:revision>
  <cp:lastPrinted>2004-08-10T13:18:00Z</cp:lastPrinted>
  <dcterms:created xsi:type="dcterms:W3CDTF">2021-11-16T14:04:00Z</dcterms:created>
  <dcterms:modified xsi:type="dcterms:W3CDTF">2021-12-16T08:26:00Z</dcterms:modified>
</cp:coreProperties>
</file>